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501涞源县信访局</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325.35</w:t>
            </w:r>
          </w:p>
        </w:tc>
        <w:tc>
          <w:tcPr>
            <w:tcW w:w="4535" w:type="dxa"/>
            <w:vAlign w:val="center"/>
          </w:tcPr>
          <w:p>
            <w:pPr>
              <w:pStyle w:val="14"/>
            </w:pPr>
            <w:r>
              <w:t>一、一般公共服务支出</w:t>
            </w:r>
          </w:p>
        </w:tc>
        <w:tc>
          <w:tcPr>
            <w:tcW w:w="2126" w:type="dxa"/>
            <w:vAlign w:val="center"/>
          </w:tcPr>
          <w:p>
            <w:pPr>
              <w:pStyle w:val="13"/>
            </w:pPr>
            <w:r>
              <w:t>286.79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325.35</w:t>
            </w:r>
          </w:p>
        </w:tc>
        <w:tc>
          <w:tcPr>
            <w:tcW w:w="4535" w:type="dxa"/>
            <w:vAlign w:val="center"/>
          </w:tcPr>
          <w:p>
            <w:pPr>
              <w:pStyle w:val="16"/>
            </w:pPr>
            <w:r>
              <w:t>本年支出合计</w:t>
            </w:r>
          </w:p>
        </w:tc>
        <w:tc>
          <w:tcPr>
            <w:tcW w:w="2126" w:type="dxa"/>
            <w:vAlign w:val="center"/>
          </w:tcPr>
          <w:p>
            <w:pPr>
              <w:pStyle w:val="17"/>
            </w:pPr>
            <w:r>
              <w:t>325.35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325.35</w:t>
            </w:r>
          </w:p>
        </w:tc>
        <w:tc>
          <w:tcPr>
            <w:tcW w:w="4535" w:type="dxa"/>
            <w:vAlign w:val="center"/>
          </w:tcPr>
          <w:p>
            <w:pPr>
              <w:pStyle w:val="16"/>
            </w:pPr>
            <w:r>
              <w:t>支出总计</w:t>
            </w:r>
          </w:p>
        </w:tc>
        <w:tc>
          <w:tcPr>
            <w:tcW w:w="2126" w:type="dxa"/>
            <w:vAlign w:val="center"/>
          </w:tcPr>
          <w:p>
            <w:pPr>
              <w:pStyle w:val="17"/>
            </w:pPr>
            <w:r>
              <w:t>325.35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501涞源县信访局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325.35</w:t>
            </w:r>
          </w:p>
        </w:tc>
        <w:tc>
          <w:tcPr>
            <w:tcW w:w="1134" w:type="dxa"/>
            <w:vAlign w:val="center"/>
          </w:tcPr>
          <w:p>
            <w:pPr>
              <w:pStyle w:val="17"/>
            </w:pPr>
            <w:r>
              <w:t>325.35</w:t>
            </w:r>
          </w:p>
        </w:tc>
        <w:tc>
          <w:tcPr>
            <w:tcW w:w="1134" w:type="dxa"/>
            <w:vAlign w:val="center"/>
          </w:tcPr>
          <w:p>
            <w:pPr>
              <w:pStyle w:val="17"/>
            </w:pPr>
            <w:r>
              <w:t>325.35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r>
              <w:t>286.79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r>
              <w:t>32.05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0.27</w:t>
            </w:r>
          </w:p>
        </w:tc>
        <w:tc>
          <w:tcPr>
            <w:tcW w:w="1134" w:type="dxa"/>
            <w:vAlign w:val="center"/>
          </w:tcPr>
          <w:p>
            <w:pPr>
              <w:pStyle w:val="13"/>
            </w:pPr>
            <w:r>
              <w:t>0.27</w:t>
            </w:r>
          </w:p>
        </w:tc>
        <w:tc>
          <w:tcPr>
            <w:tcW w:w="1134" w:type="dxa"/>
            <w:vAlign w:val="center"/>
          </w:tcPr>
          <w:p>
            <w:pPr>
              <w:pStyle w:val="13"/>
            </w:pPr>
            <w:r>
              <w:t>0.27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11.14</w:t>
            </w:r>
          </w:p>
        </w:tc>
        <w:tc>
          <w:tcPr>
            <w:tcW w:w="1134" w:type="dxa"/>
            <w:vAlign w:val="center"/>
          </w:tcPr>
          <w:p>
            <w:pPr>
              <w:pStyle w:val="13"/>
            </w:pPr>
            <w:r>
              <w:t>11.14</w:t>
            </w:r>
          </w:p>
        </w:tc>
        <w:tc>
          <w:tcPr>
            <w:tcW w:w="1134" w:type="dxa"/>
            <w:vAlign w:val="center"/>
          </w:tcPr>
          <w:p>
            <w:pPr>
              <w:pStyle w:val="13"/>
            </w:pPr>
            <w:r>
              <w:t>11.14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13.63</w:t>
            </w:r>
          </w:p>
        </w:tc>
        <w:tc>
          <w:tcPr>
            <w:tcW w:w="1134" w:type="dxa"/>
            <w:vAlign w:val="center"/>
          </w:tcPr>
          <w:p>
            <w:pPr>
              <w:pStyle w:val="13"/>
            </w:pPr>
            <w:r>
              <w:t>13.63</w:t>
            </w:r>
          </w:p>
        </w:tc>
        <w:tc>
          <w:tcPr>
            <w:tcW w:w="1134" w:type="dxa"/>
            <w:vAlign w:val="center"/>
          </w:tcPr>
          <w:p>
            <w:pPr>
              <w:pStyle w:val="13"/>
            </w:pPr>
            <w:r>
              <w:t>13.63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r>
              <w:t>7.01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r>
              <w:t>6.51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501涞源县信访局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325.35</w:t>
            </w:r>
          </w:p>
        </w:tc>
        <w:tc>
          <w:tcPr>
            <w:tcW w:w="1361" w:type="dxa"/>
            <w:vAlign w:val="center"/>
          </w:tcPr>
          <w:p>
            <w:pPr>
              <w:pStyle w:val="17"/>
            </w:pPr>
            <w:r>
              <w:t>213.35</w:t>
            </w:r>
          </w:p>
        </w:tc>
        <w:tc>
          <w:tcPr>
            <w:tcW w:w="1361" w:type="dxa"/>
            <w:vAlign w:val="center"/>
          </w:tcPr>
          <w:p>
            <w:pPr>
              <w:pStyle w:val="17"/>
            </w:pPr>
            <w:r>
              <w:t>112.00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286.79</w:t>
            </w:r>
          </w:p>
        </w:tc>
        <w:tc>
          <w:tcPr>
            <w:tcW w:w="1361" w:type="dxa"/>
            <w:vAlign w:val="center"/>
          </w:tcPr>
          <w:p>
            <w:pPr>
              <w:pStyle w:val="13"/>
            </w:pPr>
            <w:r>
              <w:t>174.79</w:t>
            </w:r>
          </w:p>
        </w:tc>
        <w:tc>
          <w:tcPr>
            <w:tcW w:w="1361" w:type="dxa"/>
            <w:vAlign w:val="center"/>
          </w:tcPr>
          <w:p>
            <w:pPr>
              <w:pStyle w:val="13"/>
            </w:pPr>
            <w:r>
              <w:t>112.00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32.05</w:t>
            </w:r>
          </w:p>
        </w:tc>
        <w:tc>
          <w:tcPr>
            <w:tcW w:w="1361" w:type="dxa"/>
            <w:vAlign w:val="center"/>
          </w:tcPr>
          <w:p>
            <w:pPr>
              <w:pStyle w:val="13"/>
            </w:pPr>
            <w:r>
              <w:t>32.05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32.05</w:t>
            </w:r>
          </w:p>
        </w:tc>
        <w:tc>
          <w:tcPr>
            <w:tcW w:w="1361" w:type="dxa"/>
            <w:vAlign w:val="center"/>
          </w:tcPr>
          <w:p>
            <w:pPr>
              <w:pStyle w:val="13"/>
            </w:pPr>
            <w:r>
              <w:t>32.05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0.27</w:t>
            </w:r>
          </w:p>
        </w:tc>
        <w:tc>
          <w:tcPr>
            <w:tcW w:w="1361" w:type="dxa"/>
            <w:vAlign w:val="center"/>
          </w:tcPr>
          <w:p>
            <w:pPr>
              <w:pStyle w:val="13"/>
            </w:pPr>
            <w:r>
              <w:t>0.27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11.14</w:t>
            </w:r>
          </w:p>
        </w:tc>
        <w:tc>
          <w:tcPr>
            <w:tcW w:w="1361" w:type="dxa"/>
            <w:vAlign w:val="center"/>
          </w:tcPr>
          <w:p>
            <w:pPr>
              <w:pStyle w:val="13"/>
            </w:pPr>
            <w:r>
              <w:t>11.14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13.63</w:t>
            </w:r>
          </w:p>
        </w:tc>
        <w:tc>
          <w:tcPr>
            <w:tcW w:w="1361" w:type="dxa"/>
            <w:vAlign w:val="center"/>
          </w:tcPr>
          <w:p>
            <w:pPr>
              <w:pStyle w:val="13"/>
            </w:pPr>
            <w:r>
              <w:t>13.63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7.01</w:t>
            </w:r>
          </w:p>
        </w:tc>
        <w:tc>
          <w:tcPr>
            <w:tcW w:w="1361" w:type="dxa"/>
            <w:vAlign w:val="center"/>
          </w:tcPr>
          <w:p>
            <w:pPr>
              <w:pStyle w:val="13"/>
            </w:pPr>
            <w:r>
              <w:t>7.01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6.51</w:t>
            </w:r>
          </w:p>
        </w:tc>
        <w:tc>
          <w:tcPr>
            <w:tcW w:w="1361" w:type="dxa"/>
            <w:vAlign w:val="center"/>
          </w:tcPr>
          <w:p>
            <w:pPr>
              <w:pStyle w:val="13"/>
            </w:pPr>
            <w:r>
              <w:t>6.51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501涞源县信访局</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325.35</w:t>
            </w:r>
          </w:p>
        </w:tc>
        <w:tc>
          <w:tcPr>
            <w:tcW w:w="3402" w:type="dxa"/>
            <w:vAlign w:val="center"/>
          </w:tcPr>
          <w:p>
            <w:pPr>
              <w:pStyle w:val="14"/>
            </w:pPr>
            <w:r>
              <w:t>一、一般公共服务支出</w:t>
            </w:r>
          </w:p>
        </w:tc>
        <w:tc>
          <w:tcPr>
            <w:tcW w:w="1474" w:type="dxa"/>
            <w:vAlign w:val="center"/>
          </w:tcPr>
          <w:p>
            <w:pPr>
              <w:pStyle w:val="13"/>
            </w:pPr>
            <w:r>
              <w:t>286.79</w:t>
            </w:r>
          </w:p>
        </w:tc>
        <w:tc>
          <w:tcPr>
            <w:tcW w:w="1474" w:type="dxa"/>
            <w:vAlign w:val="center"/>
          </w:tcPr>
          <w:p>
            <w:pPr>
              <w:pStyle w:val="13"/>
            </w:pPr>
            <w:r>
              <w:t>286.79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32.05</w:t>
            </w:r>
          </w:p>
        </w:tc>
        <w:tc>
          <w:tcPr>
            <w:tcW w:w="1474" w:type="dxa"/>
            <w:vAlign w:val="center"/>
          </w:tcPr>
          <w:p>
            <w:pPr>
              <w:pStyle w:val="13"/>
            </w:pPr>
            <w:r>
              <w:t>32.05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6.51</w:t>
            </w:r>
          </w:p>
        </w:tc>
        <w:tc>
          <w:tcPr>
            <w:tcW w:w="1474" w:type="dxa"/>
            <w:vAlign w:val="center"/>
          </w:tcPr>
          <w:p>
            <w:pPr>
              <w:pStyle w:val="13"/>
            </w:pPr>
            <w:r>
              <w:t>6.51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325.35</w:t>
            </w:r>
          </w:p>
        </w:tc>
        <w:tc>
          <w:tcPr>
            <w:tcW w:w="3402" w:type="dxa"/>
            <w:vAlign w:val="center"/>
          </w:tcPr>
          <w:p>
            <w:pPr>
              <w:pStyle w:val="16"/>
            </w:pPr>
            <w:r>
              <w:t>本年支出合计</w:t>
            </w:r>
          </w:p>
        </w:tc>
        <w:tc>
          <w:tcPr>
            <w:tcW w:w="1474" w:type="dxa"/>
            <w:vAlign w:val="center"/>
          </w:tcPr>
          <w:p>
            <w:pPr>
              <w:pStyle w:val="17"/>
            </w:pPr>
            <w:r>
              <w:t>325.35</w:t>
            </w:r>
          </w:p>
        </w:tc>
        <w:tc>
          <w:tcPr>
            <w:tcW w:w="1474" w:type="dxa"/>
            <w:vAlign w:val="center"/>
          </w:tcPr>
          <w:p>
            <w:pPr>
              <w:pStyle w:val="17"/>
            </w:pPr>
            <w:r>
              <w:t>325.35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325.35</w:t>
            </w:r>
          </w:p>
        </w:tc>
        <w:tc>
          <w:tcPr>
            <w:tcW w:w="3402" w:type="dxa"/>
            <w:vAlign w:val="center"/>
          </w:tcPr>
          <w:p>
            <w:pPr>
              <w:pStyle w:val="16"/>
            </w:pPr>
            <w:r>
              <w:t>支出总计</w:t>
            </w:r>
          </w:p>
        </w:tc>
        <w:tc>
          <w:tcPr>
            <w:tcW w:w="1474" w:type="dxa"/>
            <w:vAlign w:val="center"/>
          </w:tcPr>
          <w:p>
            <w:pPr>
              <w:pStyle w:val="17"/>
            </w:pPr>
            <w:r>
              <w:t>325.35</w:t>
            </w:r>
          </w:p>
        </w:tc>
        <w:tc>
          <w:tcPr>
            <w:tcW w:w="1474" w:type="dxa"/>
            <w:vAlign w:val="center"/>
          </w:tcPr>
          <w:p>
            <w:pPr>
              <w:pStyle w:val="17"/>
            </w:pPr>
            <w:r>
              <w:t>325.35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501涞源县信访局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325.35</w:t>
            </w:r>
          </w:p>
        </w:tc>
        <w:tc>
          <w:tcPr>
            <w:tcW w:w="2551" w:type="dxa"/>
            <w:vAlign w:val="center"/>
          </w:tcPr>
          <w:p>
            <w:pPr>
              <w:pStyle w:val="17"/>
            </w:pPr>
            <w:r>
              <w:t>213.35</w:t>
            </w:r>
          </w:p>
        </w:tc>
        <w:tc>
          <w:tcPr>
            <w:tcW w:w="2551" w:type="dxa"/>
            <w:vAlign w:val="center"/>
          </w:tcPr>
          <w:p>
            <w:pPr>
              <w:pStyle w:val="17"/>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286.79</w:t>
            </w:r>
          </w:p>
        </w:tc>
        <w:tc>
          <w:tcPr>
            <w:tcW w:w="2551" w:type="dxa"/>
            <w:vAlign w:val="center"/>
          </w:tcPr>
          <w:p>
            <w:pPr>
              <w:pStyle w:val="13"/>
            </w:pPr>
            <w:r>
              <w:t>174.79</w:t>
            </w:r>
          </w:p>
        </w:tc>
        <w:tc>
          <w:tcPr>
            <w:tcW w:w="2551" w:type="dxa"/>
            <w:vAlign w:val="center"/>
          </w:tcPr>
          <w:p>
            <w:pPr>
              <w:pStyle w:val="13"/>
            </w:pPr>
            <w:r>
              <w:t>112.00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32.05</w:t>
            </w:r>
          </w:p>
        </w:tc>
        <w:tc>
          <w:tcPr>
            <w:tcW w:w="2551" w:type="dxa"/>
            <w:vAlign w:val="center"/>
          </w:tcPr>
          <w:p>
            <w:pPr>
              <w:pStyle w:val="13"/>
            </w:pPr>
            <w:r>
              <w:t>32.05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0.27</w:t>
            </w:r>
          </w:p>
        </w:tc>
        <w:tc>
          <w:tcPr>
            <w:tcW w:w="2551" w:type="dxa"/>
            <w:vAlign w:val="center"/>
          </w:tcPr>
          <w:p>
            <w:pPr>
              <w:pStyle w:val="13"/>
            </w:pPr>
            <w:r>
              <w:t>0.27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11.14</w:t>
            </w:r>
          </w:p>
        </w:tc>
        <w:tc>
          <w:tcPr>
            <w:tcW w:w="2551" w:type="dxa"/>
            <w:vAlign w:val="center"/>
          </w:tcPr>
          <w:p>
            <w:pPr>
              <w:pStyle w:val="13"/>
            </w:pPr>
            <w:r>
              <w:t>11.14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13.63</w:t>
            </w:r>
          </w:p>
        </w:tc>
        <w:tc>
          <w:tcPr>
            <w:tcW w:w="2551" w:type="dxa"/>
            <w:vAlign w:val="center"/>
          </w:tcPr>
          <w:p>
            <w:pPr>
              <w:pStyle w:val="13"/>
            </w:pPr>
            <w:r>
              <w:t>13.63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7.01</w:t>
            </w:r>
          </w:p>
        </w:tc>
        <w:tc>
          <w:tcPr>
            <w:tcW w:w="2551" w:type="dxa"/>
            <w:vAlign w:val="center"/>
          </w:tcPr>
          <w:p>
            <w:pPr>
              <w:pStyle w:val="13"/>
            </w:pPr>
            <w:r>
              <w:t>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6.51</w:t>
            </w:r>
          </w:p>
        </w:tc>
        <w:tc>
          <w:tcPr>
            <w:tcW w:w="2551" w:type="dxa"/>
            <w:vAlign w:val="center"/>
          </w:tcPr>
          <w:p>
            <w:pPr>
              <w:pStyle w:val="13"/>
            </w:pPr>
            <w:r>
              <w:t>6.51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501涞源县信访局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513.18</w:t>
            </w:r>
          </w:p>
        </w:tc>
        <w:tc>
          <w:tcPr>
            <w:tcW w:w="2551" w:type="dxa"/>
            <w:vAlign w:val="center"/>
          </w:tcPr>
          <w:p>
            <w:pPr>
              <w:pStyle w:val="17"/>
            </w:pPr>
            <w:r>
              <w:t>455.66</w:t>
            </w:r>
          </w:p>
        </w:tc>
        <w:tc>
          <w:tcPr>
            <w:tcW w:w="2551" w:type="dxa"/>
            <w:vAlign w:val="center"/>
          </w:tcPr>
          <w:p>
            <w:pPr>
              <w:pStyle w:val="17"/>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349.20</w:t>
            </w:r>
          </w:p>
        </w:tc>
        <w:tc>
          <w:tcPr>
            <w:tcW w:w="2551" w:type="dxa"/>
            <w:vAlign w:val="center"/>
          </w:tcPr>
          <w:p>
            <w:pPr>
              <w:pStyle w:val="13"/>
            </w:pPr>
            <w:r>
              <w:t>349.20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145.05</w:t>
            </w:r>
          </w:p>
        </w:tc>
        <w:tc>
          <w:tcPr>
            <w:tcW w:w="2551" w:type="dxa"/>
            <w:vAlign w:val="center"/>
          </w:tcPr>
          <w:p>
            <w:pPr>
              <w:pStyle w:val="13"/>
            </w:pPr>
            <w:r>
              <w:t>145.05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81.20</w:t>
            </w:r>
          </w:p>
        </w:tc>
        <w:tc>
          <w:tcPr>
            <w:tcW w:w="2551" w:type="dxa"/>
            <w:vAlign w:val="center"/>
          </w:tcPr>
          <w:p>
            <w:pPr>
              <w:pStyle w:val="13"/>
            </w:pPr>
            <w:r>
              <w:t>81.20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16.78</w:t>
            </w:r>
          </w:p>
        </w:tc>
        <w:tc>
          <w:tcPr>
            <w:tcW w:w="2551" w:type="dxa"/>
            <w:vAlign w:val="center"/>
          </w:tcPr>
          <w:p>
            <w:pPr>
              <w:pStyle w:val="13"/>
            </w:pPr>
            <w:r>
              <w:t>16.78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14.68</w:t>
            </w:r>
          </w:p>
        </w:tc>
        <w:tc>
          <w:tcPr>
            <w:tcW w:w="2551" w:type="dxa"/>
            <w:vAlign w:val="center"/>
          </w:tcPr>
          <w:p>
            <w:pPr>
              <w:pStyle w:val="13"/>
            </w:pPr>
            <w:r>
              <w:t>14.68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37.34</w:t>
            </w:r>
          </w:p>
        </w:tc>
        <w:tc>
          <w:tcPr>
            <w:tcW w:w="2551" w:type="dxa"/>
            <w:vAlign w:val="center"/>
          </w:tcPr>
          <w:p>
            <w:pPr>
              <w:pStyle w:val="13"/>
            </w:pPr>
            <w:r>
              <w:t>37.34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19.28</w:t>
            </w:r>
          </w:p>
        </w:tc>
        <w:tc>
          <w:tcPr>
            <w:tcW w:w="2551" w:type="dxa"/>
            <w:vAlign w:val="center"/>
          </w:tcPr>
          <w:p>
            <w:pPr>
              <w:pStyle w:val="13"/>
            </w:pPr>
            <w:r>
              <w:t>19.28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15.82</w:t>
            </w:r>
          </w:p>
        </w:tc>
        <w:tc>
          <w:tcPr>
            <w:tcW w:w="2551" w:type="dxa"/>
            <w:vAlign w:val="center"/>
          </w:tcPr>
          <w:p>
            <w:pPr>
              <w:pStyle w:val="13"/>
            </w:pPr>
            <w:r>
              <w:t>15.82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1.99</w:t>
            </w:r>
          </w:p>
        </w:tc>
        <w:tc>
          <w:tcPr>
            <w:tcW w:w="2551" w:type="dxa"/>
            <w:vAlign w:val="center"/>
          </w:tcPr>
          <w:p>
            <w:pPr>
              <w:pStyle w:val="13"/>
            </w:pPr>
            <w:r>
              <w:t>1.99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17.06</w:t>
            </w:r>
          </w:p>
        </w:tc>
        <w:tc>
          <w:tcPr>
            <w:tcW w:w="2551" w:type="dxa"/>
            <w:vAlign w:val="center"/>
          </w:tcPr>
          <w:p>
            <w:pPr>
              <w:pStyle w:val="13"/>
            </w:pPr>
            <w:r>
              <w:t>17.06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163.92</w:t>
            </w:r>
          </w:p>
        </w:tc>
        <w:tc>
          <w:tcPr>
            <w:tcW w:w="2551" w:type="dxa"/>
            <w:vAlign w:val="center"/>
          </w:tcPr>
          <w:p>
            <w:pPr>
              <w:pStyle w:val="13"/>
            </w:pPr>
            <w:r>
              <w:t>106.40</w:t>
            </w:r>
          </w:p>
        </w:tc>
        <w:tc>
          <w:tcPr>
            <w:tcW w:w="2551" w:type="dxa"/>
            <w:vAlign w:val="center"/>
          </w:tcPr>
          <w:p>
            <w:pPr>
              <w:pStyle w:val="13"/>
            </w:pPr>
            <w:r>
              <w:t>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47.08</w:t>
            </w:r>
          </w:p>
        </w:tc>
        <w:tc>
          <w:tcPr>
            <w:tcW w:w="2551" w:type="dxa"/>
            <w:vAlign w:val="center"/>
          </w:tcPr>
          <w:p>
            <w:pPr>
              <w:pStyle w:val="13"/>
            </w:pPr>
          </w:p>
        </w:tc>
        <w:tc>
          <w:tcPr>
            <w:tcW w:w="2551" w:type="dxa"/>
            <w:vAlign w:val="center"/>
          </w:tcPr>
          <w:p>
            <w:pPr>
              <w:pStyle w:val="13"/>
            </w:pPr>
            <w:r>
              <w:t>47.08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1.40</w:t>
            </w:r>
          </w:p>
        </w:tc>
        <w:tc>
          <w:tcPr>
            <w:tcW w:w="2551" w:type="dxa"/>
            <w:vAlign w:val="center"/>
          </w:tcPr>
          <w:p>
            <w:pPr>
              <w:pStyle w:val="13"/>
            </w:pPr>
          </w:p>
        </w:tc>
        <w:tc>
          <w:tcPr>
            <w:tcW w:w="2551"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97.58</w:t>
            </w:r>
          </w:p>
        </w:tc>
        <w:tc>
          <w:tcPr>
            <w:tcW w:w="2551" w:type="dxa"/>
            <w:vAlign w:val="center"/>
          </w:tcPr>
          <w:p>
            <w:pPr>
              <w:pStyle w:val="13"/>
            </w:pPr>
            <w:r>
              <w:t>97.58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8.82</w:t>
            </w:r>
          </w:p>
        </w:tc>
        <w:tc>
          <w:tcPr>
            <w:tcW w:w="2551" w:type="dxa"/>
            <w:vAlign w:val="center"/>
          </w:tcPr>
          <w:p>
            <w:pPr>
              <w:pStyle w:val="13"/>
            </w:pPr>
            <w:r>
              <w:t>8.82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0.06</w:t>
            </w:r>
          </w:p>
        </w:tc>
        <w:tc>
          <w:tcPr>
            <w:tcW w:w="2551" w:type="dxa"/>
            <w:vAlign w:val="center"/>
          </w:tcPr>
          <w:p>
            <w:pPr>
              <w:pStyle w:val="13"/>
            </w:pPr>
            <w:r>
              <w:t>0.06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501涞源县信访局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501涞源县信访局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both"/>
        <w:outlineLvl w:val="1"/>
        <w:rPr>
          <w:rFonts w:hint="default" w:ascii="方正小标宋_GBK" w:hAnsi="方正小标宋_GBK" w:eastAsia="方正小标宋_GBK" w:cs="方正小标宋_GBK"/>
          <w:color w:val="000000"/>
          <w:sz w:val="24"/>
          <w:szCs w:val="24"/>
          <w:lang w:val="en-US" w:eastAsia="zh-CN"/>
        </w:rPr>
      </w:pPr>
      <w:r>
        <w:rPr>
          <w:rFonts w:hint="eastAsia" w:ascii="方正小标宋_GBK" w:hAnsi="方正小标宋_GBK" w:eastAsia="方正小标宋_GBK" w:cs="方正小标宋_GBK"/>
          <w:color w:val="000000"/>
          <w:sz w:val="24"/>
          <w:szCs w:val="24"/>
          <w:lang w:val="en-US" w:eastAsia="zh-CN"/>
        </w:rPr>
        <w:t xml:space="preserve">                                    501涞源县信访局                                      预算年度：2022                          单位：万元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2"/>
        <w:gridCol w:w="3300"/>
        <w:gridCol w:w="1335"/>
        <w:gridCol w:w="1215"/>
        <w:gridCol w:w="1283"/>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2" w:type="dxa"/>
            <w:vMerge w:val="restart"/>
            <w:vAlign w:val="center"/>
          </w:tcPr>
          <w:p>
            <w:pPr>
              <w:pStyle w:val="12"/>
            </w:pPr>
            <w:r>
              <w:t>序号</w:t>
            </w:r>
          </w:p>
        </w:tc>
        <w:tc>
          <w:tcPr>
            <w:tcW w:w="3300" w:type="dxa"/>
            <w:vMerge w:val="restart"/>
            <w:vAlign w:val="center"/>
          </w:tcPr>
          <w:p>
            <w:pPr>
              <w:pStyle w:val="12"/>
            </w:pPr>
            <w:r>
              <w:t>项  目</w:t>
            </w:r>
          </w:p>
        </w:tc>
        <w:tc>
          <w:tcPr>
            <w:tcW w:w="5700"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2" w:type="dxa"/>
            <w:vMerge w:val="continue"/>
          </w:tcPr>
          <w:p/>
        </w:tc>
        <w:tc>
          <w:tcPr>
            <w:tcW w:w="3300" w:type="dxa"/>
            <w:vMerge w:val="continue"/>
          </w:tcPr>
          <w:p/>
        </w:tc>
        <w:tc>
          <w:tcPr>
            <w:tcW w:w="1335" w:type="dxa"/>
            <w:vAlign w:val="center"/>
          </w:tcPr>
          <w:p>
            <w:pPr>
              <w:pStyle w:val="12"/>
            </w:pPr>
            <w:r>
              <w:t>合计</w:t>
            </w:r>
          </w:p>
        </w:tc>
        <w:tc>
          <w:tcPr>
            <w:tcW w:w="1215" w:type="dxa"/>
            <w:vAlign w:val="center"/>
          </w:tcPr>
          <w:p>
            <w:pPr>
              <w:pStyle w:val="12"/>
            </w:pPr>
            <w:r>
              <w:t>一般公共预算              财政拨款</w:t>
            </w:r>
          </w:p>
        </w:tc>
        <w:tc>
          <w:tcPr>
            <w:tcW w:w="1283" w:type="dxa"/>
            <w:vAlign w:val="center"/>
          </w:tcPr>
          <w:p>
            <w:pPr>
              <w:pStyle w:val="12"/>
            </w:pPr>
            <w:r>
              <w:t>政府性基金                  预算拨款</w:t>
            </w:r>
          </w:p>
        </w:tc>
        <w:tc>
          <w:tcPr>
            <w:tcW w:w="1867"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82" w:type="dxa"/>
            <w:vAlign w:val="center"/>
          </w:tcPr>
          <w:p>
            <w:pPr>
              <w:pStyle w:val="12"/>
            </w:pPr>
            <w:r>
              <w:t>栏次</w:t>
            </w:r>
          </w:p>
        </w:tc>
        <w:tc>
          <w:tcPr>
            <w:tcW w:w="3300" w:type="dxa"/>
            <w:vAlign w:val="center"/>
          </w:tcPr>
          <w:p>
            <w:pPr>
              <w:pStyle w:val="12"/>
            </w:pPr>
            <w:r>
              <w:t>1</w:t>
            </w:r>
          </w:p>
        </w:tc>
        <w:tc>
          <w:tcPr>
            <w:tcW w:w="1335" w:type="dxa"/>
            <w:vAlign w:val="center"/>
          </w:tcPr>
          <w:p>
            <w:pPr>
              <w:pStyle w:val="12"/>
            </w:pPr>
            <w:r>
              <w:t>2</w:t>
            </w:r>
          </w:p>
        </w:tc>
        <w:tc>
          <w:tcPr>
            <w:tcW w:w="1215" w:type="dxa"/>
            <w:vAlign w:val="center"/>
          </w:tcPr>
          <w:p>
            <w:pPr>
              <w:pStyle w:val="12"/>
            </w:pPr>
            <w:r>
              <w:t>3</w:t>
            </w:r>
          </w:p>
        </w:tc>
        <w:tc>
          <w:tcPr>
            <w:tcW w:w="1283" w:type="dxa"/>
            <w:vAlign w:val="center"/>
          </w:tcPr>
          <w:p>
            <w:pPr>
              <w:pStyle w:val="12"/>
            </w:pPr>
            <w:r>
              <w:t>4</w:t>
            </w:r>
          </w:p>
        </w:tc>
        <w:tc>
          <w:tcPr>
            <w:tcW w:w="18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15"/>
              <w:rPr>
                <w:rFonts w:hint="eastAsia" w:eastAsia="方正书宋_GBK"/>
                <w:lang w:val="en-US" w:eastAsia="zh-CN"/>
              </w:rPr>
            </w:pPr>
            <w:r>
              <w:rPr>
                <w:rFonts w:hint="eastAsia"/>
                <w:lang w:val="en-US" w:eastAsia="zh-CN"/>
              </w:rPr>
              <w:t>1</w:t>
            </w:r>
          </w:p>
        </w:tc>
        <w:tc>
          <w:tcPr>
            <w:tcW w:w="3300" w:type="dxa"/>
            <w:vAlign w:val="center"/>
          </w:tcPr>
          <w:p>
            <w:pPr>
              <w:pStyle w:val="14"/>
              <w:rPr>
                <w:rFonts w:hint="default" w:eastAsia="方正书宋_GBK"/>
                <w:lang w:val="en-US" w:eastAsia="zh-CN"/>
              </w:rPr>
            </w:pPr>
            <w:r>
              <w:rPr>
                <w:rFonts w:hint="eastAsia"/>
                <w:lang w:val="en-US" w:eastAsia="zh-CN"/>
              </w:rPr>
              <w:t>合计</w:t>
            </w:r>
          </w:p>
        </w:tc>
        <w:tc>
          <w:tcPr>
            <w:tcW w:w="1335" w:type="dxa"/>
            <w:vAlign w:val="center"/>
          </w:tcPr>
          <w:p>
            <w:pPr>
              <w:pStyle w:val="13"/>
              <w:rPr>
                <w:rFonts w:hint="default" w:eastAsia="方正书宋_GBK"/>
                <w:lang w:val="en-US" w:eastAsia="zh-CN"/>
              </w:rPr>
            </w:pPr>
            <w:r>
              <w:rPr>
                <w:rFonts w:hint="eastAsia"/>
                <w:lang w:val="en-US" w:eastAsia="zh-CN"/>
              </w:rPr>
              <w:t>8.5</w:t>
            </w:r>
          </w:p>
        </w:tc>
        <w:tc>
          <w:tcPr>
            <w:tcW w:w="1215" w:type="dxa"/>
            <w:vAlign w:val="center"/>
          </w:tcPr>
          <w:p>
            <w:pPr>
              <w:pStyle w:val="13"/>
              <w:rPr>
                <w:rFonts w:hint="default" w:eastAsia="方正书宋_GBK"/>
                <w:lang w:val="en-US" w:eastAsia="zh-CN"/>
              </w:rPr>
            </w:pPr>
            <w:r>
              <w:rPr>
                <w:rFonts w:hint="eastAsia"/>
                <w:lang w:val="en-US" w:eastAsia="zh-CN"/>
              </w:rPr>
              <w:t>8.5</w:t>
            </w:r>
          </w:p>
        </w:tc>
        <w:tc>
          <w:tcPr>
            <w:tcW w:w="12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15"/>
              <w:rPr>
                <w:rFonts w:hint="default"/>
                <w:lang w:val="en-US" w:eastAsia="zh-CN"/>
              </w:rPr>
            </w:pPr>
            <w:r>
              <w:rPr>
                <w:rFonts w:hint="eastAsia"/>
                <w:lang w:val="en-US" w:eastAsia="zh-CN"/>
              </w:rPr>
              <w:t>2</w:t>
            </w:r>
          </w:p>
        </w:tc>
        <w:tc>
          <w:tcPr>
            <w:tcW w:w="3300" w:type="dxa"/>
            <w:vAlign w:val="center"/>
          </w:tcPr>
          <w:p>
            <w:pPr>
              <w:pStyle w:val="14"/>
              <w:rPr>
                <w:rFonts w:hint="eastAsia" w:eastAsia="方正书宋_GBK"/>
                <w:lang w:val="en-US" w:eastAsia="zh-CN"/>
              </w:rPr>
            </w:pPr>
            <w:r>
              <w:rPr>
                <w:rFonts w:hint="eastAsia"/>
                <w:lang w:val="en-US" w:eastAsia="zh-CN"/>
              </w:rPr>
              <w:t>一、因公出国（境）费</w:t>
            </w:r>
          </w:p>
        </w:tc>
        <w:tc>
          <w:tcPr>
            <w:tcW w:w="1335" w:type="dxa"/>
            <w:vAlign w:val="center"/>
          </w:tcPr>
          <w:p>
            <w:pPr>
              <w:pStyle w:val="13"/>
              <w:rPr>
                <w:rFonts w:hint="default"/>
                <w:lang w:val="en-US" w:eastAsia="zh-CN"/>
              </w:rPr>
            </w:pPr>
          </w:p>
        </w:tc>
        <w:tc>
          <w:tcPr>
            <w:tcW w:w="1215" w:type="dxa"/>
            <w:vAlign w:val="center"/>
          </w:tcPr>
          <w:p>
            <w:pPr>
              <w:pStyle w:val="13"/>
              <w:rPr>
                <w:rFonts w:hint="default"/>
                <w:lang w:val="en-US" w:eastAsia="zh-CN"/>
              </w:rPr>
            </w:pPr>
          </w:p>
        </w:tc>
        <w:tc>
          <w:tcPr>
            <w:tcW w:w="12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15"/>
              <w:rPr>
                <w:rFonts w:hint="default"/>
                <w:lang w:val="en-US" w:eastAsia="zh-CN"/>
              </w:rPr>
            </w:pPr>
            <w:r>
              <w:rPr>
                <w:rFonts w:hint="eastAsia"/>
                <w:lang w:val="en-US" w:eastAsia="zh-CN"/>
              </w:rPr>
              <w:t>3</w:t>
            </w:r>
          </w:p>
        </w:tc>
        <w:tc>
          <w:tcPr>
            <w:tcW w:w="3300" w:type="dxa"/>
            <w:vAlign w:val="center"/>
          </w:tcPr>
          <w:p>
            <w:pPr>
              <w:pStyle w:val="14"/>
              <w:rPr>
                <w:rFonts w:hint="eastAsia"/>
                <w:lang w:val="en-US" w:eastAsia="zh-CN"/>
              </w:rPr>
            </w:pPr>
            <w:r>
              <w:rPr>
                <w:rFonts w:hint="eastAsia"/>
                <w:lang w:val="en-US" w:eastAsia="zh-CN"/>
              </w:rPr>
              <w:t>二、公务用车购置及运维费</w:t>
            </w:r>
          </w:p>
        </w:tc>
        <w:tc>
          <w:tcPr>
            <w:tcW w:w="1335" w:type="dxa"/>
            <w:vAlign w:val="center"/>
          </w:tcPr>
          <w:p>
            <w:pPr>
              <w:pStyle w:val="13"/>
              <w:rPr>
                <w:rFonts w:hint="eastAsia"/>
                <w:lang w:val="en-US" w:eastAsia="zh-CN"/>
              </w:rPr>
            </w:pPr>
          </w:p>
        </w:tc>
        <w:tc>
          <w:tcPr>
            <w:tcW w:w="1215" w:type="dxa"/>
            <w:vAlign w:val="center"/>
          </w:tcPr>
          <w:p>
            <w:pPr>
              <w:pStyle w:val="13"/>
              <w:rPr>
                <w:rFonts w:hint="eastAsia"/>
                <w:lang w:val="en-US" w:eastAsia="zh-CN"/>
              </w:rPr>
            </w:pPr>
          </w:p>
        </w:tc>
        <w:tc>
          <w:tcPr>
            <w:tcW w:w="12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15"/>
              <w:rPr>
                <w:rFonts w:hint="default"/>
                <w:lang w:val="en-US" w:eastAsia="zh-CN"/>
              </w:rPr>
            </w:pPr>
            <w:r>
              <w:rPr>
                <w:rFonts w:hint="eastAsia"/>
                <w:lang w:val="en-US" w:eastAsia="zh-CN"/>
              </w:rPr>
              <w:t>4</w:t>
            </w:r>
          </w:p>
        </w:tc>
        <w:tc>
          <w:tcPr>
            <w:tcW w:w="3300" w:type="dxa"/>
            <w:vAlign w:val="center"/>
          </w:tcPr>
          <w:p>
            <w:pPr>
              <w:pStyle w:val="14"/>
              <w:rPr>
                <w:rFonts w:hint="default"/>
                <w:lang w:val="en-US" w:eastAsia="zh-CN"/>
              </w:rPr>
            </w:pPr>
            <w:r>
              <w:rPr>
                <w:rFonts w:hint="eastAsia"/>
                <w:lang w:val="en-US" w:eastAsia="zh-CN"/>
              </w:rPr>
              <w:t xml:space="preserve">     其中：公务用车购置费</w:t>
            </w:r>
          </w:p>
        </w:tc>
        <w:tc>
          <w:tcPr>
            <w:tcW w:w="1335" w:type="dxa"/>
            <w:vAlign w:val="center"/>
          </w:tcPr>
          <w:p>
            <w:pPr>
              <w:pStyle w:val="13"/>
              <w:rPr>
                <w:rFonts w:hint="eastAsia"/>
                <w:lang w:val="en-US" w:eastAsia="zh-CN"/>
              </w:rPr>
            </w:pPr>
          </w:p>
        </w:tc>
        <w:tc>
          <w:tcPr>
            <w:tcW w:w="1215" w:type="dxa"/>
            <w:vAlign w:val="center"/>
          </w:tcPr>
          <w:p>
            <w:pPr>
              <w:pStyle w:val="13"/>
              <w:rPr>
                <w:rFonts w:hint="eastAsia"/>
                <w:lang w:val="en-US" w:eastAsia="zh-CN"/>
              </w:rPr>
            </w:pPr>
          </w:p>
        </w:tc>
        <w:tc>
          <w:tcPr>
            <w:tcW w:w="12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15"/>
              <w:rPr>
                <w:rFonts w:hint="default"/>
                <w:lang w:val="en-US" w:eastAsia="zh-CN"/>
              </w:rPr>
            </w:pPr>
            <w:r>
              <w:rPr>
                <w:rFonts w:hint="eastAsia"/>
                <w:lang w:val="en-US" w:eastAsia="zh-CN"/>
              </w:rPr>
              <w:t>5</w:t>
            </w:r>
          </w:p>
        </w:tc>
        <w:tc>
          <w:tcPr>
            <w:tcW w:w="3300" w:type="dxa"/>
            <w:vAlign w:val="center"/>
          </w:tcPr>
          <w:p>
            <w:pPr>
              <w:pStyle w:val="14"/>
              <w:rPr>
                <w:rFonts w:hint="default"/>
                <w:lang w:val="en-US" w:eastAsia="zh-CN"/>
              </w:rPr>
            </w:pPr>
            <w:r>
              <w:rPr>
                <w:rFonts w:hint="eastAsia"/>
                <w:lang w:val="en-US" w:eastAsia="zh-CN"/>
              </w:rPr>
              <w:t xml:space="preserve">               公务用车运行维护费</w:t>
            </w:r>
          </w:p>
        </w:tc>
        <w:tc>
          <w:tcPr>
            <w:tcW w:w="1335" w:type="dxa"/>
            <w:vAlign w:val="center"/>
          </w:tcPr>
          <w:p>
            <w:pPr>
              <w:pStyle w:val="13"/>
              <w:rPr>
                <w:rFonts w:hint="default"/>
                <w:lang w:val="en-US" w:eastAsia="zh-CN"/>
              </w:rPr>
            </w:pPr>
            <w:r>
              <w:rPr>
                <w:rFonts w:hint="eastAsia"/>
                <w:lang w:val="en-US" w:eastAsia="zh-CN"/>
              </w:rPr>
              <w:t>3.5</w:t>
            </w:r>
          </w:p>
        </w:tc>
        <w:tc>
          <w:tcPr>
            <w:tcW w:w="1215" w:type="dxa"/>
            <w:vAlign w:val="center"/>
          </w:tcPr>
          <w:p>
            <w:pPr>
              <w:pStyle w:val="13"/>
              <w:rPr>
                <w:rFonts w:hint="default"/>
                <w:lang w:val="en-US" w:eastAsia="zh-CN"/>
              </w:rPr>
            </w:pPr>
            <w:r>
              <w:rPr>
                <w:rFonts w:hint="eastAsia"/>
                <w:lang w:val="en-US" w:eastAsia="zh-CN"/>
              </w:rPr>
              <w:t>3.5</w:t>
            </w:r>
          </w:p>
        </w:tc>
        <w:tc>
          <w:tcPr>
            <w:tcW w:w="1283"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082" w:type="dxa"/>
            <w:vAlign w:val="center"/>
          </w:tcPr>
          <w:p>
            <w:pPr>
              <w:pStyle w:val="15"/>
              <w:rPr>
                <w:rFonts w:hint="default"/>
                <w:lang w:val="en-US" w:eastAsia="zh-CN"/>
              </w:rPr>
            </w:pPr>
            <w:r>
              <w:rPr>
                <w:rFonts w:hint="eastAsia"/>
                <w:lang w:val="en-US" w:eastAsia="zh-CN"/>
              </w:rPr>
              <w:t>6</w:t>
            </w:r>
          </w:p>
        </w:tc>
        <w:tc>
          <w:tcPr>
            <w:tcW w:w="3300" w:type="dxa"/>
            <w:vAlign w:val="center"/>
          </w:tcPr>
          <w:p>
            <w:pPr>
              <w:pStyle w:val="14"/>
              <w:rPr>
                <w:rFonts w:hint="eastAsia"/>
                <w:lang w:val="en-US" w:eastAsia="zh-CN"/>
              </w:rPr>
            </w:pPr>
            <w:r>
              <w:rPr>
                <w:rFonts w:hint="eastAsia"/>
                <w:lang w:val="en-US" w:eastAsia="zh-CN"/>
              </w:rPr>
              <w:t>三、公务接待费</w:t>
            </w:r>
          </w:p>
        </w:tc>
        <w:tc>
          <w:tcPr>
            <w:tcW w:w="1335" w:type="dxa"/>
            <w:vAlign w:val="center"/>
          </w:tcPr>
          <w:p>
            <w:pPr>
              <w:pStyle w:val="13"/>
              <w:rPr>
                <w:rFonts w:hint="default"/>
                <w:lang w:val="en-US" w:eastAsia="zh-CN"/>
              </w:rPr>
            </w:pPr>
            <w:r>
              <w:rPr>
                <w:rFonts w:hint="eastAsia"/>
                <w:lang w:val="en-US" w:eastAsia="zh-CN"/>
              </w:rPr>
              <w:t>5</w:t>
            </w:r>
          </w:p>
        </w:tc>
        <w:tc>
          <w:tcPr>
            <w:tcW w:w="1215" w:type="dxa"/>
            <w:vAlign w:val="center"/>
          </w:tcPr>
          <w:p>
            <w:pPr>
              <w:pStyle w:val="13"/>
              <w:rPr>
                <w:rFonts w:hint="default"/>
                <w:lang w:val="en-US" w:eastAsia="zh-CN"/>
              </w:rPr>
            </w:pPr>
            <w:r>
              <w:rPr>
                <w:rFonts w:hint="eastAsia"/>
                <w:lang w:val="en-US" w:eastAsia="zh-CN"/>
              </w:rPr>
              <w:t>5</w:t>
            </w:r>
          </w:p>
        </w:tc>
        <w:tc>
          <w:tcPr>
            <w:tcW w:w="1283" w:type="dxa"/>
            <w:vAlign w:val="center"/>
          </w:tcPr>
          <w:p>
            <w:pPr>
              <w:pStyle w:val="13"/>
            </w:pPr>
          </w:p>
        </w:tc>
        <w:tc>
          <w:tcPr>
            <w:tcW w:w="1867"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涞源县信访局2022年部门预算信息公开情况说明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涞源县信访局2022年部门预算信息公开情况说明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预算法》、《地方预决算公开操作规程》和《关于进一步推进预算公开工作的实施意见》规定，现将涞源县信访局2022年部门预算公开如下：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（一）研究提出全县信访工作思路，拟订信访工作规范性文件。</w:t>
      </w:r>
    </w:p>
    <w:p>
      <w:pPr>
        <w:pStyle w:val="19"/>
      </w:pPr>
      <w:r>
        <w:t>（二）办理人民群众来信，接待群众来访，受理群众网上投诉，查办信访案件，负责人民群众建议征集工作。</w:t>
      </w:r>
    </w:p>
    <w:p>
      <w:pPr>
        <w:pStyle w:val="19"/>
      </w:pPr>
      <w:r>
        <w:t>（三）调查研究和综合分析全县信访形势及信访工作状况，总结推广各地各部门信访工作经验，提出改进和加强信访工作的意见和建议。</w:t>
      </w:r>
    </w:p>
    <w:p>
      <w:pPr>
        <w:pStyle w:val="19"/>
      </w:pPr>
      <w:r>
        <w:t>（四）参与组织、协调、指导会县社会治安综合治理和维护社会政治稳定工作，协调保障国家和省、市、县重大政治活动顺利进行，参与处理影响社会政治稳定的突发性、群体性事件。</w:t>
      </w:r>
    </w:p>
    <w:p>
      <w:pPr>
        <w:pStyle w:val="19"/>
      </w:pPr>
      <w:r>
        <w:t>（五）督促检查和指导乡（镇）党委、政府和县直部门的信访工作。对乡（镇）党委、政府和县直有关部门信访工作年度责任目标进行考核，对全县社会治安综合治理和维护社会政治稳定年度责任目标中有关信访工作进行考核。</w:t>
      </w:r>
    </w:p>
    <w:p>
      <w:pPr>
        <w:pStyle w:val="19"/>
      </w:pPr>
      <w:r>
        <w:t>（六）协助国家、省和市信访局处理涞源县群众进京、赴省、到市上访工作，综合协调处理跨地区、跨部门、跨行业的重要信访问题，协助公安机关堆护县委、县政府机关正常工作族序。</w:t>
      </w:r>
    </w:p>
    <w:p>
      <w:pPr>
        <w:pStyle w:val="19"/>
      </w:pPr>
      <w:r>
        <w:t>（七）负责县级领导和县直部门领导公开接访、包联案件和重点信访事项会商的组织协调工作。</w:t>
      </w:r>
    </w:p>
    <w:p>
      <w:pPr>
        <w:pStyle w:val="19"/>
      </w:pPr>
      <w:r>
        <w:t>（八)承担涞源县信访工作联席会议的日常工作，督促落实联席会议决定的事项。</w:t>
      </w:r>
    </w:p>
    <w:p>
      <w:pPr>
        <w:pStyle w:val="19"/>
      </w:pPr>
      <w:r>
        <w:t>（九）完成县委、县政府以及国家信访局、省信访局、市信访局交办的其他任务。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部门预算的编制实行综合预算管理，即全部收入和支出都反映在预算中。涞源县信访局机关及所属事业单位的收支包含在部门预算中。</w:t>
      </w:r>
    </w:p>
    <w:p>
      <w:pPr>
        <w:pStyle w:val="20"/>
      </w:pPr>
      <w:r>
        <w:t>1、收入说明</w:t>
      </w:r>
    </w:p>
    <w:p>
      <w:pPr>
        <w:pStyle w:val="20"/>
      </w:pPr>
      <w:r>
        <w:t>反映本单位当年全部收入。2022年预算收入325.35万元，其中：一般公共预算收入325.35万元，基金预算收入0万元，国有资本经营预算收入0万元，财政专户核拨收入0万元，单位资金收入0万元，上年结转结余0万元。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河北省政府外债项目执行中心年度单位预算中支出预算的总体情况。2022年支出预算325.35万元，其中基本支出325.35万元，包括人员经费191.82万元和日常公用经费21.53万元；项目支出112万元，为外债项目管理经费。</w:t>
      </w:r>
    </w:p>
    <w:p>
      <w:pPr>
        <w:pStyle w:val="20"/>
      </w:pPr>
      <w:r>
        <w:t>3、比上年增减情况</w:t>
      </w:r>
    </w:p>
    <w:p>
      <w:pPr>
        <w:pStyle w:val="20"/>
      </w:pPr>
      <w:r>
        <w:t>2022年预算收支安排325.35万元，较2021年预算增加16.34万元，其中：基本支出增加63.99万元，主要为增加人员经费支出；项目支出减少47.65万元。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2022年，我单位运行经费共计安排21.53万元，主要用于办公费、公务接待费、公务用车运行维护费等日常运行支出。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2022年，我单位财政拨款“三公”经费预算安排8.5万元，其中公务用车运维费3.5万元；公务接待费5万元。与2021年相比无增减变化。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认真贯彻中央、省、市信访工作会议精神，紧紧围绕县委中心工作，坚持讲政治、顾大局，创新思路，强化举措，最大限度减少信访存量，严格控制增量，使信访秩序得到好转，信访形势总体运行平稳，严格执行《</w:t>
      </w:r>
      <w:r>
        <w:rPr>
          <w:rFonts w:hint="eastAsia"/>
          <w:lang w:eastAsia="zh-CN"/>
        </w:rPr>
        <w:t>中华人民共和国</w:t>
      </w:r>
      <w:bookmarkStart w:id="18" w:name="_GoBack"/>
      <w:bookmarkEnd w:id="18"/>
      <w:r>
        <w:t>预算法》，从严控制和压缩“三公”经费等一般性支出；努力降低行政管理和运行成本，优化服务环境。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1.要搞好二项排查。一是搞好日常排查。努力将矛盾化解在初始阶段。二是搞好特殊人群的排查。</w:t>
      </w:r>
    </w:p>
    <w:p>
      <w:pPr>
        <w:pStyle w:val="24"/>
      </w:pPr>
      <w:r>
        <w:t>2、进一步加大接访力度。县联席办要协调配合县级党政领导接访。同时要求各乡、镇、办事处、县直各部门每天要有一名领导接访，最大限度地将上访群众吸附在当地。</w:t>
      </w:r>
    </w:p>
    <w:p>
      <w:pPr>
        <w:pStyle w:val="24"/>
      </w:pPr>
      <w:r>
        <w:t>3、继续深入开展越级访和“非访”治理专项行动。</w:t>
      </w:r>
    </w:p>
    <w:p>
      <w:pPr>
        <w:pStyle w:val="24"/>
      </w:pPr>
      <w:r>
        <w:t>4、进一步规范信访秩序，端正信访导向，依法处置违法上访行为。</w:t>
      </w:r>
    </w:p>
    <w:p>
      <w:pPr>
        <w:pStyle w:val="24"/>
      </w:pPr>
      <w:r>
        <w:t>5、加强信访基础工作规范化建设。</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一是认真坚持县领导接待群众来访制度。</w:t>
      </w:r>
    </w:p>
    <w:p>
      <w:pPr>
        <w:pStyle w:val="25"/>
      </w:pPr>
      <w:r>
        <w:t>二是认真坚持信访苗头隐患排查化解制度。</w:t>
      </w:r>
    </w:p>
    <w:p>
      <w:pPr>
        <w:pStyle w:val="25"/>
      </w:pPr>
      <w:r>
        <w:t>三是切实加强初信初访，减少重信重访工作。</w:t>
      </w:r>
    </w:p>
    <w:p>
      <w:pPr>
        <w:pStyle w:val="25"/>
      </w:pPr>
      <w:r>
        <w:t>四是充分发挥职能作用，加强协调、督办，促进信访问题高效解决。</w:t>
      </w:r>
    </w:p>
    <w:p>
      <w:pPr>
        <w:pStyle w:val="25"/>
      </w:pPr>
      <w:r>
        <w:t>五是及时沟通信息，加大通报力度，促进各单位对信访工作的重视，从而推动全县信访工作总体提升。</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1、信访局维稳经费绩效目标表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1.处理突发问题及群体性事件、进京赴省到市值班、敏感时期各地值班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接访天数</w:t>
            </w:r>
          </w:p>
        </w:tc>
        <w:tc>
          <w:tcPr>
            <w:tcW w:w="2835" w:type="dxa"/>
            <w:vAlign w:val="center"/>
          </w:tcPr>
          <w:p>
            <w:pPr>
              <w:pStyle w:val="14"/>
            </w:pPr>
            <w:r>
              <w:t>驻京。赴省到市、敏感时期各地值班接访天数</w:t>
            </w:r>
          </w:p>
        </w:tc>
        <w:tc>
          <w:tcPr>
            <w:tcW w:w="2551" w:type="dxa"/>
            <w:vAlign w:val="center"/>
          </w:tcPr>
          <w:p>
            <w:pPr>
              <w:pStyle w:val="14"/>
            </w:pPr>
            <w:r>
              <w:t>≥350</w:t>
            </w:r>
          </w:p>
        </w:tc>
        <w:tc>
          <w:tcPr>
            <w:tcW w:w="2268" w:type="dxa"/>
            <w:vAlign w:val="center"/>
          </w:tcPr>
          <w:p>
            <w:pPr>
              <w:pStyle w:val="14"/>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接访任务完成率</w:t>
            </w:r>
          </w:p>
        </w:tc>
        <w:tc>
          <w:tcPr>
            <w:tcW w:w="2835" w:type="dxa"/>
            <w:vAlign w:val="center"/>
          </w:tcPr>
          <w:p>
            <w:pPr>
              <w:pStyle w:val="14"/>
            </w:pPr>
            <w:r>
              <w:t>接访工作完成情况占接访任务的比率</w:t>
            </w:r>
          </w:p>
        </w:tc>
        <w:tc>
          <w:tcPr>
            <w:tcW w:w="2551" w:type="dxa"/>
            <w:vAlign w:val="center"/>
          </w:tcPr>
          <w:p>
            <w:pPr>
              <w:pStyle w:val="14"/>
            </w:pPr>
            <w:r>
              <w:t>≥95</w:t>
            </w:r>
          </w:p>
        </w:tc>
        <w:tc>
          <w:tcPr>
            <w:tcW w:w="2268" w:type="dxa"/>
            <w:vAlign w:val="center"/>
          </w:tcPr>
          <w:p>
            <w:pPr>
              <w:pStyle w:val="14"/>
            </w:pPr>
            <w:r>
              <w:t>保信联办函【2021】38号、105号、342号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接访及时率</w:t>
            </w:r>
          </w:p>
        </w:tc>
        <w:tc>
          <w:tcPr>
            <w:tcW w:w="2835" w:type="dxa"/>
            <w:vAlign w:val="center"/>
          </w:tcPr>
          <w:p>
            <w:pPr>
              <w:pStyle w:val="14"/>
            </w:pPr>
            <w:r>
              <w:t>及时受理接访数量占信访事项的比率</w:t>
            </w:r>
          </w:p>
        </w:tc>
        <w:tc>
          <w:tcPr>
            <w:tcW w:w="2551" w:type="dxa"/>
            <w:vAlign w:val="center"/>
          </w:tcPr>
          <w:p>
            <w:pPr>
              <w:pStyle w:val="14"/>
            </w:pPr>
            <w:r>
              <w:t>≥95</w:t>
            </w:r>
          </w:p>
        </w:tc>
        <w:tc>
          <w:tcPr>
            <w:tcW w:w="2268" w:type="dxa"/>
            <w:vAlign w:val="center"/>
          </w:tcPr>
          <w:p>
            <w:pPr>
              <w:pStyle w:val="14"/>
            </w:pPr>
            <w:r>
              <w:t>涞联会议【2016】1号、【2013】10号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实际支出资金÷预算资金X100%</w:t>
            </w:r>
          </w:p>
        </w:tc>
        <w:tc>
          <w:tcPr>
            <w:tcW w:w="2551" w:type="dxa"/>
            <w:vAlign w:val="center"/>
          </w:tcPr>
          <w:p>
            <w:pPr>
              <w:pStyle w:val="14"/>
            </w:pPr>
            <w:r>
              <w:t>≥95</w:t>
            </w:r>
          </w:p>
        </w:tc>
        <w:tc>
          <w:tcPr>
            <w:tcW w:w="2268" w:type="dxa"/>
            <w:vAlign w:val="center"/>
          </w:tcPr>
          <w:p>
            <w:pPr>
              <w:pStyle w:val="14"/>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≥95</w:t>
            </w:r>
          </w:p>
        </w:tc>
        <w:tc>
          <w:tcPr>
            <w:tcW w:w="2268" w:type="dxa"/>
            <w:vAlign w:val="center"/>
          </w:tcPr>
          <w:p>
            <w:pPr>
              <w:pStyle w:val="14"/>
            </w:pPr>
            <w:r>
              <w:t>保信联办函【2021】48号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信访成果</w:t>
            </w:r>
          </w:p>
        </w:tc>
        <w:tc>
          <w:tcPr>
            <w:tcW w:w="2835" w:type="dxa"/>
            <w:vAlign w:val="center"/>
          </w:tcPr>
          <w:p>
            <w:pPr>
              <w:pStyle w:val="14"/>
            </w:pPr>
            <w:r>
              <w:t>维护全县信访稳定、确保不发生越级集体访</w:t>
            </w:r>
          </w:p>
        </w:tc>
        <w:tc>
          <w:tcPr>
            <w:tcW w:w="2551" w:type="dxa"/>
            <w:vAlign w:val="center"/>
          </w:tcPr>
          <w:p>
            <w:pPr>
              <w:pStyle w:val="14"/>
            </w:pPr>
            <w:r>
              <w:t>≥95</w:t>
            </w:r>
          </w:p>
        </w:tc>
        <w:tc>
          <w:tcPr>
            <w:tcW w:w="2268" w:type="dxa"/>
            <w:vAlign w:val="center"/>
          </w:tcPr>
          <w:p>
            <w:pPr>
              <w:pStyle w:val="14"/>
            </w:pPr>
            <w:r>
              <w:t>保信联办函【2021】320号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保信联办函【2021】320号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减少上访率</w:t>
            </w:r>
          </w:p>
        </w:tc>
        <w:tc>
          <w:tcPr>
            <w:tcW w:w="2835" w:type="dxa"/>
            <w:vAlign w:val="center"/>
          </w:tcPr>
          <w:p>
            <w:pPr>
              <w:pStyle w:val="14"/>
            </w:pPr>
            <w:r>
              <w:t>减少突发问题及群体性事件</w:t>
            </w:r>
          </w:p>
        </w:tc>
        <w:tc>
          <w:tcPr>
            <w:tcW w:w="2551" w:type="dxa"/>
            <w:vAlign w:val="center"/>
          </w:tcPr>
          <w:p>
            <w:pPr>
              <w:pStyle w:val="14"/>
            </w:pPr>
            <w:r>
              <w:t>≥95</w:t>
            </w:r>
          </w:p>
        </w:tc>
        <w:tc>
          <w:tcPr>
            <w:tcW w:w="2268" w:type="dxa"/>
            <w:vAlign w:val="center"/>
          </w:tcPr>
          <w:p>
            <w:pPr>
              <w:pStyle w:val="14"/>
            </w:pPr>
            <w:r>
              <w:t>保信联办函【2021】230号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反映信访群众满意度</w:t>
            </w:r>
          </w:p>
        </w:tc>
        <w:tc>
          <w:tcPr>
            <w:tcW w:w="2551" w:type="dxa"/>
            <w:vAlign w:val="center"/>
          </w:tcPr>
          <w:p>
            <w:pPr>
              <w:pStyle w:val="14"/>
            </w:pPr>
            <w:r>
              <w:t>≥95</w:t>
            </w:r>
          </w:p>
        </w:tc>
        <w:tc>
          <w:tcPr>
            <w:tcW w:w="2268" w:type="dxa"/>
            <w:vAlign w:val="center"/>
          </w:tcPr>
          <w:p>
            <w:pPr>
              <w:pStyle w:val="14"/>
            </w:pPr>
            <w:r>
              <w:t>保信联办函【2021】38号、105号、342号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2、信访局宣传资料、征订报刊、培训费等费用绩效目标表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1.避免或减少越级访重复访或集体访、维护信访秩序。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宣传资料印制、培训次数</w:t>
            </w:r>
          </w:p>
        </w:tc>
        <w:tc>
          <w:tcPr>
            <w:tcW w:w="2835" w:type="dxa"/>
            <w:vAlign w:val="center"/>
          </w:tcPr>
          <w:p>
            <w:pPr>
              <w:pStyle w:val="14"/>
            </w:pPr>
            <w:r>
              <w:t>宣传资料印制、培训次数</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宣传力度</w:t>
            </w:r>
          </w:p>
        </w:tc>
        <w:tc>
          <w:tcPr>
            <w:tcW w:w="2835" w:type="dxa"/>
            <w:vAlign w:val="center"/>
          </w:tcPr>
          <w:p>
            <w:pPr>
              <w:pStyle w:val="14"/>
            </w:pPr>
            <w:r>
              <w:t>宣传力度</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实际成本资金÷预算资金X100%</w:t>
            </w:r>
          </w:p>
        </w:tc>
        <w:tc>
          <w:tcPr>
            <w:tcW w:w="2835" w:type="dxa"/>
            <w:vAlign w:val="center"/>
          </w:tcPr>
          <w:p>
            <w:pPr>
              <w:pStyle w:val="14"/>
            </w:pPr>
            <w:r>
              <w:t>避免或减少越级访重复访或集体访。</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对各乡镇考核情况</w:t>
            </w:r>
          </w:p>
        </w:tc>
        <w:tc>
          <w:tcPr>
            <w:tcW w:w="2835" w:type="dxa"/>
            <w:vAlign w:val="center"/>
          </w:tcPr>
          <w:p>
            <w:pPr>
              <w:pStyle w:val="14"/>
            </w:pPr>
            <w:r>
              <w:t>对各乡镇考核情况</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工作进度</w:t>
            </w:r>
          </w:p>
        </w:tc>
        <w:tc>
          <w:tcPr>
            <w:tcW w:w="2835" w:type="dxa"/>
            <w:vAlign w:val="center"/>
          </w:tcPr>
          <w:p>
            <w:pPr>
              <w:pStyle w:val="14"/>
            </w:pPr>
            <w:r>
              <w:t>避免或减少越级访重复访或集体访</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避免或减少越级访重复访或集体访</w:t>
            </w:r>
          </w:p>
        </w:tc>
        <w:tc>
          <w:tcPr>
            <w:tcW w:w="2835" w:type="dxa"/>
            <w:vAlign w:val="center"/>
          </w:tcPr>
          <w:p>
            <w:pPr>
              <w:pStyle w:val="14"/>
            </w:pPr>
            <w:r>
              <w:t>维护信访秩序</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提高群众对信访条例的认知</w:t>
            </w:r>
          </w:p>
        </w:tc>
        <w:tc>
          <w:tcPr>
            <w:tcW w:w="2835" w:type="dxa"/>
            <w:vAlign w:val="center"/>
          </w:tcPr>
          <w:p>
            <w:pPr>
              <w:pStyle w:val="14"/>
            </w:pPr>
            <w:r>
              <w:t>提高群众对信访条例的认知</w:t>
            </w:r>
          </w:p>
        </w:tc>
        <w:tc>
          <w:tcPr>
            <w:tcW w:w="2551" w:type="dxa"/>
            <w:vAlign w:val="center"/>
          </w:tcPr>
          <w:p>
            <w:pPr>
              <w:pStyle w:val="14"/>
            </w:pPr>
            <w:r>
              <w:t>≥95</w:t>
            </w:r>
          </w:p>
        </w:tc>
        <w:tc>
          <w:tcPr>
            <w:tcW w:w="2268" w:type="dxa"/>
            <w:vAlign w:val="center"/>
          </w:tcPr>
          <w:p>
            <w:pPr>
              <w:pStyle w:val="14"/>
            </w:pPr>
            <w:r>
              <w:t>根据省、市、县要求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w:t>
            </w:r>
          </w:p>
        </w:tc>
        <w:tc>
          <w:tcPr>
            <w:tcW w:w="2551" w:type="dxa"/>
            <w:vAlign w:val="center"/>
          </w:tcPr>
          <w:p>
            <w:pPr>
              <w:pStyle w:val="14"/>
            </w:pPr>
            <w:r>
              <w:t>≥95</w:t>
            </w:r>
          </w:p>
        </w:tc>
        <w:tc>
          <w:tcPr>
            <w:tcW w:w="2268" w:type="dxa"/>
            <w:vAlign w:val="center"/>
          </w:tcPr>
          <w:p>
            <w:pPr>
              <w:pStyle w:val="14"/>
            </w:pPr>
            <w:r>
              <w:t>根据省、市、县要求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501涞源县信访局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涞源县信访局（含所属单位）上年末固定资产金额为101.58万元（详见下表）。本年度拟购置固定资产总额为0.00万元，已按要求列入政府采购预算，详见政府采购预算表。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501涞源县信访局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101.58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94.08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MTVhNDg5MzhkYzg3ZGY2NTIwMDk1YzJjOGI2YmIifQ=="/>
  </w:docVars>
  <w:rsids>
    <w:rsidRoot w:val="00000000"/>
    <w:rsid w:val="0F094D1D"/>
    <w:rsid w:val="186419EC"/>
    <w:rsid w:val="196B0A84"/>
    <w:rsid w:val="1EC063FA"/>
    <w:rsid w:val="3D2900F1"/>
    <w:rsid w:val="501779F1"/>
    <w:rsid w:val="5066455C"/>
    <w:rsid w:val="52605AB4"/>
    <w:rsid w:val="535500DF"/>
    <w:rsid w:val="65943950"/>
    <w:rsid w:val="7C577D73"/>
    <w:rsid w:val="7E8F6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2022-04-14T16:07:09Z</dcterms:created>
  <dcterms:modified xsi:type="dcterms:W3CDTF">2022-04-14T08:07:09Z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2022-04-14T16:07:07Z</dcterms:created>
  <dcterms:modified xsi:type="dcterms:W3CDTF">2022-04-14T08:07:07Z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2022-04-14T16:07:06Z</dcterms:created>
  <dcterms:modified xsi:type="dcterms:W3CDTF">2022-04-14T08:07:06Z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2022-04-14T16:07:10Z</dcterms:created>
  <dcterms:modified xsi:type="dcterms:W3CDTF">2022-04-14T08:07:10Z</dcterms:modified>
</cp:coreProperties>
</file>

<file path=customXml/itemProps1.xml><?xml version="1.0" encoding="utf-8"?>
<ds:datastoreItem xmlns:ds="http://schemas.openxmlformats.org/officeDocument/2006/customXml" ds:itemID="{c2c6652b-42e2-40bf-af0f-b67789c2fc61}">
  <ds:schemaRefs/>
</ds:datastoreItem>
</file>

<file path=customXml/itemProps10.xml><?xml version="1.0" encoding="utf-8"?>
<ds:datastoreItem xmlns:ds="http://schemas.openxmlformats.org/officeDocument/2006/customXml" ds:itemID="{5d39ebc1-3218-4a24-9c8a-1257708618f2}">
  <ds:schemaRefs/>
</ds:datastoreItem>
</file>

<file path=customXml/itemProps11.xml><?xml version="1.0" encoding="utf-8"?>
<ds:datastoreItem xmlns:ds="http://schemas.openxmlformats.org/officeDocument/2006/customXml" ds:itemID="{c6f98447-f099-4065-aa4b-c5cae13e83dd}">
  <ds:schemaRefs/>
</ds:datastoreItem>
</file>

<file path=customXml/itemProps12.xml><?xml version="1.0" encoding="utf-8"?>
<ds:datastoreItem xmlns:ds="http://schemas.openxmlformats.org/officeDocument/2006/customXml" ds:itemID="{c8992a98-20fd-49e3-9b51-5dc9d84ab4c6}">
  <ds:schemaRefs/>
</ds:datastoreItem>
</file>

<file path=customXml/itemProps13.xml><?xml version="1.0" encoding="utf-8"?>
<ds:datastoreItem xmlns:ds="http://schemas.openxmlformats.org/officeDocument/2006/customXml" ds:itemID="{69e03387-d437-43f0-993b-b6a3bacdebed}">
  <ds:schemaRefs/>
</ds:datastoreItem>
</file>

<file path=customXml/itemProps14.xml><?xml version="1.0" encoding="utf-8"?>
<ds:datastoreItem xmlns:ds="http://schemas.openxmlformats.org/officeDocument/2006/customXml" ds:itemID="{3b4112c7-2fd6-46b5-9b77-cd28f1f36688}">
  <ds:schemaRefs/>
</ds:datastoreItem>
</file>

<file path=customXml/itemProps15.xml><?xml version="1.0" encoding="utf-8"?>
<ds:datastoreItem xmlns:ds="http://schemas.openxmlformats.org/officeDocument/2006/customXml" ds:itemID="{60944261-49c6-4d6f-b22b-f0a8b179e3ea}">
  <ds:schemaRefs/>
</ds:datastoreItem>
</file>

<file path=customXml/itemProps16.xml><?xml version="1.0" encoding="utf-8"?>
<ds:datastoreItem xmlns:ds="http://schemas.openxmlformats.org/officeDocument/2006/customXml" ds:itemID="{f41142b2-1e13-497b-8323-dc30f96bd405}">
  <ds:schemaRefs/>
</ds:datastoreItem>
</file>

<file path=customXml/itemProps17.xml><?xml version="1.0" encoding="utf-8"?>
<ds:datastoreItem xmlns:ds="http://schemas.openxmlformats.org/officeDocument/2006/customXml" ds:itemID="{5be60c8e-b688-44d3-9a76-bfb9952fb6c4}">
  <ds:schemaRefs/>
</ds:datastoreItem>
</file>

<file path=customXml/itemProps18.xml><?xml version="1.0" encoding="utf-8"?>
<ds:datastoreItem xmlns:ds="http://schemas.openxmlformats.org/officeDocument/2006/customXml" ds:itemID="{e310112f-8751-412d-91c2-01d423bd035a}">
  <ds:schemaRefs/>
</ds:datastoreItem>
</file>

<file path=customXml/itemProps2.xml><?xml version="1.0" encoding="utf-8"?>
<ds:datastoreItem xmlns:ds="http://schemas.openxmlformats.org/officeDocument/2006/customXml" ds:itemID="{cb606132-f735-4c7d-ad5e-e6aa896f30d1}">
  <ds:schemaRefs/>
</ds:datastoreItem>
</file>

<file path=customXml/itemProps3.xml><?xml version="1.0" encoding="utf-8"?>
<ds:datastoreItem xmlns:ds="http://schemas.openxmlformats.org/officeDocument/2006/customXml" ds:itemID="{8c2a80a1-f7dd-4f87-929f-d1dbd68481a5}">
  <ds:schemaRefs/>
</ds:datastoreItem>
</file>

<file path=customXml/itemProps4.xml><?xml version="1.0" encoding="utf-8"?>
<ds:datastoreItem xmlns:ds="http://schemas.openxmlformats.org/officeDocument/2006/customXml" ds:itemID="{c6022c85-6709-4090-9d30-b2d6c2c6e051}">
  <ds:schemaRefs/>
</ds:datastoreItem>
</file>

<file path=customXml/itemProps5.xml><?xml version="1.0" encoding="utf-8"?>
<ds:datastoreItem xmlns:ds="http://schemas.openxmlformats.org/officeDocument/2006/customXml" ds:itemID="{8b25237c-9333-45a8-ba28-7264644e9b32}">
  <ds:schemaRefs/>
</ds:datastoreItem>
</file>

<file path=customXml/itemProps6.xml><?xml version="1.0" encoding="utf-8"?>
<ds:datastoreItem xmlns:ds="http://schemas.openxmlformats.org/officeDocument/2006/customXml" ds:itemID="{afe3f0b1-717c-4e8b-9ce2-c593433cf3ad}">
  <ds:schemaRefs/>
</ds:datastoreItem>
</file>

<file path=customXml/itemProps7.xml><?xml version="1.0" encoding="utf-8"?>
<ds:datastoreItem xmlns:ds="http://schemas.openxmlformats.org/officeDocument/2006/customXml" ds:itemID="{53271fa2-607c-482b-9abd-a70a4bd10ad3}">
  <ds:schemaRefs/>
</ds:datastoreItem>
</file>

<file path=customXml/itemProps8.xml><?xml version="1.0" encoding="utf-8"?>
<ds:datastoreItem xmlns:ds="http://schemas.openxmlformats.org/officeDocument/2006/customXml" ds:itemID="{368b0069-790f-49e2-9f95-83c0dc37691d}">
  <ds:schemaRefs/>
</ds:datastoreItem>
</file>

<file path=customXml/itemProps9.xml><?xml version="1.0" encoding="utf-8"?>
<ds:datastoreItem xmlns:ds="http://schemas.openxmlformats.org/officeDocument/2006/customXml" ds:itemID="{a0ff8c84-761d-465f-9fd8-137d836bafd9}">
  <ds:schemaRefs/>
</ds:datastoreItem>
</file>

<file path=docProps/app.xml><?xml version="1.0" encoding="utf-8"?>
<Properties xmlns="http://schemas.openxmlformats.org/officeDocument/2006/extended-properties" xmlns:vt="http://schemas.openxmlformats.org/officeDocument/2006/docPropsVTypes">
  <Pages>37</Pages>
  <Words>6398</Words>
  <Characters>7668</Characters>
  <TotalTime>13</TotalTime>
  <ScaleCrop>false</ScaleCrop>
  <LinksUpToDate>false</LinksUpToDate>
  <CharactersWithSpaces>7940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Administrator</dc:creator>
  <cp:lastModifiedBy>Administrator</cp:lastModifiedBy>
  <cp:lastPrinted>2022-04-21T12:03:00Z</cp:lastPrinted>
  <dcterms:modified xsi:type="dcterms:W3CDTF">2024-01-25T06:56:15Z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DC6C5264C1FE46AEBB31A831C6381258</vt:lpwstr>
  </property>
</Properties>
</file>