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501001涞源县信访局本级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325.35</w:t>
            </w:r>
          </w:p>
        </w:tc>
        <w:tc>
          <w:tcPr>
            <w:tcW w:w="4535" w:type="dxa"/>
            <w:vAlign w:val="center"/>
          </w:tcPr>
          <w:p>
            <w:pPr>
              <w:pStyle w:val="14"/>
            </w:pPr>
            <w:r>
              <w:t>一、一般公共服务支出</w:t>
            </w:r>
          </w:p>
        </w:tc>
        <w:tc>
          <w:tcPr>
            <w:tcW w:w="2126" w:type="dxa"/>
            <w:vAlign w:val="center"/>
          </w:tcPr>
          <w:p>
            <w:pPr>
              <w:pStyle w:val="13"/>
            </w:pPr>
            <w:r>
              <w:t>286.79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325.35</w:t>
            </w:r>
          </w:p>
        </w:tc>
        <w:tc>
          <w:tcPr>
            <w:tcW w:w="4535" w:type="dxa"/>
            <w:vAlign w:val="center"/>
          </w:tcPr>
          <w:p>
            <w:pPr>
              <w:pStyle w:val="16"/>
            </w:pPr>
            <w:r>
              <w:t>本年支出合计</w:t>
            </w:r>
          </w:p>
        </w:tc>
        <w:tc>
          <w:tcPr>
            <w:tcW w:w="2126" w:type="dxa"/>
            <w:vAlign w:val="center"/>
          </w:tcPr>
          <w:p>
            <w:pPr>
              <w:pStyle w:val="17"/>
            </w:pPr>
            <w:r>
              <w:t>325.35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325.35</w:t>
            </w:r>
          </w:p>
        </w:tc>
        <w:tc>
          <w:tcPr>
            <w:tcW w:w="4535" w:type="dxa"/>
            <w:vAlign w:val="center"/>
          </w:tcPr>
          <w:p>
            <w:pPr>
              <w:pStyle w:val="16"/>
            </w:pPr>
            <w:r>
              <w:t>支出总计</w:t>
            </w:r>
          </w:p>
        </w:tc>
        <w:tc>
          <w:tcPr>
            <w:tcW w:w="2126" w:type="dxa"/>
            <w:vAlign w:val="center"/>
          </w:tcPr>
          <w:p>
            <w:pPr>
              <w:pStyle w:val="17"/>
            </w:pPr>
            <w:r>
              <w:t>325.35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501001涞源县信访局本级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325.35</w:t>
            </w:r>
          </w:p>
        </w:tc>
        <w:tc>
          <w:tcPr>
            <w:tcW w:w="1134" w:type="dxa"/>
            <w:vAlign w:val="center"/>
          </w:tcPr>
          <w:p>
            <w:pPr>
              <w:pStyle w:val="17"/>
            </w:pPr>
            <w:r>
              <w:t>325.35</w:t>
            </w:r>
          </w:p>
        </w:tc>
        <w:tc>
          <w:tcPr>
            <w:tcW w:w="1134" w:type="dxa"/>
            <w:vAlign w:val="center"/>
          </w:tcPr>
          <w:p>
            <w:pPr>
              <w:pStyle w:val="17"/>
            </w:pPr>
            <w:r>
              <w:t>325.35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0.27</w:t>
            </w:r>
          </w:p>
        </w:tc>
        <w:tc>
          <w:tcPr>
            <w:tcW w:w="1134" w:type="dxa"/>
            <w:vAlign w:val="center"/>
          </w:tcPr>
          <w:p>
            <w:pPr>
              <w:pStyle w:val="13"/>
            </w:pPr>
            <w:r>
              <w:t>0.27</w:t>
            </w:r>
          </w:p>
        </w:tc>
        <w:tc>
          <w:tcPr>
            <w:tcW w:w="1134" w:type="dxa"/>
            <w:vAlign w:val="center"/>
          </w:tcPr>
          <w:p>
            <w:pPr>
              <w:pStyle w:val="13"/>
            </w:pPr>
            <w:r>
              <w:t>0.27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11.14</w:t>
            </w:r>
          </w:p>
        </w:tc>
        <w:tc>
          <w:tcPr>
            <w:tcW w:w="1134" w:type="dxa"/>
            <w:vAlign w:val="center"/>
          </w:tcPr>
          <w:p>
            <w:pPr>
              <w:pStyle w:val="13"/>
            </w:pPr>
            <w:r>
              <w:t>11.14</w:t>
            </w:r>
          </w:p>
        </w:tc>
        <w:tc>
          <w:tcPr>
            <w:tcW w:w="1134" w:type="dxa"/>
            <w:vAlign w:val="center"/>
          </w:tcPr>
          <w:p>
            <w:pPr>
              <w:pStyle w:val="13"/>
            </w:pPr>
            <w:r>
              <w:t>11.14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13.63</w:t>
            </w:r>
          </w:p>
        </w:tc>
        <w:tc>
          <w:tcPr>
            <w:tcW w:w="1134" w:type="dxa"/>
            <w:vAlign w:val="center"/>
          </w:tcPr>
          <w:p>
            <w:pPr>
              <w:pStyle w:val="13"/>
            </w:pPr>
            <w:r>
              <w:t>13.63</w:t>
            </w:r>
          </w:p>
        </w:tc>
        <w:tc>
          <w:tcPr>
            <w:tcW w:w="1134" w:type="dxa"/>
            <w:vAlign w:val="center"/>
          </w:tcPr>
          <w:p>
            <w:pPr>
              <w:pStyle w:val="13"/>
            </w:pPr>
            <w:r>
              <w:t>13.63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7.01</w:t>
            </w:r>
          </w:p>
        </w:tc>
        <w:tc>
          <w:tcPr>
            <w:tcW w:w="1134" w:type="dxa"/>
            <w:vAlign w:val="center"/>
          </w:tcPr>
          <w:p>
            <w:pPr>
              <w:pStyle w:val="13"/>
            </w:pPr>
            <w:r>
              <w:t>7.01</w:t>
            </w:r>
          </w:p>
        </w:tc>
        <w:tc>
          <w:tcPr>
            <w:tcW w:w="1134" w:type="dxa"/>
            <w:vAlign w:val="center"/>
          </w:tcPr>
          <w:p>
            <w:pPr>
              <w:pStyle w:val="13"/>
            </w:pPr>
            <w:r>
              <w:t>7.01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325.35</w:t>
            </w:r>
          </w:p>
        </w:tc>
        <w:tc>
          <w:tcPr>
            <w:tcW w:w="1361" w:type="dxa"/>
            <w:vAlign w:val="center"/>
          </w:tcPr>
          <w:p>
            <w:pPr>
              <w:pStyle w:val="17"/>
            </w:pPr>
            <w:r>
              <w:t>213.35</w:t>
            </w:r>
          </w:p>
        </w:tc>
        <w:tc>
          <w:tcPr>
            <w:tcW w:w="1361" w:type="dxa"/>
            <w:vAlign w:val="center"/>
          </w:tcPr>
          <w:p>
            <w:pPr>
              <w:pStyle w:val="17"/>
            </w:pPr>
            <w:r>
              <w:t>112.00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286.79</w:t>
            </w:r>
          </w:p>
        </w:tc>
        <w:tc>
          <w:tcPr>
            <w:tcW w:w="1361" w:type="dxa"/>
            <w:vAlign w:val="center"/>
          </w:tcPr>
          <w:p>
            <w:pPr>
              <w:pStyle w:val="13"/>
            </w:pPr>
            <w:r>
              <w:t>174.79</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286.79</w:t>
            </w:r>
          </w:p>
        </w:tc>
        <w:tc>
          <w:tcPr>
            <w:tcW w:w="1361" w:type="dxa"/>
            <w:vAlign w:val="center"/>
          </w:tcPr>
          <w:p>
            <w:pPr>
              <w:pStyle w:val="13"/>
            </w:pPr>
            <w:r>
              <w:t>174.79</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286.79</w:t>
            </w:r>
          </w:p>
        </w:tc>
        <w:tc>
          <w:tcPr>
            <w:tcW w:w="1361" w:type="dxa"/>
            <w:vAlign w:val="center"/>
          </w:tcPr>
          <w:p>
            <w:pPr>
              <w:pStyle w:val="13"/>
            </w:pPr>
            <w:r>
              <w:t>174.79</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32.05</w:t>
            </w:r>
          </w:p>
        </w:tc>
        <w:tc>
          <w:tcPr>
            <w:tcW w:w="1361" w:type="dxa"/>
            <w:vAlign w:val="center"/>
          </w:tcPr>
          <w:p>
            <w:pPr>
              <w:pStyle w:val="13"/>
            </w:pPr>
            <w:r>
              <w:t>32.05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32.05</w:t>
            </w:r>
          </w:p>
        </w:tc>
        <w:tc>
          <w:tcPr>
            <w:tcW w:w="1361" w:type="dxa"/>
            <w:vAlign w:val="center"/>
          </w:tcPr>
          <w:p>
            <w:pPr>
              <w:pStyle w:val="13"/>
            </w:pPr>
            <w:r>
              <w:t>32.05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0.27</w:t>
            </w:r>
          </w:p>
        </w:tc>
        <w:tc>
          <w:tcPr>
            <w:tcW w:w="1361" w:type="dxa"/>
            <w:vAlign w:val="center"/>
          </w:tcPr>
          <w:p>
            <w:pPr>
              <w:pStyle w:val="13"/>
            </w:pPr>
            <w:r>
              <w:t>0.27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11.14</w:t>
            </w:r>
          </w:p>
        </w:tc>
        <w:tc>
          <w:tcPr>
            <w:tcW w:w="1361" w:type="dxa"/>
            <w:vAlign w:val="center"/>
          </w:tcPr>
          <w:p>
            <w:pPr>
              <w:pStyle w:val="13"/>
            </w:pPr>
            <w:r>
              <w:t>11.14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13.63</w:t>
            </w:r>
          </w:p>
        </w:tc>
        <w:tc>
          <w:tcPr>
            <w:tcW w:w="1361" w:type="dxa"/>
            <w:vAlign w:val="center"/>
          </w:tcPr>
          <w:p>
            <w:pPr>
              <w:pStyle w:val="13"/>
            </w:pPr>
            <w:r>
              <w:t>13.63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7.01</w:t>
            </w:r>
          </w:p>
        </w:tc>
        <w:tc>
          <w:tcPr>
            <w:tcW w:w="1361" w:type="dxa"/>
            <w:vAlign w:val="center"/>
          </w:tcPr>
          <w:p>
            <w:pPr>
              <w:pStyle w:val="13"/>
            </w:pPr>
            <w:r>
              <w:t>7.01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325.35</w:t>
            </w:r>
          </w:p>
        </w:tc>
        <w:tc>
          <w:tcPr>
            <w:tcW w:w="3402" w:type="dxa"/>
            <w:vAlign w:val="center"/>
          </w:tcPr>
          <w:p>
            <w:pPr>
              <w:pStyle w:val="14"/>
            </w:pPr>
            <w:r>
              <w:t>一、一般公共服务支出</w:t>
            </w:r>
          </w:p>
        </w:tc>
        <w:tc>
          <w:tcPr>
            <w:tcW w:w="1474" w:type="dxa"/>
            <w:vAlign w:val="center"/>
          </w:tcPr>
          <w:p>
            <w:pPr>
              <w:pStyle w:val="13"/>
            </w:pPr>
            <w:r>
              <w:t>286.79</w:t>
            </w:r>
          </w:p>
        </w:tc>
        <w:tc>
          <w:tcPr>
            <w:tcW w:w="1474" w:type="dxa"/>
            <w:vAlign w:val="center"/>
          </w:tcPr>
          <w:p>
            <w:pPr>
              <w:pStyle w:val="13"/>
            </w:pPr>
            <w:r>
              <w:t>286.79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32.05</w:t>
            </w:r>
          </w:p>
        </w:tc>
        <w:tc>
          <w:tcPr>
            <w:tcW w:w="1474" w:type="dxa"/>
            <w:vAlign w:val="center"/>
          </w:tcPr>
          <w:p>
            <w:pPr>
              <w:pStyle w:val="13"/>
            </w:pPr>
            <w:r>
              <w:t>32.05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6.51</w:t>
            </w:r>
          </w:p>
        </w:tc>
        <w:tc>
          <w:tcPr>
            <w:tcW w:w="1474" w:type="dxa"/>
            <w:vAlign w:val="center"/>
          </w:tcPr>
          <w:p>
            <w:pPr>
              <w:pStyle w:val="13"/>
            </w:pPr>
            <w:r>
              <w:t>6.51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325.35</w:t>
            </w:r>
          </w:p>
        </w:tc>
        <w:tc>
          <w:tcPr>
            <w:tcW w:w="3402" w:type="dxa"/>
            <w:vAlign w:val="center"/>
          </w:tcPr>
          <w:p>
            <w:pPr>
              <w:pStyle w:val="16"/>
            </w:pPr>
            <w:r>
              <w:t>本年支出合计</w:t>
            </w:r>
          </w:p>
        </w:tc>
        <w:tc>
          <w:tcPr>
            <w:tcW w:w="1474" w:type="dxa"/>
            <w:vAlign w:val="center"/>
          </w:tcPr>
          <w:p>
            <w:pPr>
              <w:pStyle w:val="17"/>
            </w:pPr>
            <w:r>
              <w:t>325.35</w:t>
            </w:r>
          </w:p>
        </w:tc>
        <w:tc>
          <w:tcPr>
            <w:tcW w:w="1474" w:type="dxa"/>
            <w:vAlign w:val="center"/>
          </w:tcPr>
          <w:p>
            <w:pPr>
              <w:pStyle w:val="17"/>
            </w:pPr>
            <w:r>
              <w:t>325.35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325.35</w:t>
            </w:r>
          </w:p>
        </w:tc>
        <w:tc>
          <w:tcPr>
            <w:tcW w:w="3402" w:type="dxa"/>
            <w:vAlign w:val="center"/>
          </w:tcPr>
          <w:p>
            <w:pPr>
              <w:pStyle w:val="16"/>
            </w:pPr>
            <w:r>
              <w:t>支出总计</w:t>
            </w:r>
          </w:p>
        </w:tc>
        <w:tc>
          <w:tcPr>
            <w:tcW w:w="1474" w:type="dxa"/>
            <w:vAlign w:val="center"/>
          </w:tcPr>
          <w:p>
            <w:pPr>
              <w:pStyle w:val="17"/>
            </w:pPr>
            <w:r>
              <w:t>325.35</w:t>
            </w:r>
          </w:p>
        </w:tc>
        <w:tc>
          <w:tcPr>
            <w:tcW w:w="1474" w:type="dxa"/>
            <w:vAlign w:val="center"/>
          </w:tcPr>
          <w:p>
            <w:pPr>
              <w:pStyle w:val="17"/>
            </w:pPr>
            <w:r>
              <w:t>325.35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325.35</w:t>
            </w:r>
          </w:p>
        </w:tc>
        <w:tc>
          <w:tcPr>
            <w:tcW w:w="2551" w:type="dxa"/>
            <w:vAlign w:val="center"/>
          </w:tcPr>
          <w:p>
            <w:pPr>
              <w:pStyle w:val="17"/>
            </w:pPr>
            <w:r>
              <w:t>213.35</w:t>
            </w:r>
          </w:p>
        </w:tc>
        <w:tc>
          <w:tcPr>
            <w:tcW w:w="2551" w:type="dxa"/>
            <w:vAlign w:val="center"/>
          </w:tcPr>
          <w:p>
            <w:pPr>
              <w:pStyle w:val="17"/>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0.27</w:t>
            </w:r>
          </w:p>
        </w:tc>
        <w:tc>
          <w:tcPr>
            <w:tcW w:w="2551" w:type="dxa"/>
            <w:vAlign w:val="center"/>
          </w:tcPr>
          <w:p>
            <w:pPr>
              <w:pStyle w:val="13"/>
            </w:pPr>
            <w:r>
              <w:t>0.27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11.14</w:t>
            </w:r>
          </w:p>
        </w:tc>
        <w:tc>
          <w:tcPr>
            <w:tcW w:w="2551" w:type="dxa"/>
            <w:vAlign w:val="center"/>
          </w:tcPr>
          <w:p>
            <w:pPr>
              <w:pStyle w:val="13"/>
            </w:pPr>
            <w:r>
              <w:t>11.14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13.63</w:t>
            </w:r>
          </w:p>
        </w:tc>
        <w:tc>
          <w:tcPr>
            <w:tcW w:w="2551" w:type="dxa"/>
            <w:vAlign w:val="center"/>
          </w:tcPr>
          <w:p>
            <w:pPr>
              <w:pStyle w:val="13"/>
            </w:pPr>
            <w:r>
              <w:t>13.63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213.35</w:t>
            </w:r>
          </w:p>
        </w:tc>
        <w:tc>
          <w:tcPr>
            <w:tcW w:w="2551" w:type="dxa"/>
            <w:vAlign w:val="center"/>
          </w:tcPr>
          <w:p>
            <w:pPr>
              <w:pStyle w:val="17"/>
            </w:pPr>
            <w:r>
              <w:t>191.82</w:t>
            </w:r>
          </w:p>
        </w:tc>
        <w:tc>
          <w:tcPr>
            <w:tcW w:w="2551" w:type="dxa"/>
            <w:vAlign w:val="center"/>
          </w:tcPr>
          <w:p>
            <w:pPr>
              <w:pStyle w:val="17"/>
            </w:pPr>
            <w:r>
              <w:t>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166.25</w:t>
            </w:r>
          </w:p>
        </w:tc>
        <w:tc>
          <w:tcPr>
            <w:tcW w:w="2551" w:type="dxa"/>
            <w:vAlign w:val="center"/>
          </w:tcPr>
          <w:p>
            <w:pPr>
              <w:pStyle w:val="13"/>
            </w:pPr>
            <w:r>
              <w:t>166.25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52.90</w:t>
            </w:r>
          </w:p>
        </w:tc>
        <w:tc>
          <w:tcPr>
            <w:tcW w:w="2551" w:type="dxa"/>
            <w:vAlign w:val="center"/>
          </w:tcPr>
          <w:p>
            <w:pPr>
              <w:pStyle w:val="13"/>
            </w:pPr>
            <w:r>
              <w:t>52.90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28.39</w:t>
            </w:r>
          </w:p>
        </w:tc>
        <w:tc>
          <w:tcPr>
            <w:tcW w:w="2551" w:type="dxa"/>
            <w:vAlign w:val="center"/>
          </w:tcPr>
          <w:p>
            <w:pPr>
              <w:pStyle w:val="13"/>
            </w:pPr>
            <w:r>
              <w:t>28.39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10.53</w:t>
            </w:r>
          </w:p>
        </w:tc>
        <w:tc>
          <w:tcPr>
            <w:tcW w:w="2551" w:type="dxa"/>
            <w:vAlign w:val="center"/>
          </w:tcPr>
          <w:p>
            <w:pPr>
              <w:pStyle w:val="13"/>
            </w:pPr>
            <w:r>
              <w:t>10.53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13.63</w:t>
            </w:r>
          </w:p>
        </w:tc>
        <w:tc>
          <w:tcPr>
            <w:tcW w:w="2551" w:type="dxa"/>
            <w:vAlign w:val="center"/>
          </w:tcPr>
          <w:p>
            <w:pPr>
              <w:pStyle w:val="13"/>
            </w:pPr>
            <w:r>
              <w:t>13.63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5.78</w:t>
            </w:r>
          </w:p>
        </w:tc>
        <w:tc>
          <w:tcPr>
            <w:tcW w:w="2551" w:type="dxa"/>
            <w:vAlign w:val="center"/>
          </w:tcPr>
          <w:p>
            <w:pPr>
              <w:pStyle w:val="13"/>
            </w:pPr>
            <w:r>
              <w:t>5.78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0.43</w:t>
            </w:r>
          </w:p>
        </w:tc>
        <w:tc>
          <w:tcPr>
            <w:tcW w:w="2551" w:type="dxa"/>
            <w:vAlign w:val="center"/>
          </w:tcPr>
          <w:p>
            <w:pPr>
              <w:pStyle w:val="13"/>
            </w:pPr>
            <w:r>
              <w:t>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41.07</w:t>
            </w:r>
          </w:p>
        </w:tc>
        <w:tc>
          <w:tcPr>
            <w:tcW w:w="2551" w:type="dxa"/>
            <w:vAlign w:val="center"/>
          </w:tcPr>
          <w:p>
            <w:pPr>
              <w:pStyle w:val="13"/>
            </w:pPr>
            <w:r>
              <w:t>41.07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35.69</w:t>
            </w:r>
          </w:p>
        </w:tc>
        <w:tc>
          <w:tcPr>
            <w:tcW w:w="2551" w:type="dxa"/>
            <w:vAlign w:val="center"/>
          </w:tcPr>
          <w:p>
            <w:pPr>
              <w:pStyle w:val="13"/>
            </w:pPr>
            <w:r>
              <w:t>14.16</w:t>
            </w:r>
          </w:p>
        </w:tc>
        <w:tc>
          <w:tcPr>
            <w:tcW w:w="2551" w:type="dxa"/>
            <w:vAlign w:val="center"/>
          </w:tcPr>
          <w:p>
            <w:pPr>
              <w:pStyle w:val="13"/>
            </w:pPr>
            <w:r>
              <w:t>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13.03</w:t>
            </w:r>
          </w:p>
        </w:tc>
        <w:tc>
          <w:tcPr>
            <w:tcW w:w="2551" w:type="dxa"/>
            <w:vAlign w:val="center"/>
          </w:tcPr>
          <w:p>
            <w:pPr>
              <w:pStyle w:val="13"/>
            </w:pPr>
          </w:p>
        </w:tc>
        <w:tc>
          <w:tcPr>
            <w:tcW w:w="2551" w:type="dxa"/>
            <w:vAlign w:val="center"/>
          </w:tcPr>
          <w:p>
            <w:pPr>
              <w:pStyle w:val="13"/>
            </w:pPr>
            <w:r>
              <w:t>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3.00</w:t>
            </w:r>
          </w:p>
        </w:tc>
        <w:tc>
          <w:tcPr>
            <w:tcW w:w="2551" w:type="dxa"/>
            <w:vAlign w:val="center"/>
          </w:tcPr>
          <w:p>
            <w:pPr>
              <w:pStyle w:val="13"/>
            </w:pPr>
            <w:r>
              <w:t>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4.80</w:t>
            </w:r>
          </w:p>
        </w:tc>
        <w:tc>
          <w:tcPr>
            <w:tcW w:w="2551" w:type="dxa"/>
            <w:vAlign w:val="center"/>
          </w:tcPr>
          <w:p>
            <w:pPr>
              <w:pStyle w:val="13"/>
            </w:pPr>
            <w:r>
              <w:t>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6.36</w:t>
            </w:r>
          </w:p>
        </w:tc>
        <w:tc>
          <w:tcPr>
            <w:tcW w:w="2551" w:type="dxa"/>
            <w:vAlign w:val="center"/>
          </w:tcPr>
          <w:p>
            <w:pPr>
              <w:pStyle w:val="13"/>
            </w:pPr>
            <w:r>
              <w:t>6.36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11.41</w:t>
            </w:r>
          </w:p>
        </w:tc>
        <w:tc>
          <w:tcPr>
            <w:tcW w:w="2551" w:type="dxa"/>
            <w:vAlign w:val="center"/>
          </w:tcPr>
          <w:p>
            <w:pPr>
              <w:pStyle w:val="13"/>
            </w:pPr>
            <w:r>
              <w:t>11.41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11.14</w:t>
            </w:r>
          </w:p>
        </w:tc>
        <w:tc>
          <w:tcPr>
            <w:tcW w:w="2551" w:type="dxa"/>
            <w:vAlign w:val="center"/>
          </w:tcPr>
          <w:p>
            <w:pPr>
              <w:pStyle w:val="13"/>
            </w:pPr>
            <w:r>
              <w:t>11.14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0.27</w:t>
            </w:r>
          </w:p>
        </w:tc>
        <w:tc>
          <w:tcPr>
            <w:tcW w:w="2551" w:type="dxa"/>
            <w:vAlign w:val="center"/>
          </w:tcPr>
          <w:p>
            <w:pPr>
              <w:pStyle w:val="13"/>
            </w:pPr>
            <w:r>
              <w:t>0.27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3180"/>
        <w:gridCol w:w="1065"/>
        <w:gridCol w:w="1515"/>
        <w:gridCol w:w="144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52" w:type="dxa"/>
            <w:gridSpan w:val="3"/>
            <w:tcBorders>
              <w:top w:val="single" w:color="FFFFFF" w:sz="6" w:space="0"/>
              <w:left w:val="single" w:color="FFFFFF" w:sz="6" w:space="0"/>
              <w:right w:val="single" w:color="FFFFFF" w:sz="6" w:space="0"/>
            </w:tcBorders>
            <w:vAlign w:val="center"/>
          </w:tcPr>
          <w:p>
            <w:pPr>
              <w:pStyle w:val="11"/>
            </w:pPr>
            <w:r>
              <w:t>501001涞源县信访局本级</w:t>
            </w:r>
          </w:p>
        </w:tc>
        <w:tc>
          <w:tcPr>
            <w:tcW w:w="1515" w:type="dxa"/>
            <w:tcBorders>
              <w:top w:val="single" w:color="FFFFFF" w:sz="6" w:space="0"/>
              <w:left w:val="single" w:color="FFFFFF" w:sz="6" w:space="0"/>
              <w:right w:val="single" w:color="FFFFFF" w:sz="6" w:space="0"/>
            </w:tcBorders>
            <w:vAlign w:val="center"/>
          </w:tcPr>
          <w:p>
            <w:pPr>
              <w:pStyle w:val="10"/>
            </w:pPr>
            <w:r>
              <w:t>预算年度：2022</w:t>
            </w:r>
          </w:p>
        </w:tc>
        <w:tc>
          <w:tcPr>
            <w:tcW w:w="30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7" w:type="dxa"/>
            <w:vMerge w:val="restart"/>
            <w:vAlign w:val="center"/>
          </w:tcPr>
          <w:p>
            <w:pPr>
              <w:pStyle w:val="12"/>
            </w:pPr>
            <w:r>
              <w:t>序号</w:t>
            </w:r>
          </w:p>
        </w:tc>
        <w:tc>
          <w:tcPr>
            <w:tcW w:w="3180" w:type="dxa"/>
            <w:vMerge w:val="restart"/>
            <w:vAlign w:val="center"/>
          </w:tcPr>
          <w:p>
            <w:pPr>
              <w:pStyle w:val="12"/>
            </w:pPr>
            <w:r>
              <w:t>项  目</w:t>
            </w:r>
          </w:p>
        </w:tc>
        <w:tc>
          <w:tcPr>
            <w:tcW w:w="5671"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7" w:type="dxa"/>
            <w:vMerge w:val="continue"/>
          </w:tcPr>
          <w:p/>
        </w:tc>
        <w:tc>
          <w:tcPr>
            <w:tcW w:w="3180" w:type="dxa"/>
            <w:vMerge w:val="continue"/>
          </w:tcPr>
          <w:p/>
        </w:tc>
        <w:tc>
          <w:tcPr>
            <w:tcW w:w="1065" w:type="dxa"/>
            <w:vAlign w:val="center"/>
          </w:tcPr>
          <w:p>
            <w:pPr>
              <w:pStyle w:val="12"/>
            </w:pPr>
            <w:r>
              <w:t>合计</w:t>
            </w:r>
          </w:p>
        </w:tc>
        <w:tc>
          <w:tcPr>
            <w:tcW w:w="1515" w:type="dxa"/>
            <w:vAlign w:val="center"/>
          </w:tcPr>
          <w:p>
            <w:pPr>
              <w:pStyle w:val="12"/>
            </w:pPr>
            <w:r>
              <w:t>一般公共预算              财政拨款</w:t>
            </w:r>
          </w:p>
        </w:tc>
        <w:tc>
          <w:tcPr>
            <w:tcW w:w="1448"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07" w:type="dxa"/>
            <w:vAlign w:val="center"/>
          </w:tcPr>
          <w:p>
            <w:pPr>
              <w:pStyle w:val="12"/>
            </w:pPr>
            <w:r>
              <w:t>栏次</w:t>
            </w:r>
          </w:p>
        </w:tc>
        <w:tc>
          <w:tcPr>
            <w:tcW w:w="3180" w:type="dxa"/>
            <w:vAlign w:val="center"/>
          </w:tcPr>
          <w:p>
            <w:pPr>
              <w:pStyle w:val="12"/>
            </w:pPr>
            <w:r>
              <w:t>1</w:t>
            </w:r>
          </w:p>
        </w:tc>
        <w:tc>
          <w:tcPr>
            <w:tcW w:w="1065" w:type="dxa"/>
            <w:vAlign w:val="center"/>
          </w:tcPr>
          <w:p>
            <w:pPr>
              <w:pStyle w:val="12"/>
            </w:pPr>
            <w:r>
              <w:t>2</w:t>
            </w:r>
          </w:p>
        </w:tc>
        <w:tc>
          <w:tcPr>
            <w:tcW w:w="1515" w:type="dxa"/>
            <w:vAlign w:val="center"/>
          </w:tcPr>
          <w:p>
            <w:pPr>
              <w:pStyle w:val="12"/>
            </w:pPr>
            <w:r>
              <w:t>3</w:t>
            </w:r>
          </w:p>
        </w:tc>
        <w:tc>
          <w:tcPr>
            <w:tcW w:w="144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5"/>
              <w:rPr>
                <w:rFonts w:hint="eastAsia" w:eastAsia="方正书宋_GBK"/>
                <w:lang w:val="en-US" w:eastAsia="zh-CN"/>
              </w:rPr>
            </w:pPr>
            <w:r>
              <w:rPr>
                <w:rFonts w:hint="eastAsia"/>
                <w:lang w:val="en-US" w:eastAsia="zh-CN"/>
              </w:rPr>
              <w:t>1</w:t>
            </w:r>
          </w:p>
        </w:tc>
        <w:tc>
          <w:tcPr>
            <w:tcW w:w="318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合计</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8.5</w:t>
            </w: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8.5</w:t>
            </w:r>
          </w:p>
        </w:tc>
        <w:tc>
          <w:tcPr>
            <w:tcW w:w="1448"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5"/>
              <w:rPr>
                <w:rFonts w:hint="eastAsia" w:eastAsia="方正书宋_GBK"/>
                <w:lang w:val="en-US" w:eastAsia="zh-CN"/>
              </w:rPr>
            </w:pPr>
            <w:r>
              <w:rPr>
                <w:rFonts w:hint="eastAsia"/>
                <w:lang w:val="en-US" w:eastAsia="zh-CN"/>
              </w:rPr>
              <w:t>2</w:t>
            </w:r>
          </w:p>
        </w:tc>
        <w:tc>
          <w:tcPr>
            <w:tcW w:w="318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一、因公出国（境）费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448"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tcPr>
          <w:p>
            <w:pPr>
              <w:pStyle w:val="15"/>
              <w:rPr>
                <w:rFonts w:hint="default" w:eastAsia="方正书宋_GBK"/>
                <w:lang w:val="en-US" w:eastAsia="zh-CN"/>
              </w:rPr>
            </w:pPr>
            <w:r>
              <w:rPr>
                <w:rFonts w:hint="eastAsia"/>
                <w:lang w:val="en-US" w:eastAsia="zh-CN"/>
              </w:rPr>
              <w:t>3</w:t>
            </w:r>
          </w:p>
        </w:tc>
        <w:tc>
          <w:tcPr>
            <w:tcW w:w="318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二、公务用车购置及运维费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448" w:type="dxa"/>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tcPr>
          <w:p>
            <w:pPr>
              <w:pStyle w:val="15"/>
              <w:rPr>
                <w:rFonts w:hint="default" w:eastAsia="方正书宋_GBK"/>
                <w:lang w:val="en-US" w:eastAsia="zh-CN"/>
              </w:rPr>
            </w:pPr>
            <w:r>
              <w:rPr>
                <w:rFonts w:hint="eastAsia"/>
                <w:lang w:val="en-US" w:eastAsia="zh-CN"/>
              </w:rPr>
              <w:t>4</w:t>
            </w:r>
          </w:p>
        </w:tc>
        <w:tc>
          <w:tcPr>
            <w:tcW w:w="3180"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 xml:space="preserve">     其中：公务用车购置费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448" w:type="dxa"/>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318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 xml:space="preserve">               公务用车运行维护费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1448" w:type="dxa"/>
          </w:tcPr>
          <w:p>
            <w:pPr>
              <w:pStyle w:val="13"/>
            </w:pPr>
          </w:p>
        </w:tc>
        <w:tc>
          <w:tcPr>
            <w:tcW w:w="0" w:type="auto"/>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07"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3180"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三、公务接待费</w:t>
            </w:r>
          </w:p>
        </w:tc>
        <w:tc>
          <w:tcPr>
            <w:tcW w:w="106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w:t>
            </w:r>
          </w:p>
        </w:tc>
        <w:tc>
          <w:tcPr>
            <w:tcW w:w="1515"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w:t>
            </w:r>
          </w:p>
        </w:tc>
        <w:tc>
          <w:tcPr>
            <w:tcW w:w="1448" w:type="dxa"/>
          </w:tcPr>
          <w:p>
            <w:pPr>
              <w:pStyle w:val="13"/>
            </w:pPr>
          </w:p>
        </w:tc>
        <w:tc>
          <w:tcPr>
            <w:tcW w:w="0" w:type="auto"/>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涞源县信访局本级2022年单位预算信息公开情况说明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预算法》、《地方预决算公开操作规程》和《关于进一步推进预算公开工作的实施意见》规定，现将涞源县信访局本级2022年单位预算公开如下：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(一)负责国际金融组织和外国政府贷(赠)款项目等政府外债项目实施的沟通协调。</w:t>
      </w:r>
    </w:p>
    <w:p>
      <w:pPr>
        <w:pStyle w:val="27"/>
      </w:pPr>
      <w:r>
        <w:t>(二)承担国际金融组织和外国政府贷(赠)款项目采购业务审核相关事务性工作。</w:t>
      </w:r>
    </w:p>
    <w:p>
      <w:pPr>
        <w:pStyle w:val="27"/>
      </w:pPr>
      <w:r>
        <w:t>(三)负责国际金融组织和外国政府贷(赠)款项目提款报账审核相关事务性工作,为国际金融组织和外国政府贷(赠)款项目提供专用账户、贷款资金回补及相关财务会计服务工作。</w:t>
      </w:r>
    </w:p>
    <w:p>
      <w:pPr>
        <w:pStyle w:val="27"/>
      </w:pPr>
      <w:r>
        <w:t>(四)负责与国际金融组织和外国政府贷(赠)款机构之间的联系沟通,为相关机构开展非主权贷款业务提供服务。</w:t>
      </w:r>
    </w:p>
    <w:p>
      <w:pPr>
        <w:pStyle w:val="27"/>
      </w:pPr>
      <w:r>
        <w:t>(五)承担国际金融组织和外国政府贷(赠)款项目绩效评价相关数据收集、分析等技术支撑工作。</w:t>
      </w:r>
    </w:p>
    <w:p>
      <w:pPr>
        <w:pStyle w:val="27"/>
      </w:pPr>
      <w:r>
        <w:t>(六)承担国际金融组织和外国政府贷(赠)款项目技术援助、考察培训的组织工作。</w:t>
      </w:r>
    </w:p>
    <w:p>
      <w:pPr>
        <w:pStyle w:val="27"/>
      </w:pPr>
      <w:r>
        <w:t>(七)为</w:t>
      </w:r>
      <w:r>
        <w:rPr>
          <w:rFonts w:hint="eastAsia"/>
          <w:lang w:eastAsia="zh-CN"/>
        </w:rPr>
        <w:t>县</w:t>
      </w:r>
      <w:r>
        <w:t>级项目办,</w:t>
      </w:r>
      <w:r>
        <w:rPr>
          <w:rFonts w:hint="eastAsia"/>
          <w:lang w:eastAsia="zh-CN"/>
        </w:rPr>
        <w:t>县</w:t>
      </w:r>
      <w:r>
        <w:t>级以下相关部门、项目办和项目实施单位按照国外贷(赠)款方和国内有关部门要求开展项目准备与实施工作提出意见建议。</w:t>
      </w:r>
    </w:p>
    <w:p>
      <w:pPr>
        <w:pStyle w:val="27"/>
      </w:pPr>
      <w:r>
        <w:t>(八)完成河北省财政厅交办的其他任务。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涞源县信访局本级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1、收入说明</w:t>
      </w:r>
    </w:p>
    <w:p>
      <w:pPr>
        <w:pStyle w:val="28"/>
      </w:pPr>
      <w:r>
        <w:t>反映本单位当年全部收入。2022年预算收入325.35万元，其中：一般公共预算收入325.35万元，基金预算收入0万元，国有资本经营预算收入0万元，财政专户核拨收入0万元，单位资金收入0万元，上年结转结余0万元。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河北省政府外债项目执行中心年度单位预算中支出预算的总体情况。2022年支出预算325.35万元，其中基本支出325.35万元，包括人员经费191.82万元和日常公用经费21.53万元；项目支出112万元，为外债项目管理经费。</w:t>
      </w:r>
    </w:p>
    <w:p>
      <w:pPr>
        <w:pStyle w:val="28"/>
      </w:pPr>
      <w:r>
        <w:t>3、比上年增减情况</w:t>
      </w:r>
    </w:p>
    <w:p>
      <w:pPr>
        <w:pStyle w:val="28"/>
      </w:pPr>
      <w:r>
        <w:t>2022年预算收支安排325.35万元，较2021年预算增加16.34万元，其中：基本支出增加63.99万元，主要为增加人员经费支出；项目支出减少47.65万元。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2022年，我单位运行经费共计安排21.53万元，主要用于办公费、公务接待费、公务用车运行维护费等日常运行支出。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2022年，我单位财政拨款“三公”经费预算安排8.5万元，其中公务用车运维费3.5万元；公务接待费5万元。与2021年相比无增减变化。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1、信访局维稳经费绩效目标表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1.处理突发问题及群体性事件、进京赴省到市值班、敏感时期各地值班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接访天数</w:t>
            </w:r>
          </w:p>
        </w:tc>
        <w:tc>
          <w:tcPr>
            <w:tcW w:w="2835" w:type="dxa"/>
            <w:vAlign w:val="center"/>
          </w:tcPr>
          <w:p>
            <w:pPr>
              <w:pStyle w:val="14"/>
            </w:pPr>
            <w:r>
              <w:t>驻京。赴省到市、敏感时期各地值班接访天数</w:t>
            </w:r>
          </w:p>
        </w:tc>
        <w:tc>
          <w:tcPr>
            <w:tcW w:w="2551" w:type="dxa"/>
            <w:vAlign w:val="center"/>
          </w:tcPr>
          <w:p>
            <w:pPr>
              <w:pStyle w:val="14"/>
            </w:pPr>
            <w:r>
              <w:t>≥350</w:t>
            </w:r>
          </w:p>
        </w:tc>
        <w:tc>
          <w:tcPr>
            <w:tcW w:w="2268" w:type="dxa"/>
            <w:vAlign w:val="center"/>
          </w:tcPr>
          <w:p>
            <w:pPr>
              <w:pStyle w:val="14"/>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接访任务完成率</w:t>
            </w:r>
          </w:p>
        </w:tc>
        <w:tc>
          <w:tcPr>
            <w:tcW w:w="2835" w:type="dxa"/>
            <w:vAlign w:val="center"/>
          </w:tcPr>
          <w:p>
            <w:pPr>
              <w:pStyle w:val="14"/>
            </w:pPr>
            <w:r>
              <w:t>接访工作完成情况占接访任务的比率</w:t>
            </w:r>
          </w:p>
        </w:tc>
        <w:tc>
          <w:tcPr>
            <w:tcW w:w="2551" w:type="dxa"/>
            <w:vAlign w:val="center"/>
          </w:tcPr>
          <w:p>
            <w:pPr>
              <w:pStyle w:val="14"/>
            </w:pPr>
            <w:r>
              <w:t>≥95</w:t>
            </w:r>
          </w:p>
        </w:tc>
        <w:tc>
          <w:tcPr>
            <w:tcW w:w="2268" w:type="dxa"/>
            <w:vAlign w:val="center"/>
          </w:tcPr>
          <w:p>
            <w:pPr>
              <w:pStyle w:val="14"/>
            </w:pPr>
            <w:r>
              <w:t>保信联办函【2021】38号、105号、342号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接访及时率</w:t>
            </w:r>
          </w:p>
        </w:tc>
        <w:tc>
          <w:tcPr>
            <w:tcW w:w="2835" w:type="dxa"/>
            <w:vAlign w:val="center"/>
          </w:tcPr>
          <w:p>
            <w:pPr>
              <w:pStyle w:val="14"/>
            </w:pPr>
            <w:r>
              <w:t>及时受理接访数量占信访事项的比率</w:t>
            </w:r>
          </w:p>
        </w:tc>
        <w:tc>
          <w:tcPr>
            <w:tcW w:w="2551" w:type="dxa"/>
            <w:vAlign w:val="center"/>
          </w:tcPr>
          <w:p>
            <w:pPr>
              <w:pStyle w:val="14"/>
            </w:pPr>
            <w:r>
              <w:t>≥95</w:t>
            </w:r>
          </w:p>
        </w:tc>
        <w:tc>
          <w:tcPr>
            <w:tcW w:w="2268" w:type="dxa"/>
            <w:vAlign w:val="center"/>
          </w:tcPr>
          <w:p>
            <w:pPr>
              <w:pStyle w:val="14"/>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实际支出资金÷预算资金X100%</w:t>
            </w:r>
          </w:p>
        </w:tc>
        <w:tc>
          <w:tcPr>
            <w:tcW w:w="2551" w:type="dxa"/>
            <w:vAlign w:val="center"/>
          </w:tcPr>
          <w:p>
            <w:pPr>
              <w:pStyle w:val="14"/>
            </w:pPr>
            <w:r>
              <w:t>≥95</w:t>
            </w:r>
          </w:p>
        </w:tc>
        <w:tc>
          <w:tcPr>
            <w:tcW w:w="2268" w:type="dxa"/>
            <w:vAlign w:val="center"/>
          </w:tcPr>
          <w:p>
            <w:pPr>
              <w:pStyle w:val="14"/>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≥95</w:t>
            </w:r>
          </w:p>
        </w:tc>
        <w:tc>
          <w:tcPr>
            <w:tcW w:w="2268" w:type="dxa"/>
            <w:vAlign w:val="center"/>
          </w:tcPr>
          <w:p>
            <w:pPr>
              <w:pStyle w:val="14"/>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信访成果</w:t>
            </w:r>
          </w:p>
        </w:tc>
        <w:tc>
          <w:tcPr>
            <w:tcW w:w="2835" w:type="dxa"/>
            <w:vAlign w:val="center"/>
          </w:tcPr>
          <w:p>
            <w:pPr>
              <w:pStyle w:val="14"/>
            </w:pPr>
            <w:r>
              <w:t>维护全县信访稳定、确保不发生越级集体访</w:t>
            </w:r>
          </w:p>
        </w:tc>
        <w:tc>
          <w:tcPr>
            <w:tcW w:w="2551" w:type="dxa"/>
            <w:vAlign w:val="center"/>
          </w:tcPr>
          <w:p>
            <w:pPr>
              <w:pStyle w:val="14"/>
            </w:pPr>
            <w:r>
              <w:t>≥95</w:t>
            </w:r>
          </w:p>
        </w:tc>
        <w:tc>
          <w:tcPr>
            <w:tcW w:w="2268" w:type="dxa"/>
            <w:vAlign w:val="center"/>
          </w:tcPr>
          <w:p>
            <w:pPr>
              <w:pStyle w:val="14"/>
            </w:pPr>
            <w:r>
              <w:t>保信联办函【2021】320号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保信联办函【2021】320号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减少上访率</w:t>
            </w:r>
          </w:p>
        </w:tc>
        <w:tc>
          <w:tcPr>
            <w:tcW w:w="2835" w:type="dxa"/>
            <w:vAlign w:val="center"/>
          </w:tcPr>
          <w:p>
            <w:pPr>
              <w:pStyle w:val="14"/>
            </w:pPr>
            <w:r>
              <w:t>减少突发问题及群体性事件</w:t>
            </w:r>
          </w:p>
        </w:tc>
        <w:tc>
          <w:tcPr>
            <w:tcW w:w="2551" w:type="dxa"/>
            <w:vAlign w:val="center"/>
          </w:tcPr>
          <w:p>
            <w:pPr>
              <w:pStyle w:val="14"/>
            </w:pPr>
            <w:r>
              <w:t>≥95</w:t>
            </w:r>
          </w:p>
        </w:tc>
        <w:tc>
          <w:tcPr>
            <w:tcW w:w="2268" w:type="dxa"/>
            <w:vAlign w:val="center"/>
          </w:tcPr>
          <w:p>
            <w:pPr>
              <w:pStyle w:val="14"/>
            </w:pPr>
            <w:r>
              <w:t>保信联办函【2021】230号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反映信访群众满意度</w:t>
            </w:r>
          </w:p>
        </w:tc>
        <w:tc>
          <w:tcPr>
            <w:tcW w:w="2551" w:type="dxa"/>
            <w:vAlign w:val="center"/>
          </w:tcPr>
          <w:p>
            <w:pPr>
              <w:pStyle w:val="14"/>
            </w:pPr>
            <w:r>
              <w:t>≥95</w:t>
            </w:r>
          </w:p>
        </w:tc>
        <w:tc>
          <w:tcPr>
            <w:tcW w:w="2268" w:type="dxa"/>
            <w:vAlign w:val="center"/>
          </w:tcPr>
          <w:p>
            <w:pPr>
              <w:pStyle w:val="14"/>
            </w:pPr>
            <w:r>
              <w:t>保信联办函【2021】38号、105号、342号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2、信访局宣传资料、征订报刊、培训费等费用绩效目标表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1.避免或减少越级访重复访或集体访、维护信访秩序。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宣传资料印制、培训次数</w:t>
            </w:r>
          </w:p>
        </w:tc>
        <w:tc>
          <w:tcPr>
            <w:tcW w:w="2835" w:type="dxa"/>
            <w:vAlign w:val="center"/>
          </w:tcPr>
          <w:p>
            <w:pPr>
              <w:pStyle w:val="14"/>
            </w:pPr>
            <w:r>
              <w:t>宣传资料印制、培训次数</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宣传力度</w:t>
            </w:r>
          </w:p>
        </w:tc>
        <w:tc>
          <w:tcPr>
            <w:tcW w:w="2835" w:type="dxa"/>
            <w:vAlign w:val="center"/>
          </w:tcPr>
          <w:p>
            <w:pPr>
              <w:pStyle w:val="14"/>
            </w:pPr>
            <w:r>
              <w:t>宣传力度</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实际成本资金÷预算资金X100%</w:t>
            </w:r>
          </w:p>
        </w:tc>
        <w:tc>
          <w:tcPr>
            <w:tcW w:w="2835" w:type="dxa"/>
            <w:vAlign w:val="center"/>
          </w:tcPr>
          <w:p>
            <w:pPr>
              <w:pStyle w:val="14"/>
            </w:pPr>
            <w:r>
              <w:t>避免或减少越级访重复访或集体访。</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对各乡镇考核情况</w:t>
            </w:r>
          </w:p>
        </w:tc>
        <w:tc>
          <w:tcPr>
            <w:tcW w:w="2835" w:type="dxa"/>
            <w:vAlign w:val="center"/>
          </w:tcPr>
          <w:p>
            <w:pPr>
              <w:pStyle w:val="14"/>
            </w:pPr>
            <w:r>
              <w:t>对各乡镇考核情况</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工作进度</w:t>
            </w:r>
          </w:p>
        </w:tc>
        <w:tc>
          <w:tcPr>
            <w:tcW w:w="2835" w:type="dxa"/>
            <w:vAlign w:val="center"/>
          </w:tcPr>
          <w:p>
            <w:pPr>
              <w:pStyle w:val="14"/>
            </w:pPr>
            <w:r>
              <w:t>避免或减少越级访重复访或集体访</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避免或减少越级访重复访或集体访</w:t>
            </w:r>
          </w:p>
        </w:tc>
        <w:tc>
          <w:tcPr>
            <w:tcW w:w="2835" w:type="dxa"/>
            <w:vAlign w:val="center"/>
          </w:tcPr>
          <w:p>
            <w:pPr>
              <w:pStyle w:val="14"/>
            </w:pPr>
            <w:r>
              <w:t>维护信访秩序</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提高群众对信访条例的认知</w:t>
            </w:r>
          </w:p>
        </w:tc>
        <w:tc>
          <w:tcPr>
            <w:tcW w:w="2835" w:type="dxa"/>
            <w:vAlign w:val="center"/>
          </w:tcPr>
          <w:p>
            <w:pPr>
              <w:pStyle w:val="14"/>
            </w:pPr>
            <w:r>
              <w:t>提高群众对信访条例的认知</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≥95</w:t>
            </w:r>
          </w:p>
        </w:tc>
        <w:tc>
          <w:tcPr>
            <w:tcW w:w="2268" w:type="dxa"/>
            <w:vAlign w:val="center"/>
          </w:tcPr>
          <w:p>
            <w:pPr>
              <w:pStyle w:val="14"/>
            </w:pPr>
            <w:r>
              <w:t>根据省、市、县要求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2022年，涞源县信访局本级安排政府采购预算0.00万元。具体内容见下表。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501001涞源县信访局本级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涞源县信访局本级上年末固定资产金额为127.57万元（详见下表）。本年度拟购置固定资产总额为0.00万元，已按要求列入政府采购预算，详见政府采购预算表。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501001涞源县信访局本级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127.57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1322</w:t>
            </w:r>
          </w:p>
        </w:tc>
        <w:tc>
          <w:tcPr>
            <w:tcW w:w="2835" w:type="dxa"/>
            <w:vAlign w:val="center"/>
          </w:tcPr>
          <w:p>
            <w:pPr>
              <w:pStyle w:val="13"/>
            </w:pPr>
            <w:r>
              <w:t>116.51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VhNDg5MzhkYzg3ZGY2NTIwMDk1YzJjOGI2YmIifQ=="/>
  </w:docVars>
  <w:rsids>
    <w:rsidRoot w:val="00000000"/>
    <w:rsid w:val="0DE75677"/>
    <w:rsid w:val="140A3978"/>
    <w:rsid w:val="259F513B"/>
    <w:rsid w:val="26485B6A"/>
    <w:rsid w:val="28987CE5"/>
    <w:rsid w:val="321F4F9C"/>
    <w:rsid w:val="32986E5A"/>
    <w:rsid w:val="61414546"/>
    <w:rsid w:val="76C671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2022-04-14T16:07:10Z</dcterms:created>
  <dcterms:modified xsi:type="dcterms:W3CDTF">2022-04-14T08:07:10Z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2022-04-14T16:07:10Z</dcterms:created>
  <dcterms:modified xsi:type="dcterms:W3CDTF">2022-04-14T08:07:10Z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2022-04-14T16:07:07Z</dcterms:created>
  <dcterms:modified xsi:type="dcterms:W3CDTF">2022-04-14T08:07:07Z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Props1.xml><?xml version="1.0" encoding="utf-8"?>
<ds:datastoreItem xmlns:ds="http://schemas.openxmlformats.org/officeDocument/2006/customXml" ds:itemID="{77608160-a354-4dba-9deb-5dac4b0d6710}">
  <ds:schemaRefs/>
</ds:datastoreItem>
</file>

<file path=customXml/itemProps10.xml><?xml version="1.0" encoding="utf-8"?>
<ds:datastoreItem xmlns:ds="http://schemas.openxmlformats.org/officeDocument/2006/customXml" ds:itemID="{7614b97c-8737-4192-8596-7b915f8cc283}">
  <ds:schemaRefs/>
</ds:datastoreItem>
</file>

<file path=customXml/itemProps11.xml><?xml version="1.0" encoding="utf-8"?>
<ds:datastoreItem xmlns:ds="http://schemas.openxmlformats.org/officeDocument/2006/customXml" ds:itemID="{862f3c67-cdd9-4d64-ae05-89fe59589613}">
  <ds:schemaRefs/>
</ds:datastoreItem>
</file>

<file path=customXml/itemProps12.xml><?xml version="1.0" encoding="utf-8"?>
<ds:datastoreItem xmlns:ds="http://schemas.openxmlformats.org/officeDocument/2006/customXml" ds:itemID="{238892b4-a40e-4e03-9079-169af166bc07}">
  <ds:schemaRefs/>
</ds:datastoreItem>
</file>

<file path=customXml/itemProps13.xml><?xml version="1.0" encoding="utf-8"?>
<ds:datastoreItem xmlns:ds="http://schemas.openxmlformats.org/officeDocument/2006/customXml" ds:itemID="{b55ce939-3ea5-4e1c-954b-04010367e142}">
  <ds:schemaRefs/>
</ds:datastoreItem>
</file>

<file path=customXml/itemProps14.xml><?xml version="1.0" encoding="utf-8"?>
<ds:datastoreItem xmlns:ds="http://schemas.openxmlformats.org/officeDocument/2006/customXml" ds:itemID="{7424c103-c25d-49c3-91d9-029f25367b2b}">
  <ds:schemaRefs/>
</ds:datastoreItem>
</file>

<file path=customXml/itemProps15.xml><?xml version="1.0" encoding="utf-8"?>
<ds:datastoreItem xmlns:ds="http://schemas.openxmlformats.org/officeDocument/2006/customXml" ds:itemID="{feab9be6-3845-4b2a-b5e8-b8da3c84c4c8}">
  <ds:schemaRefs/>
</ds:datastoreItem>
</file>

<file path=customXml/itemProps16.xml><?xml version="1.0" encoding="utf-8"?>
<ds:datastoreItem xmlns:ds="http://schemas.openxmlformats.org/officeDocument/2006/customXml" ds:itemID="{c240a71d-d3d2-4558-a865-dbbd2c7304e8}">
  <ds:schemaRefs/>
</ds:datastoreItem>
</file>

<file path=customXml/itemProps17.xml><?xml version="1.0" encoding="utf-8"?>
<ds:datastoreItem xmlns:ds="http://schemas.openxmlformats.org/officeDocument/2006/customXml" ds:itemID="{fd26ae43-b105-4732-8bde-d07fc0795c2a}">
  <ds:schemaRefs/>
</ds:datastoreItem>
</file>

<file path=customXml/itemProps18.xml><?xml version="1.0" encoding="utf-8"?>
<ds:datastoreItem xmlns:ds="http://schemas.openxmlformats.org/officeDocument/2006/customXml" ds:itemID="{507b671b-315c-44a6-a94e-0d49fe3e19a3}">
  <ds:schemaRefs/>
</ds:datastoreItem>
</file>

<file path=customXml/itemProps2.xml><?xml version="1.0" encoding="utf-8"?>
<ds:datastoreItem xmlns:ds="http://schemas.openxmlformats.org/officeDocument/2006/customXml" ds:itemID="{475be01e-edf3-4bf9-b0ce-a29157748432}">
  <ds:schemaRefs/>
</ds:datastoreItem>
</file>

<file path=customXml/itemProps3.xml><?xml version="1.0" encoding="utf-8"?>
<ds:datastoreItem xmlns:ds="http://schemas.openxmlformats.org/officeDocument/2006/customXml" ds:itemID="{20c74fca-d84a-46ec-a63e-e2eeb9a6afd9}">
  <ds:schemaRefs/>
</ds:datastoreItem>
</file>

<file path=customXml/itemProps4.xml><?xml version="1.0" encoding="utf-8"?>
<ds:datastoreItem xmlns:ds="http://schemas.openxmlformats.org/officeDocument/2006/customXml" ds:itemID="{c9323e45-a0a5-4f89-8d69-b59fde9abb7c}">
  <ds:schemaRefs/>
</ds:datastoreItem>
</file>

<file path=customXml/itemProps5.xml><?xml version="1.0" encoding="utf-8"?>
<ds:datastoreItem xmlns:ds="http://schemas.openxmlformats.org/officeDocument/2006/customXml" ds:itemID="{cee823c3-8e57-45c4-bad2-aa416aa3b85a}">
  <ds:schemaRefs/>
</ds:datastoreItem>
</file>

<file path=customXml/itemProps6.xml><?xml version="1.0" encoding="utf-8"?>
<ds:datastoreItem xmlns:ds="http://schemas.openxmlformats.org/officeDocument/2006/customXml" ds:itemID="{73c8d49a-f08a-405b-ae78-d9f755a7624e}">
  <ds:schemaRefs/>
</ds:datastoreItem>
</file>

<file path=customXml/itemProps7.xml><?xml version="1.0" encoding="utf-8"?>
<ds:datastoreItem xmlns:ds="http://schemas.openxmlformats.org/officeDocument/2006/customXml" ds:itemID="{2bb90a56-b377-42cb-8ccc-b4a5e71f3079}">
  <ds:schemaRefs/>
</ds:datastoreItem>
</file>

<file path=customXml/itemProps8.xml><?xml version="1.0" encoding="utf-8"?>
<ds:datastoreItem xmlns:ds="http://schemas.openxmlformats.org/officeDocument/2006/customXml" ds:itemID="{41083f05-39c3-4d72-8251-6ad57a043859}">
  <ds:schemaRefs/>
</ds:datastoreItem>
</file>

<file path=customXml/itemProps9.xml><?xml version="1.0" encoding="utf-8"?>
<ds:datastoreItem xmlns:ds="http://schemas.openxmlformats.org/officeDocument/2006/customXml" ds:itemID="{07d8cd2b-4a32-4d30-aaf6-8478e2cc9ddc}">
  <ds:schemaRefs/>
</ds:datastoreItem>
</file>

<file path=docProps/app.xml><?xml version="1.0" encoding="utf-8"?>
<Properties xmlns="http://schemas.openxmlformats.org/officeDocument/2006/extended-properties" xmlns:vt="http://schemas.openxmlformats.org/officeDocument/2006/docPropsVTypes">
  <Pages>31</Pages>
  <Words>5465</Words>
  <Characters>6735</Characters>
  <TotalTime>10</TotalTime>
  <ScaleCrop>false</ScaleCrop>
  <LinksUpToDate>false</LinksUpToDate>
  <CharactersWithSpaces>6875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Administrator</dc:creator>
  <cp:lastModifiedBy>Administrator</cp:lastModifiedBy>
  <dcterms:modified xsi:type="dcterms:W3CDTF">2024-01-25T07:02:13Z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1AE9C37EEA304F45AAB4C4E5651415A9</vt:lpwstr>
  </property>
</Properties>
</file>