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rPr>
          <w:rFonts w:eastAsia="宋体"/>
          <w:lang w:eastAsia="zh-CN"/>
        </w:rPr>
        <w:t>3</w:t>
      </w:r>
      <w:r>
        <w:rPr>
          <w:rFonts w:eastAsia="宋体"/>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5</w:t>
      </w:r>
      <w:r>
        <w:rPr>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7</w:t>
      </w:r>
      <w:r>
        <w:rPr>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rFonts w:eastAsia="宋体"/>
          <w:lang w:eastAsia="zh-CN"/>
        </w:rPr>
        <w:t>8</w:t>
      </w:r>
      <w:r>
        <w:rPr>
          <w:rFonts w:eastAsia="宋体"/>
          <w:lang w:eastAsia="zh-CN"/>
        </w:rPr>
        <w:fldChar w:fldCharType="end"/>
      </w:r>
    </w:p>
    <w:p>
      <w:pPr>
        <w:pStyle w:val="5"/>
        <w:tabs>
          <w:tab w:val="right" w:leader="dot" w:pos="14562"/>
        </w:tabs>
        <w:rPr>
          <w:rFonts w:eastAsia="宋体"/>
          <w:lang w:eastAsia="zh-CN"/>
        </w:rPr>
      </w:pPr>
      <w:r>
        <w:fldChar w:fldCharType="begin"/>
      </w:r>
      <w:r>
        <w:instrText xml:space="preserve"> HYPERLINK \l "_Toc_2_2_0000000005" </w:instrText>
      </w:r>
      <w:r>
        <w:fldChar w:fldCharType="separate"/>
      </w:r>
      <w:r>
        <w:rPr>
          <w:rFonts w:hint="eastAsia"/>
        </w:rPr>
        <w:t>部门预算一般公共预算财政拨款支出表</w:t>
      </w:r>
      <w:r>
        <w:tab/>
      </w:r>
      <w:r>
        <w:rPr>
          <w:lang w:eastAsia="zh-CN"/>
        </w:rPr>
        <w:t>1</w:t>
      </w:r>
      <w:r>
        <w:rPr>
          <w:lang w:eastAsia="zh-CN"/>
        </w:rPr>
        <w:fldChar w:fldCharType="end"/>
      </w:r>
      <w:r>
        <w:rPr>
          <w:rFonts w:eastAsia="宋体"/>
          <w:lang w:eastAsia="zh-CN"/>
        </w:rPr>
        <w:t>1</w:t>
      </w:r>
    </w:p>
    <w:p>
      <w:pPr>
        <w:pStyle w:val="5"/>
        <w:tabs>
          <w:tab w:val="right" w:leader="dot" w:pos="14562"/>
        </w:tabs>
        <w:rPr>
          <w:rFonts w:eastAsia="宋体"/>
          <w:lang w:eastAsia="zh-CN"/>
        </w:rPr>
      </w:pPr>
      <w:r>
        <w:fldChar w:fldCharType="begin"/>
      </w:r>
      <w:r>
        <w:instrText xml:space="preserve"> HYPERLINK \l "_Toc_2_2_0000000006" </w:instrText>
      </w:r>
      <w:r>
        <w:fldChar w:fldCharType="separate"/>
      </w:r>
      <w:r>
        <w:rPr>
          <w:rFonts w:hint="eastAsia"/>
        </w:rPr>
        <w:t>部门预算一般公共预算财政拨款基本支出表</w:t>
      </w:r>
      <w:r>
        <w:tab/>
      </w:r>
      <w:r>
        <w:rPr>
          <w:lang w:eastAsia="zh-CN"/>
        </w:rPr>
        <w:t>1</w:t>
      </w:r>
      <w:r>
        <w:rPr>
          <w:lang w:eastAsia="zh-CN"/>
        </w:rPr>
        <w:fldChar w:fldCharType="end"/>
      </w:r>
      <w:r>
        <w:rPr>
          <w:rFonts w:eastAsia="宋体"/>
          <w:lang w:eastAsia="zh-CN"/>
        </w:rPr>
        <w:t>2</w:t>
      </w:r>
    </w:p>
    <w:p>
      <w:pPr>
        <w:pStyle w:val="5"/>
        <w:tabs>
          <w:tab w:val="right" w:leader="dot" w:pos="14562"/>
        </w:tabs>
        <w:rPr>
          <w:rFonts w:eastAsia="宋体"/>
          <w:lang w:eastAsia="zh-CN"/>
        </w:rPr>
      </w:pPr>
      <w:r>
        <w:fldChar w:fldCharType="begin"/>
      </w:r>
      <w:r>
        <w:instrText xml:space="preserve"> HYPERLINK \l "_Toc_2_2_0000000007" </w:instrText>
      </w:r>
      <w:r>
        <w:fldChar w:fldCharType="separate"/>
      </w:r>
      <w:r>
        <w:rPr>
          <w:rFonts w:hint="eastAsia"/>
        </w:rPr>
        <w:t>部门预算政府基金预算财政拨款支出表</w:t>
      </w:r>
      <w:r>
        <w:tab/>
      </w:r>
      <w:r>
        <w:rPr>
          <w:lang w:eastAsia="zh-CN"/>
        </w:rPr>
        <w:t>1</w:t>
      </w:r>
      <w:r>
        <w:rPr>
          <w:lang w:eastAsia="zh-CN"/>
        </w:rPr>
        <w:fldChar w:fldCharType="end"/>
      </w:r>
      <w:r>
        <w:rPr>
          <w:rFonts w:eastAsia="宋体"/>
          <w:lang w:eastAsia="zh-CN"/>
        </w:rPr>
        <w:t>4</w:t>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3</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rPr>
          <w:rFonts w:eastAsia="宋体"/>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lang w:eastAsia="zh-CN"/>
        </w:rPr>
        <w:t>1</w:t>
      </w:r>
      <w:r>
        <w:rPr>
          <w:lang w:eastAsia="zh-CN"/>
        </w:rPr>
        <w:fldChar w:fldCharType="end"/>
      </w:r>
      <w:r>
        <w:rPr>
          <w:rFonts w:eastAsia="宋体"/>
          <w:lang w:eastAsia="zh-CN"/>
        </w:rPr>
        <w:t>7</w:t>
      </w:r>
    </w:p>
    <w:p>
      <w:pPr>
        <w:pStyle w:val="5"/>
        <w:tabs>
          <w:tab w:val="right" w:leader="dot" w:pos="14562"/>
        </w:tabs>
        <w:rPr>
          <w:rFonts w:eastAsia="宋体"/>
          <w:lang w:eastAsia="zh-CN"/>
        </w:rPr>
      </w:pPr>
      <w:r>
        <w:fldChar w:fldCharType="begin"/>
      </w:r>
      <w:r>
        <w:instrText xml:space="preserve"> HYPERLINK \l "_Toc_3_3_0000000011" </w:instrText>
      </w:r>
      <w:r>
        <w:fldChar w:fldCharType="separate"/>
      </w:r>
      <w:r>
        <w:rPr>
          <w:rFonts w:hint="eastAsia"/>
        </w:rPr>
        <w:t>二、部门预算安排的总体情况</w:t>
      </w:r>
      <w:r>
        <w:tab/>
      </w:r>
      <w:r>
        <w:rPr>
          <w:lang w:eastAsia="zh-CN"/>
        </w:rPr>
        <w:t>1</w:t>
      </w:r>
      <w:r>
        <w:rPr>
          <w:lang w:eastAsia="zh-CN"/>
        </w:rPr>
        <w:fldChar w:fldCharType="end"/>
      </w:r>
      <w:r>
        <w:rPr>
          <w:rFonts w:eastAsia="宋体"/>
          <w:lang w:eastAsia="zh-CN"/>
        </w:rPr>
        <w:t>8</w:t>
      </w:r>
    </w:p>
    <w:p>
      <w:pPr>
        <w:pStyle w:val="5"/>
        <w:tabs>
          <w:tab w:val="right" w:leader="dot" w:pos="14562"/>
        </w:tabs>
        <w:rPr>
          <w:rFonts w:eastAsia="宋体"/>
          <w:lang w:eastAsia="zh-CN"/>
        </w:rPr>
      </w:pPr>
      <w:r>
        <w:fldChar w:fldCharType="begin"/>
      </w:r>
      <w:r>
        <w:instrText xml:space="preserve"> HYPERLINK \l "_Toc_3_3_0000000012" </w:instrText>
      </w:r>
      <w:r>
        <w:fldChar w:fldCharType="separate"/>
      </w:r>
      <w:r>
        <w:rPr>
          <w:rFonts w:hint="eastAsia"/>
        </w:rPr>
        <w:t>三、机关运行经费安排情况</w:t>
      </w:r>
      <w:r>
        <w:tab/>
      </w:r>
      <w:r>
        <w:rPr>
          <w:rFonts w:eastAsia="宋体"/>
          <w:lang w:eastAsia="zh-CN"/>
        </w:rPr>
        <w:t>1</w:t>
      </w:r>
      <w:r>
        <w:rPr>
          <w:rFonts w:eastAsia="宋体"/>
          <w:lang w:eastAsia="zh-CN"/>
        </w:rPr>
        <w:fldChar w:fldCharType="end"/>
      </w:r>
      <w:r>
        <w:rPr>
          <w:rFonts w:eastAsia="宋体"/>
          <w:lang w:eastAsia="zh-CN"/>
        </w:rPr>
        <w:t>9</w:t>
      </w:r>
    </w:p>
    <w:p>
      <w:pPr>
        <w:pStyle w:val="5"/>
        <w:tabs>
          <w:tab w:val="right" w:leader="dot" w:pos="14562"/>
        </w:tabs>
        <w:rPr>
          <w:rFonts w:eastAsia="宋体"/>
          <w:lang w:eastAsia="zh-CN"/>
        </w:rPr>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rFonts w:eastAsia="宋体"/>
          <w:lang w:eastAsia="zh-CN"/>
        </w:rPr>
        <w:t>1</w:t>
      </w:r>
      <w:r>
        <w:rPr>
          <w:rFonts w:eastAsia="宋体"/>
          <w:lang w:eastAsia="zh-CN"/>
        </w:rPr>
        <w:fldChar w:fldCharType="end"/>
      </w:r>
      <w:r>
        <w:rPr>
          <w:rFonts w:eastAsia="宋体"/>
          <w:lang w:eastAsia="zh-CN"/>
        </w:rPr>
        <w:t>9</w:t>
      </w:r>
    </w:p>
    <w:p>
      <w:pPr>
        <w:pStyle w:val="5"/>
        <w:tabs>
          <w:tab w:val="right" w:leader="dot" w:pos="14562"/>
        </w:tabs>
        <w:rPr>
          <w:rFonts w:eastAsia="宋体"/>
          <w:lang w:eastAsia="zh-CN"/>
        </w:rPr>
      </w:pPr>
      <w:r>
        <w:fldChar w:fldCharType="begin"/>
      </w:r>
      <w:r>
        <w:instrText xml:space="preserve"> HYPERLINK \l "_Toc_3_3_0000000014" </w:instrText>
      </w:r>
      <w:r>
        <w:fldChar w:fldCharType="separate"/>
      </w:r>
      <w:r>
        <w:rPr>
          <w:rFonts w:hint="eastAsia"/>
        </w:rPr>
        <w:t>五、预算绩效信息</w:t>
      </w:r>
      <w:r>
        <w:tab/>
      </w:r>
      <w:r>
        <w:rPr>
          <w:rFonts w:eastAsia="宋体"/>
          <w:lang w:eastAsia="zh-CN"/>
        </w:rPr>
        <w:t>1</w:t>
      </w:r>
      <w:r>
        <w:rPr>
          <w:rFonts w:eastAsia="宋体"/>
          <w:lang w:eastAsia="zh-CN"/>
        </w:rPr>
        <w:fldChar w:fldCharType="end"/>
      </w:r>
      <w:r>
        <w:rPr>
          <w:rFonts w:eastAsia="宋体"/>
          <w:lang w:eastAsia="zh-CN"/>
        </w:rPr>
        <w:t>9</w:t>
      </w:r>
    </w:p>
    <w:p>
      <w:pPr>
        <w:pStyle w:val="5"/>
        <w:tabs>
          <w:tab w:val="right" w:leader="dot" w:pos="14562"/>
        </w:tabs>
        <w:rPr>
          <w:rFonts w:eastAsia="宋体"/>
          <w:lang w:eastAsia="zh-CN"/>
        </w:rPr>
      </w:pPr>
      <w:r>
        <w:fldChar w:fldCharType="begin"/>
      </w:r>
      <w:r>
        <w:instrText xml:space="preserve"> HYPERLINK \l "_Toc_3_3_0000000015" </w:instrText>
      </w:r>
      <w:r>
        <w:fldChar w:fldCharType="separate"/>
      </w:r>
      <w:r>
        <w:rPr>
          <w:rFonts w:hint="eastAsia"/>
        </w:rPr>
        <w:t>六、政府采购预算情况</w:t>
      </w:r>
      <w:r>
        <w:tab/>
      </w:r>
      <w:r>
        <w:rPr>
          <w:lang w:eastAsia="zh-CN"/>
        </w:rPr>
        <w:t>2</w:t>
      </w:r>
      <w:r>
        <w:rPr>
          <w:lang w:eastAsia="zh-CN"/>
        </w:rPr>
        <w:fldChar w:fldCharType="end"/>
      </w:r>
      <w:r>
        <w:rPr>
          <w:rFonts w:eastAsia="宋体"/>
          <w:lang w:eastAsia="zh-CN"/>
        </w:rPr>
        <w:t>7</w:t>
      </w:r>
    </w:p>
    <w:p>
      <w:pPr>
        <w:pStyle w:val="5"/>
        <w:tabs>
          <w:tab w:val="right" w:leader="dot" w:pos="14562"/>
        </w:tabs>
        <w:rPr>
          <w:rFonts w:eastAsia="宋体"/>
          <w:lang w:eastAsia="zh-CN"/>
        </w:rPr>
      </w:pPr>
      <w:r>
        <w:fldChar w:fldCharType="begin"/>
      </w:r>
      <w:r>
        <w:instrText xml:space="preserve"> HYPERLINK \l "_Toc_3_3_0000000016" </w:instrText>
      </w:r>
      <w:r>
        <w:fldChar w:fldCharType="separate"/>
      </w:r>
      <w:r>
        <w:rPr>
          <w:rFonts w:hint="eastAsia"/>
        </w:rPr>
        <w:t>七、国有资产信息</w:t>
      </w:r>
      <w:r>
        <w:tab/>
      </w:r>
      <w:r>
        <w:rPr>
          <w:lang w:eastAsia="zh-CN"/>
        </w:rPr>
        <w:t>2</w:t>
      </w:r>
      <w:r>
        <w:rPr>
          <w:lang w:eastAsia="zh-CN"/>
        </w:rPr>
        <w:fldChar w:fldCharType="end"/>
      </w:r>
      <w:r>
        <w:rPr>
          <w:rFonts w:eastAsia="宋体"/>
          <w:lang w:eastAsia="zh-CN"/>
        </w:rPr>
        <w:t>7</w:t>
      </w:r>
    </w:p>
    <w:p>
      <w:pPr>
        <w:pStyle w:val="5"/>
        <w:tabs>
          <w:tab w:val="right" w:leader="dot" w:pos="14562"/>
        </w:tabs>
        <w:rPr>
          <w:rFonts w:eastAsia="宋体"/>
          <w:lang w:eastAsia="zh-CN"/>
        </w:rPr>
      </w:pPr>
      <w:r>
        <w:fldChar w:fldCharType="begin"/>
      </w:r>
      <w:r>
        <w:instrText xml:space="preserve"> HYPERLINK \l "_Toc_3_3_0000000017" </w:instrText>
      </w:r>
      <w:r>
        <w:fldChar w:fldCharType="separate"/>
      </w:r>
      <w:r>
        <w:rPr>
          <w:rFonts w:hint="eastAsia"/>
        </w:rPr>
        <w:t>八、名词解释</w:t>
      </w:r>
      <w:r>
        <w:tab/>
      </w:r>
      <w:r>
        <w:rPr>
          <w:lang w:eastAsia="zh-CN"/>
        </w:rPr>
        <w:t>2</w:t>
      </w:r>
      <w:r>
        <w:rPr>
          <w:lang w:eastAsia="zh-CN"/>
        </w:rPr>
        <w:fldChar w:fldCharType="end"/>
      </w:r>
      <w:r>
        <w:rPr>
          <w:rFonts w:eastAsia="宋体"/>
          <w:lang w:eastAsia="zh-CN"/>
        </w:rPr>
        <w:t>8</w:t>
      </w:r>
    </w:p>
    <w:p>
      <w:pPr>
        <w:pStyle w:val="5"/>
        <w:tabs>
          <w:tab w:val="right" w:leader="dot" w:pos="14562"/>
        </w:tabs>
        <w:rPr>
          <w:rFonts w:eastAsia="宋体"/>
          <w:lang w:eastAsia="zh-CN"/>
        </w:rPr>
      </w:pPr>
      <w:r>
        <w:fldChar w:fldCharType="begin"/>
      </w:r>
      <w:r>
        <w:instrText xml:space="preserve"> HYPERLINK \l "_Toc_3_3_0000000018" </w:instrText>
      </w:r>
      <w:r>
        <w:fldChar w:fldCharType="separate"/>
      </w:r>
      <w:r>
        <w:rPr>
          <w:rFonts w:hint="eastAsia"/>
        </w:rPr>
        <w:t>九、其他需要说明的事项</w:t>
      </w:r>
      <w:r>
        <w:tab/>
      </w:r>
      <w:r>
        <w:rPr>
          <w:rFonts w:eastAsia="宋体"/>
          <w:lang w:eastAsia="zh-CN"/>
        </w:rPr>
        <w:t>2</w:t>
      </w:r>
      <w:r>
        <w:rPr>
          <w:rFonts w:eastAsia="宋体"/>
          <w:lang w:eastAsia="zh-CN"/>
        </w:rPr>
        <w:fldChar w:fldCharType="end"/>
      </w:r>
      <w:r>
        <w:rPr>
          <w:rFonts w:eastAsia="宋体"/>
          <w:lang w:eastAsia="zh-CN"/>
        </w:rPr>
        <w:t>8</w:t>
      </w:r>
    </w:p>
    <w:p>
      <w:r>
        <w:fldChar w:fldCharType="end"/>
      </w: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outlineLvl w:val="1"/>
        <w:rPr>
          <w:rFonts w:ascii="方正小标宋_GBK" w:eastAsia="方正小标宋_GBK" w:cs="方正小标宋_GBK"/>
          <w:color w:val="000000"/>
          <w:sz w:val="36"/>
          <w:lang w:eastAsia="zh-CN"/>
        </w:rPr>
      </w:pPr>
    </w:p>
    <w:p>
      <w:pPr>
        <w:jc w:val="center"/>
        <w:outlineLvl w:val="1"/>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rPr>
        <w:t>部门预算收支总表</w:t>
      </w:r>
    </w:p>
    <w:tbl>
      <w:tblPr>
        <w:tblStyle w:val="8"/>
        <w:tblpPr w:leftFromText="180" w:rightFromText="180" w:vertAnchor="text" w:horzAnchor="page" w:tblpX="1898" w:tblpY="56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7"/>
        <w:gridCol w:w="3349"/>
        <w:gridCol w:w="1971"/>
        <w:gridCol w:w="3305"/>
        <w:gridCol w:w="21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36" w:type="dxa"/>
            <w:gridSpan w:val="2"/>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197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4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87" w:type="dxa"/>
            <w:vMerge w:val="restart"/>
            <w:vAlign w:val="center"/>
          </w:tcPr>
          <w:p>
            <w:pPr>
              <w:pStyle w:val="14"/>
            </w:pPr>
            <w:r>
              <w:rPr>
                <w:rFonts w:hint="eastAsia"/>
              </w:rPr>
              <w:t>序号</w:t>
            </w:r>
          </w:p>
        </w:tc>
        <w:tc>
          <w:tcPr>
            <w:tcW w:w="5320" w:type="dxa"/>
            <w:gridSpan w:val="2"/>
            <w:vAlign w:val="center"/>
          </w:tcPr>
          <w:p>
            <w:pPr>
              <w:pStyle w:val="14"/>
            </w:pPr>
            <w:r>
              <w:rPr>
                <w:rFonts w:hint="eastAsia"/>
              </w:rPr>
              <w:t>收入</w:t>
            </w:r>
          </w:p>
        </w:tc>
        <w:tc>
          <w:tcPr>
            <w:tcW w:w="5443" w:type="dxa"/>
            <w:gridSpan w:val="2"/>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87" w:type="dxa"/>
            <w:vMerge w:val="continue"/>
          </w:tcPr>
          <w:p/>
        </w:tc>
        <w:tc>
          <w:tcPr>
            <w:tcW w:w="3349" w:type="dxa"/>
            <w:vAlign w:val="center"/>
          </w:tcPr>
          <w:p>
            <w:pPr>
              <w:pStyle w:val="14"/>
            </w:pPr>
            <w:r>
              <w:rPr>
                <w:rFonts w:hint="eastAsia"/>
              </w:rPr>
              <w:t>项目</w:t>
            </w:r>
          </w:p>
        </w:tc>
        <w:tc>
          <w:tcPr>
            <w:tcW w:w="1971" w:type="dxa"/>
            <w:vAlign w:val="center"/>
          </w:tcPr>
          <w:p>
            <w:pPr>
              <w:pStyle w:val="14"/>
            </w:pPr>
            <w:r>
              <w:rPr>
                <w:rFonts w:hint="eastAsia"/>
              </w:rPr>
              <w:t>预算数</w:t>
            </w:r>
          </w:p>
        </w:tc>
        <w:tc>
          <w:tcPr>
            <w:tcW w:w="3305" w:type="dxa"/>
            <w:vAlign w:val="center"/>
          </w:tcPr>
          <w:p>
            <w:pPr>
              <w:pStyle w:val="14"/>
            </w:pPr>
            <w:r>
              <w:rPr>
                <w:rFonts w:hint="eastAsia"/>
              </w:rPr>
              <w:t>项目</w:t>
            </w:r>
          </w:p>
        </w:tc>
        <w:tc>
          <w:tcPr>
            <w:tcW w:w="2138" w:type="dxa"/>
            <w:vAlign w:val="center"/>
          </w:tcPr>
          <w:p>
            <w:pPr>
              <w:pStyle w:val="14"/>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387" w:type="dxa"/>
            <w:vAlign w:val="center"/>
          </w:tcPr>
          <w:p>
            <w:pPr>
              <w:pStyle w:val="14"/>
            </w:pPr>
            <w:r>
              <w:rPr>
                <w:rFonts w:hint="eastAsia"/>
              </w:rPr>
              <w:t>栏次</w:t>
            </w:r>
          </w:p>
        </w:tc>
        <w:tc>
          <w:tcPr>
            <w:tcW w:w="3349" w:type="dxa"/>
            <w:vAlign w:val="center"/>
          </w:tcPr>
          <w:p>
            <w:pPr>
              <w:pStyle w:val="14"/>
            </w:pPr>
            <w:r>
              <w:t>1</w:t>
            </w:r>
          </w:p>
        </w:tc>
        <w:tc>
          <w:tcPr>
            <w:tcW w:w="1971" w:type="dxa"/>
            <w:vAlign w:val="center"/>
          </w:tcPr>
          <w:p>
            <w:pPr>
              <w:pStyle w:val="14"/>
            </w:pPr>
            <w:r>
              <w:t>2</w:t>
            </w:r>
          </w:p>
        </w:tc>
        <w:tc>
          <w:tcPr>
            <w:tcW w:w="3305" w:type="dxa"/>
            <w:vAlign w:val="center"/>
          </w:tcPr>
          <w:p>
            <w:pPr>
              <w:pStyle w:val="14"/>
            </w:pPr>
            <w:r>
              <w:t>3</w:t>
            </w:r>
          </w:p>
        </w:tc>
        <w:tc>
          <w:tcPr>
            <w:tcW w:w="2138"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w:t>
            </w:r>
          </w:p>
        </w:tc>
        <w:tc>
          <w:tcPr>
            <w:tcW w:w="3349" w:type="dxa"/>
            <w:vAlign w:val="center"/>
          </w:tcPr>
          <w:p>
            <w:pPr>
              <w:pStyle w:val="16"/>
            </w:pPr>
            <w:r>
              <w:rPr>
                <w:rFonts w:hint="eastAsia"/>
              </w:rPr>
              <w:t>一、一般公共预算拨款收入</w:t>
            </w:r>
          </w:p>
        </w:tc>
        <w:tc>
          <w:tcPr>
            <w:tcW w:w="1971" w:type="dxa"/>
            <w:vAlign w:val="center"/>
          </w:tcPr>
          <w:p>
            <w:pPr>
              <w:pStyle w:val="15"/>
            </w:pPr>
            <w:r>
              <w:t>3624.11</w:t>
            </w:r>
          </w:p>
        </w:tc>
        <w:tc>
          <w:tcPr>
            <w:tcW w:w="3305" w:type="dxa"/>
            <w:vAlign w:val="center"/>
          </w:tcPr>
          <w:p>
            <w:pPr>
              <w:pStyle w:val="16"/>
            </w:pPr>
            <w:r>
              <w:rPr>
                <w:rFonts w:hint="eastAsia"/>
              </w:rPr>
              <w:t>一、一般公共服务支出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w:t>
            </w:r>
          </w:p>
        </w:tc>
        <w:tc>
          <w:tcPr>
            <w:tcW w:w="3349" w:type="dxa"/>
            <w:vAlign w:val="center"/>
          </w:tcPr>
          <w:p>
            <w:pPr>
              <w:pStyle w:val="16"/>
            </w:pPr>
            <w:r>
              <w:rPr>
                <w:rFonts w:hint="eastAsia"/>
              </w:rPr>
              <w:t>二、政府性基金预算拨款收入</w:t>
            </w:r>
          </w:p>
        </w:tc>
        <w:tc>
          <w:tcPr>
            <w:tcW w:w="1971" w:type="dxa"/>
            <w:vAlign w:val="center"/>
          </w:tcPr>
          <w:p>
            <w:pPr>
              <w:pStyle w:val="15"/>
            </w:pPr>
          </w:p>
        </w:tc>
        <w:tc>
          <w:tcPr>
            <w:tcW w:w="3305" w:type="dxa"/>
            <w:vAlign w:val="center"/>
          </w:tcPr>
          <w:p>
            <w:pPr>
              <w:pStyle w:val="16"/>
            </w:pPr>
            <w:r>
              <w:rPr>
                <w:rFonts w:hint="eastAsia"/>
              </w:rPr>
              <w:t>二、外交支出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3</w:t>
            </w:r>
          </w:p>
        </w:tc>
        <w:tc>
          <w:tcPr>
            <w:tcW w:w="3349" w:type="dxa"/>
            <w:vAlign w:val="center"/>
          </w:tcPr>
          <w:p>
            <w:pPr>
              <w:pStyle w:val="16"/>
            </w:pPr>
            <w:r>
              <w:rPr>
                <w:rFonts w:hint="eastAsia"/>
              </w:rPr>
              <w:t>三、国有资本经营预算拨款收入</w:t>
            </w:r>
          </w:p>
        </w:tc>
        <w:tc>
          <w:tcPr>
            <w:tcW w:w="1971" w:type="dxa"/>
            <w:vAlign w:val="center"/>
          </w:tcPr>
          <w:p>
            <w:pPr>
              <w:pStyle w:val="15"/>
            </w:pPr>
          </w:p>
        </w:tc>
        <w:tc>
          <w:tcPr>
            <w:tcW w:w="3305" w:type="dxa"/>
            <w:vAlign w:val="center"/>
          </w:tcPr>
          <w:p>
            <w:pPr>
              <w:pStyle w:val="16"/>
            </w:pPr>
            <w:r>
              <w:rPr>
                <w:rFonts w:hint="eastAsia"/>
              </w:rPr>
              <w:t>三、国防支出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4</w:t>
            </w:r>
          </w:p>
        </w:tc>
        <w:tc>
          <w:tcPr>
            <w:tcW w:w="3349" w:type="dxa"/>
            <w:vAlign w:val="center"/>
          </w:tcPr>
          <w:p>
            <w:pPr>
              <w:pStyle w:val="16"/>
            </w:pPr>
            <w:r>
              <w:rPr>
                <w:rFonts w:hint="eastAsia"/>
              </w:rPr>
              <w:t>四、财政专户管理资金收入</w:t>
            </w:r>
          </w:p>
        </w:tc>
        <w:tc>
          <w:tcPr>
            <w:tcW w:w="1971" w:type="dxa"/>
            <w:vAlign w:val="center"/>
          </w:tcPr>
          <w:p>
            <w:pPr>
              <w:pStyle w:val="15"/>
            </w:pPr>
          </w:p>
        </w:tc>
        <w:tc>
          <w:tcPr>
            <w:tcW w:w="3305" w:type="dxa"/>
            <w:vAlign w:val="center"/>
          </w:tcPr>
          <w:p>
            <w:pPr>
              <w:pStyle w:val="16"/>
            </w:pPr>
            <w:r>
              <w:rPr>
                <w:rFonts w:hint="eastAsia"/>
              </w:rPr>
              <w:t>四、公共安全支出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5</w:t>
            </w:r>
          </w:p>
        </w:tc>
        <w:tc>
          <w:tcPr>
            <w:tcW w:w="3349" w:type="dxa"/>
            <w:vAlign w:val="center"/>
          </w:tcPr>
          <w:p>
            <w:pPr>
              <w:pStyle w:val="16"/>
            </w:pPr>
            <w:r>
              <w:rPr>
                <w:rFonts w:hint="eastAsia"/>
              </w:rPr>
              <w:t>五、事业收入</w:t>
            </w:r>
          </w:p>
        </w:tc>
        <w:tc>
          <w:tcPr>
            <w:tcW w:w="1971" w:type="dxa"/>
            <w:vAlign w:val="center"/>
          </w:tcPr>
          <w:p>
            <w:pPr>
              <w:pStyle w:val="15"/>
            </w:pPr>
          </w:p>
        </w:tc>
        <w:tc>
          <w:tcPr>
            <w:tcW w:w="3305" w:type="dxa"/>
            <w:vAlign w:val="center"/>
          </w:tcPr>
          <w:p>
            <w:pPr>
              <w:pStyle w:val="16"/>
            </w:pPr>
            <w:r>
              <w:rPr>
                <w:rFonts w:hint="eastAsia"/>
              </w:rPr>
              <w:t>五、教育支出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6</w:t>
            </w:r>
          </w:p>
        </w:tc>
        <w:tc>
          <w:tcPr>
            <w:tcW w:w="3349" w:type="dxa"/>
            <w:vAlign w:val="center"/>
          </w:tcPr>
          <w:p>
            <w:pPr>
              <w:pStyle w:val="16"/>
            </w:pPr>
            <w:r>
              <w:rPr>
                <w:rFonts w:hint="eastAsia"/>
              </w:rPr>
              <w:t>六、事业单位经营收入</w:t>
            </w:r>
          </w:p>
        </w:tc>
        <w:tc>
          <w:tcPr>
            <w:tcW w:w="1971" w:type="dxa"/>
            <w:vAlign w:val="center"/>
          </w:tcPr>
          <w:p>
            <w:pPr>
              <w:pStyle w:val="15"/>
            </w:pPr>
          </w:p>
        </w:tc>
        <w:tc>
          <w:tcPr>
            <w:tcW w:w="3305" w:type="dxa"/>
            <w:vAlign w:val="center"/>
          </w:tcPr>
          <w:p>
            <w:pPr>
              <w:pStyle w:val="16"/>
            </w:pPr>
            <w:r>
              <w:rPr>
                <w:rFonts w:hint="eastAsia"/>
              </w:rPr>
              <w:t>六、科学技术支出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7</w:t>
            </w:r>
          </w:p>
        </w:tc>
        <w:tc>
          <w:tcPr>
            <w:tcW w:w="3349" w:type="dxa"/>
            <w:vAlign w:val="center"/>
          </w:tcPr>
          <w:p>
            <w:pPr>
              <w:pStyle w:val="16"/>
            </w:pPr>
            <w:r>
              <w:rPr>
                <w:rFonts w:hint="eastAsia"/>
              </w:rPr>
              <w:t>七、上级补助收入</w:t>
            </w:r>
          </w:p>
        </w:tc>
        <w:tc>
          <w:tcPr>
            <w:tcW w:w="1971" w:type="dxa"/>
            <w:vAlign w:val="center"/>
          </w:tcPr>
          <w:p>
            <w:pPr>
              <w:pStyle w:val="15"/>
            </w:pPr>
          </w:p>
        </w:tc>
        <w:tc>
          <w:tcPr>
            <w:tcW w:w="3305" w:type="dxa"/>
            <w:vAlign w:val="center"/>
          </w:tcPr>
          <w:p>
            <w:pPr>
              <w:pStyle w:val="16"/>
            </w:pPr>
            <w:r>
              <w:rPr>
                <w:rFonts w:hint="eastAsia"/>
              </w:rPr>
              <w:t>七、文化旅游体育与传媒支出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8</w:t>
            </w:r>
          </w:p>
        </w:tc>
        <w:tc>
          <w:tcPr>
            <w:tcW w:w="3349" w:type="dxa"/>
            <w:vAlign w:val="center"/>
          </w:tcPr>
          <w:p>
            <w:pPr>
              <w:pStyle w:val="16"/>
            </w:pPr>
            <w:r>
              <w:rPr>
                <w:rFonts w:hint="eastAsia"/>
              </w:rPr>
              <w:t>八、附属单位上缴收入</w:t>
            </w:r>
          </w:p>
        </w:tc>
        <w:tc>
          <w:tcPr>
            <w:tcW w:w="1971" w:type="dxa"/>
            <w:vAlign w:val="center"/>
          </w:tcPr>
          <w:p>
            <w:pPr>
              <w:pStyle w:val="15"/>
            </w:pPr>
          </w:p>
        </w:tc>
        <w:tc>
          <w:tcPr>
            <w:tcW w:w="3305" w:type="dxa"/>
            <w:vAlign w:val="center"/>
          </w:tcPr>
          <w:p>
            <w:pPr>
              <w:pStyle w:val="16"/>
            </w:pPr>
            <w:r>
              <w:rPr>
                <w:rFonts w:hint="eastAsia"/>
              </w:rPr>
              <w:t>八、社会保障和就业支出</w:t>
            </w:r>
          </w:p>
        </w:tc>
        <w:tc>
          <w:tcPr>
            <w:tcW w:w="2138" w:type="dxa"/>
            <w:vAlign w:val="center"/>
          </w:tcPr>
          <w:p>
            <w:pPr>
              <w:pStyle w:val="15"/>
            </w:pPr>
            <w:r>
              <w:t>3615.11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9</w:t>
            </w:r>
          </w:p>
        </w:tc>
        <w:tc>
          <w:tcPr>
            <w:tcW w:w="3349" w:type="dxa"/>
            <w:vAlign w:val="center"/>
          </w:tcPr>
          <w:p>
            <w:pPr>
              <w:pStyle w:val="16"/>
            </w:pPr>
            <w:r>
              <w:rPr>
                <w:rFonts w:hint="eastAsia"/>
              </w:rPr>
              <w:t>九、其他收入</w:t>
            </w:r>
          </w:p>
        </w:tc>
        <w:tc>
          <w:tcPr>
            <w:tcW w:w="1971" w:type="dxa"/>
            <w:vAlign w:val="center"/>
          </w:tcPr>
          <w:p>
            <w:pPr>
              <w:pStyle w:val="15"/>
            </w:pPr>
          </w:p>
        </w:tc>
        <w:tc>
          <w:tcPr>
            <w:tcW w:w="3305" w:type="dxa"/>
            <w:vAlign w:val="center"/>
          </w:tcPr>
          <w:p>
            <w:pPr>
              <w:pStyle w:val="16"/>
            </w:pPr>
            <w:r>
              <w:rPr>
                <w:rFonts w:hint="eastAsia"/>
              </w:rPr>
              <w:t>九、社会保险基金支出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10</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十、卫生健康支出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11</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十一、节能环保支出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12</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十二、城乡社区支出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13</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十三、农林水支出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14</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十四、交通运输支出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15</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十五、资源勘探工业信息等支出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16</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十六、商业服务业等支出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17</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十七、金融支出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18</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十八、援助其他地区支出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19</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十九、自然资源海洋气象等支出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20</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二十、住房保障支出</w:t>
            </w:r>
          </w:p>
        </w:tc>
        <w:tc>
          <w:tcPr>
            <w:tcW w:w="2138" w:type="dxa"/>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21</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二十一、粮油物资储备支出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22</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二十二、国有资本经营预算支出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23</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二十三、灾害防治及应急管理支出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24</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二十四、预备费</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25</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二十五、其他支出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26</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二十六、转移性支出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27</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二十七、债务还本支出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28</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二十八、债务付息支出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29</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二十九、债务发行费用支出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30</w:t>
            </w:r>
          </w:p>
        </w:tc>
        <w:tc>
          <w:tcPr>
            <w:tcW w:w="3349" w:type="dxa"/>
            <w:vAlign w:val="center"/>
          </w:tcPr>
          <w:p>
            <w:pPr>
              <w:pStyle w:val="16"/>
            </w:pPr>
          </w:p>
        </w:tc>
        <w:tc>
          <w:tcPr>
            <w:tcW w:w="1971" w:type="dxa"/>
            <w:vAlign w:val="center"/>
          </w:tcPr>
          <w:p>
            <w:pPr>
              <w:pStyle w:val="15"/>
            </w:pPr>
          </w:p>
        </w:tc>
        <w:tc>
          <w:tcPr>
            <w:tcW w:w="3305" w:type="dxa"/>
            <w:vAlign w:val="center"/>
          </w:tcPr>
          <w:p>
            <w:pPr>
              <w:pStyle w:val="16"/>
            </w:pPr>
            <w:r>
              <w:rPr>
                <w:rFonts w:hint="eastAsia"/>
              </w:rPr>
              <w:t>三十、抗疫特别国债安排的支出</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31</w:t>
            </w:r>
          </w:p>
        </w:tc>
        <w:tc>
          <w:tcPr>
            <w:tcW w:w="3349" w:type="dxa"/>
            <w:vAlign w:val="center"/>
          </w:tcPr>
          <w:p>
            <w:pPr>
              <w:pStyle w:val="18"/>
            </w:pPr>
            <w:r>
              <w:rPr>
                <w:rFonts w:hint="eastAsia"/>
              </w:rPr>
              <w:t>本年收入合计</w:t>
            </w:r>
          </w:p>
        </w:tc>
        <w:tc>
          <w:tcPr>
            <w:tcW w:w="1971" w:type="dxa"/>
            <w:vAlign w:val="center"/>
          </w:tcPr>
          <w:p>
            <w:pPr>
              <w:pStyle w:val="19"/>
            </w:pPr>
            <w:r>
              <w:t>3624.11</w:t>
            </w:r>
          </w:p>
        </w:tc>
        <w:tc>
          <w:tcPr>
            <w:tcW w:w="3305" w:type="dxa"/>
            <w:vAlign w:val="center"/>
          </w:tcPr>
          <w:p>
            <w:pPr>
              <w:pStyle w:val="18"/>
            </w:pPr>
            <w:r>
              <w:rPr>
                <w:rFonts w:hint="eastAsia"/>
              </w:rPr>
              <w:t>本年支出合计</w:t>
            </w:r>
          </w:p>
        </w:tc>
        <w:tc>
          <w:tcPr>
            <w:tcW w:w="2138" w:type="dxa"/>
            <w:vAlign w:val="center"/>
          </w:tcPr>
          <w:p>
            <w:pPr>
              <w:pStyle w:val="19"/>
            </w:pPr>
            <w:r>
              <w:t>3624.11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32</w:t>
            </w:r>
          </w:p>
        </w:tc>
        <w:tc>
          <w:tcPr>
            <w:tcW w:w="3349" w:type="dxa"/>
            <w:vAlign w:val="center"/>
          </w:tcPr>
          <w:p>
            <w:pPr>
              <w:pStyle w:val="16"/>
            </w:pPr>
            <w:r>
              <w:rPr>
                <w:rFonts w:hint="eastAsia"/>
              </w:rPr>
              <w:t>上年结转结余</w:t>
            </w:r>
          </w:p>
        </w:tc>
        <w:tc>
          <w:tcPr>
            <w:tcW w:w="1971" w:type="dxa"/>
            <w:vAlign w:val="center"/>
          </w:tcPr>
          <w:p>
            <w:pPr>
              <w:pStyle w:val="15"/>
            </w:pPr>
          </w:p>
        </w:tc>
        <w:tc>
          <w:tcPr>
            <w:tcW w:w="3305" w:type="dxa"/>
            <w:vAlign w:val="center"/>
          </w:tcPr>
          <w:p>
            <w:pPr>
              <w:pStyle w:val="16"/>
            </w:pPr>
            <w:r>
              <w:rPr>
                <w:rFonts w:hint="eastAsia"/>
              </w:rPr>
              <w:t>年终结转结余</w:t>
            </w:r>
          </w:p>
        </w:tc>
        <w:tc>
          <w:tcPr>
            <w:tcW w:w="213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387" w:type="dxa"/>
            <w:vAlign w:val="center"/>
          </w:tcPr>
          <w:p>
            <w:pPr>
              <w:pStyle w:val="17"/>
            </w:pPr>
            <w:r>
              <w:t>33</w:t>
            </w:r>
          </w:p>
        </w:tc>
        <w:tc>
          <w:tcPr>
            <w:tcW w:w="3349" w:type="dxa"/>
            <w:vAlign w:val="center"/>
          </w:tcPr>
          <w:p>
            <w:pPr>
              <w:pStyle w:val="18"/>
            </w:pPr>
            <w:r>
              <w:rPr>
                <w:rFonts w:hint="eastAsia"/>
              </w:rPr>
              <w:t>收入总计</w:t>
            </w:r>
          </w:p>
        </w:tc>
        <w:tc>
          <w:tcPr>
            <w:tcW w:w="1971" w:type="dxa"/>
            <w:vAlign w:val="center"/>
          </w:tcPr>
          <w:p>
            <w:pPr>
              <w:pStyle w:val="19"/>
            </w:pPr>
            <w:r>
              <w:t>3624.11</w:t>
            </w:r>
          </w:p>
        </w:tc>
        <w:tc>
          <w:tcPr>
            <w:tcW w:w="3305" w:type="dxa"/>
            <w:vAlign w:val="center"/>
          </w:tcPr>
          <w:p>
            <w:pPr>
              <w:pStyle w:val="18"/>
            </w:pPr>
            <w:r>
              <w:rPr>
                <w:rFonts w:hint="eastAsia"/>
              </w:rPr>
              <w:t>支出总计</w:t>
            </w:r>
          </w:p>
        </w:tc>
        <w:tc>
          <w:tcPr>
            <w:tcW w:w="2138" w:type="dxa"/>
            <w:vAlign w:val="center"/>
          </w:tcPr>
          <w:p>
            <w:pPr>
              <w:pStyle w:val="19"/>
            </w:pPr>
            <w:r>
              <w:t>3624.11</w:t>
            </w:r>
          </w:p>
        </w:tc>
      </w:tr>
      <w:bookmarkEnd w:id="0"/>
    </w:tbl>
    <w:p>
      <w:pPr>
        <w:jc w:val="center"/>
        <w:outlineLvl w:val="1"/>
      </w:pPr>
    </w:p>
    <w:p>
      <w:pPr>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9"/>
        <w:gridCol w:w="1125"/>
        <w:gridCol w:w="1775"/>
        <w:gridCol w:w="1063"/>
        <w:gridCol w:w="1050"/>
        <w:gridCol w:w="1062"/>
        <w:gridCol w:w="1038"/>
        <w:gridCol w:w="900"/>
        <w:gridCol w:w="887"/>
        <w:gridCol w:w="1038"/>
        <w:gridCol w:w="1362"/>
        <w:gridCol w:w="908"/>
        <w:gridCol w:w="11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02" w:type="dxa"/>
            <w:gridSpan w:val="5"/>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3000" w:type="dxa"/>
            <w:gridSpan w:val="3"/>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313" w:type="dxa"/>
            <w:gridSpan w:val="5"/>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 w:type="dxa"/>
            <w:vMerge w:val="restart"/>
            <w:vAlign w:val="center"/>
          </w:tcPr>
          <w:p>
            <w:pPr>
              <w:pStyle w:val="14"/>
            </w:pPr>
            <w:r>
              <w:rPr>
                <w:rFonts w:hint="eastAsia"/>
              </w:rPr>
              <w:t>序号</w:t>
            </w:r>
          </w:p>
        </w:tc>
        <w:tc>
          <w:tcPr>
            <w:tcW w:w="2900" w:type="dxa"/>
            <w:gridSpan w:val="2"/>
            <w:vAlign w:val="center"/>
          </w:tcPr>
          <w:p>
            <w:pPr>
              <w:pStyle w:val="14"/>
            </w:pPr>
            <w:r>
              <w:rPr>
                <w:rFonts w:hint="eastAsia"/>
              </w:rPr>
              <w:t>功能分类科目</w:t>
            </w:r>
          </w:p>
        </w:tc>
        <w:tc>
          <w:tcPr>
            <w:tcW w:w="1063" w:type="dxa"/>
            <w:vMerge w:val="restart"/>
            <w:vAlign w:val="center"/>
          </w:tcPr>
          <w:p>
            <w:pPr>
              <w:pStyle w:val="14"/>
            </w:pPr>
            <w:r>
              <w:rPr>
                <w:rFonts w:hint="eastAsia"/>
              </w:rPr>
              <w:t>合计</w:t>
            </w:r>
          </w:p>
        </w:tc>
        <w:tc>
          <w:tcPr>
            <w:tcW w:w="8245" w:type="dxa"/>
            <w:gridSpan w:val="8"/>
            <w:vAlign w:val="center"/>
          </w:tcPr>
          <w:p>
            <w:pPr>
              <w:pStyle w:val="14"/>
            </w:pPr>
            <w:r>
              <w:rPr>
                <w:rFonts w:hint="eastAsia"/>
              </w:rPr>
              <w:t>本年收入</w:t>
            </w:r>
          </w:p>
        </w:tc>
        <w:tc>
          <w:tcPr>
            <w:tcW w:w="1118" w:type="dxa"/>
            <w:vMerge w:val="restart"/>
            <w:vAlign w:val="center"/>
          </w:tcPr>
          <w:p>
            <w:pPr>
              <w:pStyle w:val="14"/>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 w:type="dxa"/>
            <w:vMerge w:val="continue"/>
          </w:tcPr>
          <w:p/>
        </w:tc>
        <w:tc>
          <w:tcPr>
            <w:tcW w:w="1125" w:type="dxa"/>
            <w:vAlign w:val="center"/>
          </w:tcPr>
          <w:p>
            <w:pPr>
              <w:pStyle w:val="14"/>
            </w:pPr>
            <w:r>
              <w:rPr>
                <w:rFonts w:hint="eastAsia"/>
              </w:rPr>
              <w:t>科目编码</w:t>
            </w:r>
          </w:p>
        </w:tc>
        <w:tc>
          <w:tcPr>
            <w:tcW w:w="1775" w:type="dxa"/>
            <w:vAlign w:val="center"/>
          </w:tcPr>
          <w:p>
            <w:pPr>
              <w:pStyle w:val="14"/>
            </w:pPr>
            <w:r>
              <w:rPr>
                <w:rFonts w:hint="eastAsia"/>
              </w:rPr>
              <w:t>科目名称</w:t>
            </w:r>
          </w:p>
        </w:tc>
        <w:tc>
          <w:tcPr>
            <w:tcW w:w="1063" w:type="dxa"/>
            <w:vMerge w:val="continue"/>
          </w:tcPr>
          <w:p/>
        </w:tc>
        <w:tc>
          <w:tcPr>
            <w:tcW w:w="1050" w:type="dxa"/>
            <w:vAlign w:val="center"/>
          </w:tcPr>
          <w:p>
            <w:pPr>
              <w:pStyle w:val="14"/>
            </w:pPr>
            <w:r>
              <w:rPr>
                <w:rFonts w:hint="eastAsia"/>
              </w:rPr>
              <w:t>小计</w:t>
            </w:r>
          </w:p>
        </w:tc>
        <w:tc>
          <w:tcPr>
            <w:tcW w:w="1062" w:type="dxa"/>
            <w:vAlign w:val="center"/>
          </w:tcPr>
          <w:p>
            <w:pPr>
              <w:pStyle w:val="14"/>
            </w:pPr>
            <w:r>
              <w:rPr>
                <w:rFonts w:hint="eastAsia"/>
              </w:rPr>
              <w:t>财政拨款收入</w:t>
            </w:r>
          </w:p>
        </w:tc>
        <w:tc>
          <w:tcPr>
            <w:tcW w:w="1038" w:type="dxa"/>
            <w:vAlign w:val="center"/>
          </w:tcPr>
          <w:p>
            <w:pPr>
              <w:pStyle w:val="14"/>
            </w:pPr>
            <w:r>
              <w:rPr>
                <w:rFonts w:hint="eastAsia"/>
              </w:rPr>
              <w:t>财政专户收入</w:t>
            </w:r>
          </w:p>
        </w:tc>
        <w:tc>
          <w:tcPr>
            <w:tcW w:w="900" w:type="dxa"/>
            <w:vAlign w:val="center"/>
          </w:tcPr>
          <w:p>
            <w:pPr>
              <w:pStyle w:val="14"/>
            </w:pPr>
            <w:r>
              <w:rPr>
                <w:rFonts w:hint="eastAsia"/>
              </w:rPr>
              <w:t>事业收入</w:t>
            </w:r>
          </w:p>
        </w:tc>
        <w:tc>
          <w:tcPr>
            <w:tcW w:w="887" w:type="dxa"/>
            <w:vAlign w:val="center"/>
          </w:tcPr>
          <w:p>
            <w:pPr>
              <w:pStyle w:val="14"/>
            </w:pPr>
            <w:r>
              <w:rPr>
                <w:rFonts w:hint="eastAsia"/>
              </w:rPr>
              <w:t>经营收入</w:t>
            </w:r>
          </w:p>
        </w:tc>
        <w:tc>
          <w:tcPr>
            <w:tcW w:w="1038" w:type="dxa"/>
            <w:vAlign w:val="center"/>
          </w:tcPr>
          <w:p>
            <w:pPr>
              <w:pStyle w:val="14"/>
            </w:pPr>
            <w:r>
              <w:rPr>
                <w:rFonts w:hint="eastAsia"/>
              </w:rPr>
              <w:t>上级补助收入</w:t>
            </w:r>
          </w:p>
        </w:tc>
        <w:tc>
          <w:tcPr>
            <w:tcW w:w="1362" w:type="dxa"/>
            <w:vAlign w:val="center"/>
          </w:tcPr>
          <w:p>
            <w:pPr>
              <w:pStyle w:val="14"/>
            </w:pPr>
            <w:r>
              <w:rPr>
                <w:rFonts w:hint="eastAsia"/>
              </w:rPr>
              <w:t>附属单位上缴收入</w:t>
            </w:r>
          </w:p>
        </w:tc>
        <w:tc>
          <w:tcPr>
            <w:tcW w:w="908" w:type="dxa"/>
            <w:vAlign w:val="center"/>
          </w:tcPr>
          <w:p>
            <w:pPr>
              <w:pStyle w:val="14"/>
            </w:pPr>
            <w:r>
              <w:rPr>
                <w:rFonts w:hint="eastAsia"/>
              </w:rPr>
              <w:t>其他收入</w:t>
            </w:r>
          </w:p>
        </w:tc>
        <w:tc>
          <w:tcPr>
            <w:tcW w:w="111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 w:type="dxa"/>
            <w:vAlign w:val="center"/>
          </w:tcPr>
          <w:p>
            <w:pPr>
              <w:pStyle w:val="14"/>
            </w:pPr>
            <w:r>
              <w:rPr>
                <w:rFonts w:hint="eastAsia"/>
              </w:rPr>
              <w:t>栏次</w:t>
            </w:r>
          </w:p>
        </w:tc>
        <w:tc>
          <w:tcPr>
            <w:tcW w:w="1125" w:type="dxa"/>
            <w:vAlign w:val="center"/>
          </w:tcPr>
          <w:p>
            <w:pPr>
              <w:pStyle w:val="14"/>
            </w:pPr>
            <w:r>
              <w:t>1</w:t>
            </w:r>
          </w:p>
        </w:tc>
        <w:tc>
          <w:tcPr>
            <w:tcW w:w="1775" w:type="dxa"/>
            <w:vAlign w:val="center"/>
          </w:tcPr>
          <w:p>
            <w:pPr>
              <w:pStyle w:val="14"/>
            </w:pPr>
            <w:r>
              <w:t>2</w:t>
            </w:r>
          </w:p>
        </w:tc>
        <w:tc>
          <w:tcPr>
            <w:tcW w:w="1063" w:type="dxa"/>
            <w:vAlign w:val="center"/>
          </w:tcPr>
          <w:p>
            <w:pPr>
              <w:pStyle w:val="14"/>
            </w:pPr>
            <w:r>
              <w:t>3</w:t>
            </w:r>
          </w:p>
        </w:tc>
        <w:tc>
          <w:tcPr>
            <w:tcW w:w="1050" w:type="dxa"/>
            <w:vAlign w:val="center"/>
          </w:tcPr>
          <w:p>
            <w:pPr>
              <w:pStyle w:val="14"/>
            </w:pPr>
            <w:r>
              <w:t>4</w:t>
            </w:r>
          </w:p>
        </w:tc>
        <w:tc>
          <w:tcPr>
            <w:tcW w:w="1062" w:type="dxa"/>
            <w:vAlign w:val="center"/>
          </w:tcPr>
          <w:p>
            <w:pPr>
              <w:pStyle w:val="14"/>
            </w:pPr>
            <w:r>
              <w:t>5</w:t>
            </w:r>
          </w:p>
        </w:tc>
        <w:tc>
          <w:tcPr>
            <w:tcW w:w="1038" w:type="dxa"/>
            <w:vAlign w:val="center"/>
          </w:tcPr>
          <w:p>
            <w:pPr>
              <w:pStyle w:val="14"/>
            </w:pPr>
            <w:r>
              <w:t>6</w:t>
            </w:r>
          </w:p>
        </w:tc>
        <w:tc>
          <w:tcPr>
            <w:tcW w:w="900" w:type="dxa"/>
            <w:vAlign w:val="center"/>
          </w:tcPr>
          <w:p>
            <w:pPr>
              <w:pStyle w:val="14"/>
            </w:pPr>
            <w:r>
              <w:t>7</w:t>
            </w:r>
          </w:p>
        </w:tc>
        <w:tc>
          <w:tcPr>
            <w:tcW w:w="887" w:type="dxa"/>
            <w:vAlign w:val="center"/>
          </w:tcPr>
          <w:p>
            <w:pPr>
              <w:pStyle w:val="14"/>
            </w:pPr>
            <w:r>
              <w:t>8</w:t>
            </w:r>
          </w:p>
        </w:tc>
        <w:tc>
          <w:tcPr>
            <w:tcW w:w="1038" w:type="dxa"/>
            <w:vAlign w:val="center"/>
          </w:tcPr>
          <w:p>
            <w:pPr>
              <w:pStyle w:val="14"/>
            </w:pPr>
            <w:r>
              <w:t>9</w:t>
            </w:r>
          </w:p>
        </w:tc>
        <w:tc>
          <w:tcPr>
            <w:tcW w:w="1362" w:type="dxa"/>
            <w:vAlign w:val="center"/>
          </w:tcPr>
          <w:p>
            <w:pPr>
              <w:pStyle w:val="14"/>
            </w:pPr>
            <w:r>
              <w:t>10</w:t>
            </w:r>
          </w:p>
        </w:tc>
        <w:tc>
          <w:tcPr>
            <w:tcW w:w="908" w:type="dxa"/>
            <w:vAlign w:val="center"/>
          </w:tcPr>
          <w:p>
            <w:pPr>
              <w:pStyle w:val="14"/>
            </w:pPr>
            <w:r>
              <w:t>11</w:t>
            </w:r>
          </w:p>
        </w:tc>
        <w:tc>
          <w:tcPr>
            <w:tcW w:w="111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w:t>
            </w:r>
          </w:p>
        </w:tc>
        <w:tc>
          <w:tcPr>
            <w:tcW w:w="1125" w:type="dxa"/>
            <w:vAlign w:val="center"/>
          </w:tcPr>
          <w:p>
            <w:pPr>
              <w:pStyle w:val="20"/>
            </w:pPr>
          </w:p>
        </w:tc>
        <w:tc>
          <w:tcPr>
            <w:tcW w:w="1775" w:type="dxa"/>
            <w:vAlign w:val="center"/>
          </w:tcPr>
          <w:p>
            <w:pPr>
              <w:pStyle w:val="18"/>
            </w:pPr>
            <w:r>
              <w:rPr>
                <w:rFonts w:hint="eastAsia"/>
              </w:rPr>
              <w:t>合计</w:t>
            </w:r>
          </w:p>
        </w:tc>
        <w:tc>
          <w:tcPr>
            <w:tcW w:w="1063" w:type="dxa"/>
            <w:vAlign w:val="center"/>
          </w:tcPr>
          <w:p>
            <w:pPr>
              <w:pStyle w:val="19"/>
            </w:pPr>
            <w:r>
              <w:t>3624.11</w:t>
            </w:r>
          </w:p>
        </w:tc>
        <w:tc>
          <w:tcPr>
            <w:tcW w:w="1050" w:type="dxa"/>
            <w:vAlign w:val="center"/>
          </w:tcPr>
          <w:p>
            <w:pPr>
              <w:pStyle w:val="19"/>
            </w:pPr>
            <w:r>
              <w:t>3624.11</w:t>
            </w:r>
          </w:p>
        </w:tc>
        <w:tc>
          <w:tcPr>
            <w:tcW w:w="1062" w:type="dxa"/>
            <w:vAlign w:val="center"/>
          </w:tcPr>
          <w:p>
            <w:pPr>
              <w:pStyle w:val="19"/>
            </w:pPr>
            <w:r>
              <w:t>3624.11</w:t>
            </w:r>
          </w:p>
        </w:tc>
        <w:tc>
          <w:tcPr>
            <w:tcW w:w="1038" w:type="dxa"/>
            <w:vAlign w:val="center"/>
          </w:tcPr>
          <w:p>
            <w:pPr>
              <w:pStyle w:val="19"/>
            </w:pPr>
          </w:p>
        </w:tc>
        <w:tc>
          <w:tcPr>
            <w:tcW w:w="900" w:type="dxa"/>
            <w:vAlign w:val="center"/>
          </w:tcPr>
          <w:p>
            <w:pPr>
              <w:pStyle w:val="19"/>
            </w:pPr>
          </w:p>
        </w:tc>
        <w:tc>
          <w:tcPr>
            <w:tcW w:w="887" w:type="dxa"/>
            <w:vAlign w:val="center"/>
          </w:tcPr>
          <w:p>
            <w:pPr>
              <w:pStyle w:val="19"/>
            </w:pPr>
          </w:p>
        </w:tc>
        <w:tc>
          <w:tcPr>
            <w:tcW w:w="1038" w:type="dxa"/>
            <w:vAlign w:val="center"/>
          </w:tcPr>
          <w:p>
            <w:pPr>
              <w:pStyle w:val="19"/>
            </w:pPr>
          </w:p>
        </w:tc>
        <w:tc>
          <w:tcPr>
            <w:tcW w:w="1362" w:type="dxa"/>
            <w:vAlign w:val="center"/>
          </w:tcPr>
          <w:p>
            <w:pPr>
              <w:pStyle w:val="19"/>
            </w:pPr>
          </w:p>
        </w:tc>
        <w:tc>
          <w:tcPr>
            <w:tcW w:w="908" w:type="dxa"/>
            <w:vAlign w:val="center"/>
          </w:tcPr>
          <w:p>
            <w:pPr>
              <w:pStyle w:val="19"/>
            </w:pPr>
          </w:p>
        </w:tc>
        <w:tc>
          <w:tcPr>
            <w:tcW w:w="111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2</w:t>
            </w:r>
          </w:p>
        </w:tc>
        <w:tc>
          <w:tcPr>
            <w:tcW w:w="1125" w:type="dxa"/>
            <w:vAlign w:val="center"/>
          </w:tcPr>
          <w:p>
            <w:pPr>
              <w:pStyle w:val="16"/>
            </w:pPr>
            <w:r>
              <w:t>208</w:t>
            </w:r>
          </w:p>
        </w:tc>
        <w:tc>
          <w:tcPr>
            <w:tcW w:w="1775" w:type="dxa"/>
            <w:vAlign w:val="center"/>
          </w:tcPr>
          <w:p>
            <w:pPr>
              <w:pStyle w:val="16"/>
            </w:pPr>
            <w:r>
              <w:rPr>
                <w:rFonts w:hint="eastAsia"/>
              </w:rPr>
              <w:t>社会保障和就业支出</w:t>
            </w:r>
          </w:p>
        </w:tc>
        <w:tc>
          <w:tcPr>
            <w:tcW w:w="1063" w:type="dxa"/>
            <w:vAlign w:val="center"/>
          </w:tcPr>
          <w:p>
            <w:pPr>
              <w:pStyle w:val="15"/>
            </w:pPr>
            <w:r>
              <w:t>3615.11</w:t>
            </w:r>
          </w:p>
        </w:tc>
        <w:tc>
          <w:tcPr>
            <w:tcW w:w="1050" w:type="dxa"/>
            <w:vAlign w:val="center"/>
          </w:tcPr>
          <w:p>
            <w:pPr>
              <w:pStyle w:val="15"/>
            </w:pPr>
            <w:r>
              <w:t>3615.11</w:t>
            </w:r>
          </w:p>
        </w:tc>
        <w:tc>
          <w:tcPr>
            <w:tcW w:w="1062" w:type="dxa"/>
            <w:vAlign w:val="center"/>
          </w:tcPr>
          <w:p>
            <w:pPr>
              <w:pStyle w:val="15"/>
            </w:pPr>
            <w:r>
              <w:t>3615.11</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3</w:t>
            </w:r>
          </w:p>
        </w:tc>
        <w:tc>
          <w:tcPr>
            <w:tcW w:w="1125" w:type="dxa"/>
            <w:vAlign w:val="center"/>
          </w:tcPr>
          <w:p>
            <w:pPr>
              <w:pStyle w:val="16"/>
            </w:pPr>
            <w:r>
              <w:t>20801</w:t>
            </w:r>
          </w:p>
        </w:tc>
        <w:tc>
          <w:tcPr>
            <w:tcW w:w="1775" w:type="dxa"/>
            <w:vAlign w:val="center"/>
          </w:tcPr>
          <w:p>
            <w:pPr>
              <w:pStyle w:val="16"/>
            </w:pPr>
            <w:r>
              <w:rPr>
                <w:rFonts w:hint="eastAsia"/>
              </w:rPr>
              <w:t>人力资源和社会保障管理事务</w:t>
            </w:r>
          </w:p>
        </w:tc>
        <w:tc>
          <w:tcPr>
            <w:tcW w:w="1063" w:type="dxa"/>
            <w:vAlign w:val="center"/>
          </w:tcPr>
          <w:p>
            <w:pPr>
              <w:pStyle w:val="15"/>
            </w:pPr>
            <w:r>
              <w:t>255.05</w:t>
            </w:r>
          </w:p>
        </w:tc>
        <w:tc>
          <w:tcPr>
            <w:tcW w:w="1050" w:type="dxa"/>
            <w:vAlign w:val="center"/>
          </w:tcPr>
          <w:p>
            <w:pPr>
              <w:pStyle w:val="15"/>
            </w:pPr>
            <w:r>
              <w:t>255.05</w:t>
            </w:r>
          </w:p>
        </w:tc>
        <w:tc>
          <w:tcPr>
            <w:tcW w:w="1062" w:type="dxa"/>
            <w:vAlign w:val="center"/>
          </w:tcPr>
          <w:p>
            <w:pPr>
              <w:pStyle w:val="15"/>
            </w:pPr>
            <w:r>
              <w:t>255.05</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4</w:t>
            </w:r>
          </w:p>
        </w:tc>
        <w:tc>
          <w:tcPr>
            <w:tcW w:w="1125" w:type="dxa"/>
            <w:vAlign w:val="center"/>
          </w:tcPr>
          <w:p>
            <w:pPr>
              <w:pStyle w:val="16"/>
            </w:pPr>
            <w:r>
              <w:t>2080107</w:t>
            </w:r>
          </w:p>
        </w:tc>
        <w:tc>
          <w:tcPr>
            <w:tcW w:w="1775" w:type="dxa"/>
            <w:vAlign w:val="center"/>
          </w:tcPr>
          <w:p>
            <w:pPr>
              <w:pStyle w:val="16"/>
            </w:pPr>
            <w:r>
              <w:rPr>
                <w:rFonts w:hint="eastAsia"/>
              </w:rPr>
              <w:t>社会保险业务管理事务</w:t>
            </w:r>
          </w:p>
        </w:tc>
        <w:tc>
          <w:tcPr>
            <w:tcW w:w="1063" w:type="dxa"/>
            <w:vAlign w:val="center"/>
          </w:tcPr>
          <w:p>
            <w:pPr>
              <w:pStyle w:val="15"/>
            </w:pPr>
            <w:r>
              <w:t>10.50</w:t>
            </w:r>
          </w:p>
        </w:tc>
        <w:tc>
          <w:tcPr>
            <w:tcW w:w="1050" w:type="dxa"/>
            <w:vAlign w:val="center"/>
          </w:tcPr>
          <w:p>
            <w:pPr>
              <w:pStyle w:val="15"/>
            </w:pPr>
            <w:r>
              <w:t>10.50</w:t>
            </w:r>
          </w:p>
        </w:tc>
        <w:tc>
          <w:tcPr>
            <w:tcW w:w="1062" w:type="dxa"/>
            <w:vAlign w:val="center"/>
          </w:tcPr>
          <w:p>
            <w:pPr>
              <w:pStyle w:val="15"/>
            </w:pPr>
            <w:r>
              <w:t>10.50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5</w:t>
            </w:r>
          </w:p>
        </w:tc>
        <w:tc>
          <w:tcPr>
            <w:tcW w:w="1125" w:type="dxa"/>
            <w:vAlign w:val="center"/>
          </w:tcPr>
          <w:p>
            <w:pPr>
              <w:pStyle w:val="16"/>
            </w:pPr>
            <w:r>
              <w:t>2080109</w:t>
            </w:r>
          </w:p>
        </w:tc>
        <w:tc>
          <w:tcPr>
            <w:tcW w:w="1775" w:type="dxa"/>
            <w:vAlign w:val="center"/>
          </w:tcPr>
          <w:p>
            <w:pPr>
              <w:pStyle w:val="16"/>
            </w:pPr>
            <w:r>
              <w:rPr>
                <w:rFonts w:hint="eastAsia"/>
              </w:rPr>
              <w:t>社会保险经办机构</w:t>
            </w:r>
          </w:p>
        </w:tc>
        <w:tc>
          <w:tcPr>
            <w:tcW w:w="1063" w:type="dxa"/>
            <w:vAlign w:val="center"/>
          </w:tcPr>
          <w:p>
            <w:pPr>
              <w:pStyle w:val="15"/>
            </w:pPr>
            <w:r>
              <w:t>244.55</w:t>
            </w:r>
          </w:p>
        </w:tc>
        <w:tc>
          <w:tcPr>
            <w:tcW w:w="1050" w:type="dxa"/>
            <w:vAlign w:val="center"/>
          </w:tcPr>
          <w:p>
            <w:pPr>
              <w:pStyle w:val="15"/>
            </w:pPr>
            <w:r>
              <w:t>244.55</w:t>
            </w:r>
          </w:p>
        </w:tc>
        <w:tc>
          <w:tcPr>
            <w:tcW w:w="1062" w:type="dxa"/>
            <w:vAlign w:val="center"/>
          </w:tcPr>
          <w:p>
            <w:pPr>
              <w:pStyle w:val="15"/>
            </w:pPr>
            <w:r>
              <w:t>244.55</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6</w:t>
            </w:r>
          </w:p>
        </w:tc>
        <w:tc>
          <w:tcPr>
            <w:tcW w:w="1125" w:type="dxa"/>
            <w:vAlign w:val="center"/>
          </w:tcPr>
          <w:p>
            <w:pPr>
              <w:pStyle w:val="16"/>
            </w:pPr>
            <w:r>
              <w:t>20805</w:t>
            </w:r>
          </w:p>
        </w:tc>
        <w:tc>
          <w:tcPr>
            <w:tcW w:w="1775" w:type="dxa"/>
            <w:vAlign w:val="center"/>
          </w:tcPr>
          <w:p>
            <w:pPr>
              <w:pStyle w:val="16"/>
            </w:pPr>
            <w:r>
              <w:rPr>
                <w:rFonts w:hint="eastAsia"/>
              </w:rPr>
              <w:t>行政事业单位养老支出</w:t>
            </w:r>
          </w:p>
        </w:tc>
        <w:tc>
          <w:tcPr>
            <w:tcW w:w="1063" w:type="dxa"/>
            <w:vAlign w:val="center"/>
          </w:tcPr>
          <w:p>
            <w:pPr>
              <w:pStyle w:val="15"/>
            </w:pPr>
            <w:r>
              <w:t>3330.75</w:t>
            </w:r>
          </w:p>
        </w:tc>
        <w:tc>
          <w:tcPr>
            <w:tcW w:w="1050" w:type="dxa"/>
            <w:vAlign w:val="center"/>
          </w:tcPr>
          <w:p>
            <w:pPr>
              <w:pStyle w:val="15"/>
            </w:pPr>
            <w:r>
              <w:t>3330.75</w:t>
            </w:r>
          </w:p>
        </w:tc>
        <w:tc>
          <w:tcPr>
            <w:tcW w:w="1062" w:type="dxa"/>
            <w:vAlign w:val="center"/>
          </w:tcPr>
          <w:p>
            <w:pPr>
              <w:pStyle w:val="15"/>
            </w:pPr>
            <w:r>
              <w:t>3330.75</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7</w:t>
            </w:r>
          </w:p>
        </w:tc>
        <w:tc>
          <w:tcPr>
            <w:tcW w:w="1125" w:type="dxa"/>
            <w:vAlign w:val="center"/>
          </w:tcPr>
          <w:p>
            <w:pPr>
              <w:pStyle w:val="16"/>
            </w:pPr>
            <w:r>
              <w:t>2080502</w:t>
            </w:r>
          </w:p>
        </w:tc>
        <w:tc>
          <w:tcPr>
            <w:tcW w:w="1775" w:type="dxa"/>
            <w:vAlign w:val="center"/>
          </w:tcPr>
          <w:p>
            <w:pPr>
              <w:pStyle w:val="16"/>
            </w:pPr>
            <w:r>
              <w:rPr>
                <w:rFonts w:hint="eastAsia"/>
              </w:rPr>
              <w:t>事业单位离退休</w:t>
            </w:r>
          </w:p>
        </w:tc>
        <w:tc>
          <w:tcPr>
            <w:tcW w:w="1063" w:type="dxa"/>
            <w:vAlign w:val="center"/>
          </w:tcPr>
          <w:p>
            <w:pPr>
              <w:pStyle w:val="15"/>
            </w:pPr>
            <w:r>
              <w:t>3297.70</w:t>
            </w:r>
          </w:p>
        </w:tc>
        <w:tc>
          <w:tcPr>
            <w:tcW w:w="1050" w:type="dxa"/>
            <w:vAlign w:val="center"/>
          </w:tcPr>
          <w:p>
            <w:pPr>
              <w:pStyle w:val="15"/>
            </w:pPr>
            <w:r>
              <w:t>3297.70</w:t>
            </w:r>
          </w:p>
        </w:tc>
        <w:tc>
          <w:tcPr>
            <w:tcW w:w="1062" w:type="dxa"/>
            <w:vAlign w:val="center"/>
          </w:tcPr>
          <w:p>
            <w:pPr>
              <w:pStyle w:val="15"/>
            </w:pPr>
            <w:r>
              <w:t>3297.70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8</w:t>
            </w:r>
          </w:p>
        </w:tc>
        <w:tc>
          <w:tcPr>
            <w:tcW w:w="1125" w:type="dxa"/>
            <w:vAlign w:val="center"/>
          </w:tcPr>
          <w:p>
            <w:pPr>
              <w:pStyle w:val="16"/>
            </w:pPr>
            <w:r>
              <w:t>2080505</w:t>
            </w:r>
          </w:p>
        </w:tc>
        <w:tc>
          <w:tcPr>
            <w:tcW w:w="1775" w:type="dxa"/>
            <w:vAlign w:val="center"/>
          </w:tcPr>
          <w:p>
            <w:pPr>
              <w:pStyle w:val="16"/>
            </w:pPr>
            <w:r>
              <w:rPr>
                <w:rFonts w:hint="eastAsia"/>
              </w:rPr>
              <w:t>机关事业单位基本养老保险缴费支出</w:t>
            </w:r>
          </w:p>
        </w:tc>
        <w:tc>
          <w:tcPr>
            <w:tcW w:w="1063" w:type="dxa"/>
            <w:vAlign w:val="center"/>
          </w:tcPr>
          <w:p>
            <w:pPr>
              <w:pStyle w:val="15"/>
            </w:pPr>
            <w:r>
              <w:t>21.80</w:t>
            </w:r>
          </w:p>
        </w:tc>
        <w:tc>
          <w:tcPr>
            <w:tcW w:w="1050" w:type="dxa"/>
            <w:vAlign w:val="center"/>
          </w:tcPr>
          <w:p>
            <w:pPr>
              <w:pStyle w:val="15"/>
            </w:pPr>
            <w:r>
              <w:t>21.80</w:t>
            </w:r>
          </w:p>
        </w:tc>
        <w:tc>
          <w:tcPr>
            <w:tcW w:w="1062" w:type="dxa"/>
            <w:vAlign w:val="center"/>
          </w:tcPr>
          <w:p>
            <w:pPr>
              <w:pStyle w:val="15"/>
            </w:pPr>
            <w:r>
              <w:t>21.80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9</w:t>
            </w:r>
          </w:p>
        </w:tc>
        <w:tc>
          <w:tcPr>
            <w:tcW w:w="1125" w:type="dxa"/>
            <w:vAlign w:val="center"/>
          </w:tcPr>
          <w:p>
            <w:pPr>
              <w:pStyle w:val="16"/>
            </w:pPr>
            <w:r>
              <w:t>2080506</w:t>
            </w:r>
          </w:p>
        </w:tc>
        <w:tc>
          <w:tcPr>
            <w:tcW w:w="1775" w:type="dxa"/>
            <w:vAlign w:val="center"/>
          </w:tcPr>
          <w:p>
            <w:pPr>
              <w:pStyle w:val="16"/>
            </w:pPr>
            <w:r>
              <w:rPr>
                <w:rFonts w:hint="eastAsia"/>
              </w:rPr>
              <w:t>机关事业单位职业年金缴费支出</w:t>
            </w:r>
          </w:p>
        </w:tc>
        <w:tc>
          <w:tcPr>
            <w:tcW w:w="1063" w:type="dxa"/>
            <w:vAlign w:val="center"/>
          </w:tcPr>
          <w:p>
            <w:pPr>
              <w:pStyle w:val="15"/>
            </w:pPr>
            <w:r>
              <w:t>11.25</w:t>
            </w:r>
          </w:p>
        </w:tc>
        <w:tc>
          <w:tcPr>
            <w:tcW w:w="1050" w:type="dxa"/>
            <w:vAlign w:val="center"/>
          </w:tcPr>
          <w:p>
            <w:pPr>
              <w:pStyle w:val="15"/>
            </w:pPr>
            <w:r>
              <w:t>11.25</w:t>
            </w:r>
          </w:p>
        </w:tc>
        <w:tc>
          <w:tcPr>
            <w:tcW w:w="1062" w:type="dxa"/>
            <w:vAlign w:val="center"/>
          </w:tcPr>
          <w:p>
            <w:pPr>
              <w:pStyle w:val="15"/>
            </w:pPr>
            <w:r>
              <w:t>11.25</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10</w:t>
            </w:r>
          </w:p>
        </w:tc>
        <w:tc>
          <w:tcPr>
            <w:tcW w:w="1125" w:type="dxa"/>
            <w:vAlign w:val="center"/>
          </w:tcPr>
          <w:p>
            <w:pPr>
              <w:pStyle w:val="16"/>
            </w:pPr>
            <w:r>
              <w:t>20899</w:t>
            </w:r>
          </w:p>
        </w:tc>
        <w:tc>
          <w:tcPr>
            <w:tcW w:w="1775" w:type="dxa"/>
            <w:vAlign w:val="center"/>
          </w:tcPr>
          <w:p>
            <w:pPr>
              <w:pStyle w:val="16"/>
            </w:pPr>
            <w:r>
              <w:rPr>
                <w:rFonts w:hint="eastAsia"/>
              </w:rPr>
              <w:t>其他社会保障和就业支出</w:t>
            </w:r>
          </w:p>
        </w:tc>
        <w:tc>
          <w:tcPr>
            <w:tcW w:w="1063" w:type="dxa"/>
            <w:vAlign w:val="center"/>
          </w:tcPr>
          <w:p>
            <w:pPr>
              <w:pStyle w:val="15"/>
            </w:pPr>
            <w:r>
              <w:t>29.31</w:t>
            </w:r>
          </w:p>
        </w:tc>
        <w:tc>
          <w:tcPr>
            <w:tcW w:w="1050" w:type="dxa"/>
            <w:vAlign w:val="center"/>
          </w:tcPr>
          <w:p>
            <w:pPr>
              <w:pStyle w:val="15"/>
            </w:pPr>
            <w:r>
              <w:t>29.31</w:t>
            </w:r>
          </w:p>
        </w:tc>
        <w:tc>
          <w:tcPr>
            <w:tcW w:w="1062" w:type="dxa"/>
            <w:vAlign w:val="center"/>
          </w:tcPr>
          <w:p>
            <w:pPr>
              <w:pStyle w:val="15"/>
            </w:pPr>
            <w:r>
              <w:t>29.31</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11</w:t>
            </w:r>
          </w:p>
        </w:tc>
        <w:tc>
          <w:tcPr>
            <w:tcW w:w="1125" w:type="dxa"/>
            <w:vAlign w:val="center"/>
          </w:tcPr>
          <w:p>
            <w:pPr>
              <w:pStyle w:val="16"/>
            </w:pPr>
            <w:r>
              <w:t>2089999</w:t>
            </w:r>
          </w:p>
        </w:tc>
        <w:tc>
          <w:tcPr>
            <w:tcW w:w="1775" w:type="dxa"/>
            <w:vAlign w:val="center"/>
          </w:tcPr>
          <w:p>
            <w:pPr>
              <w:pStyle w:val="16"/>
            </w:pPr>
            <w:r>
              <w:rPr>
                <w:rFonts w:hint="eastAsia"/>
              </w:rPr>
              <w:t>其他社会保障和就业支出</w:t>
            </w:r>
          </w:p>
        </w:tc>
        <w:tc>
          <w:tcPr>
            <w:tcW w:w="1063" w:type="dxa"/>
            <w:vAlign w:val="center"/>
          </w:tcPr>
          <w:p>
            <w:pPr>
              <w:pStyle w:val="15"/>
            </w:pPr>
            <w:r>
              <w:t>29.31</w:t>
            </w:r>
          </w:p>
        </w:tc>
        <w:tc>
          <w:tcPr>
            <w:tcW w:w="1050" w:type="dxa"/>
            <w:vAlign w:val="center"/>
          </w:tcPr>
          <w:p>
            <w:pPr>
              <w:pStyle w:val="15"/>
            </w:pPr>
            <w:r>
              <w:t>29.31</w:t>
            </w:r>
          </w:p>
        </w:tc>
        <w:tc>
          <w:tcPr>
            <w:tcW w:w="1062" w:type="dxa"/>
            <w:vAlign w:val="center"/>
          </w:tcPr>
          <w:p>
            <w:pPr>
              <w:pStyle w:val="15"/>
            </w:pPr>
            <w:r>
              <w:t>29.31</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12</w:t>
            </w:r>
          </w:p>
        </w:tc>
        <w:tc>
          <w:tcPr>
            <w:tcW w:w="1125" w:type="dxa"/>
            <w:vAlign w:val="center"/>
          </w:tcPr>
          <w:p>
            <w:pPr>
              <w:pStyle w:val="16"/>
            </w:pPr>
            <w:r>
              <w:t>221</w:t>
            </w:r>
          </w:p>
        </w:tc>
        <w:tc>
          <w:tcPr>
            <w:tcW w:w="1775" w:type="dxa"/>
            <w:vAlign w:val="center"/>
          </w:tcPr>
          <w:p>
            <w:pPr>
              <w:pStyle w:val="16"/>
            </w:pPr>
            <w:r>
              <w:rPr>
                <w:rFonts w:hint="eastAsia"/>
              </w:rPr>
              <w:t>住房保障支出</w:t>
            </w:r>
          </w:p>
        </w:tc>
        <w:tc>
          <w:tcPr>
            <w:tcW w:w="1063" w:type="dxa"/>
            <w:vAlign w:val="center"/>
          </w:tcPr>
          <w:p>
            <w:pPr>
              <w:pStyle w:val="15"/>
            </w:pPr>
            <w:r>
              <w:t>9.00</w:t>
            </w:r>
          </w:p>
        </w:tc>
        <w:tc>
          <w:tcPr>
            <w:tcW w:w="1050" w:type="dxa"/>
            <w:vAlign w:val="center"/>
          </w:tcPr>
          <w:p>
            <w:pPr>
              <w:pStyle w:val="15"/>
            </w:pPr>
            <w:r>
              <w:t>9.00</w:t>
            </w:r>
          </w:p>
        </w:tc>
        <w:tc>
          <w:tcPr>
            <w:tcW w:w="1062" w:type="dxa"/>
            <w:vAlign w:val="center"/>
          </w:tcPr>
          <w:p>
            <w:pPr>
              <w:pStyle w:val="15"/>
            </w:pPr>
            <w:r>
              <w:t>9.00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13</w:t>
            </w:r>
          </w:p>
        </w:tc>
        <w:tc>
          <w:tcPr>
            <w:tcW w:w="1125" w:type="dxa"/>
            <w:vAlign w:val="center"/>
          </w:tcPr>
          <w:p>
            <w:pPr>
              <w:pStyle w:val="16"/>
            </w:pPr>
            <w:r>
              <w:t>22102</w:t>
            </w:r>
          </w:p>
        </w:tc>
        <w:tc>
          <w:tcPr>
            <w:tcW w:w="1775" w:type="dxa"/>
            <w:vAlign w:val="center"/>
          </w:tcPr>
          <w:p>
            <w:pPr>
              <w:pStyle w:val="16"/>
            </w:pPr>
            <w:r>
              <w:rPr>
                <w:rFonts w:hint="eastAsia"/>
              </w:rPr>
              <w:t>住房改革支出</w:t>
            </w:r>
          </w:p>
        </w:tc>
        <w:tc>
          <w:tcPr>
            <w:tcW w:w="1063" w:type="dxa"/>
            <w:vAlign w:val="center"/>
          </w:tcPr>
          <w:p>
            <w:pPr>
              <w:pStyle w:val="15"/>
            </w:pPr>
            <w:r>
              <w:t>9.00</w:t>
            </w:r>
          </w:p>
        </w:tc>
        <w:tc>
          <w:tcPr>
            <w:tcW w:w="1050" w:type="dxa"/>
            <w:vAlign w:val="center"/>
          </w:tcPr>
          <w:p>
            <w:pPr>
              <w:pStyle w:val="15"/>
            </w:pPr>
            <w:r>
              <w:t>9.00</w:t>
            </w:r>
          </w:p>
        </w:tc>
        <w:tc>
          <w:tcPr>
            <w:tcW w:w="1062" w:type="dxa"/>
            <w:vAlign w:val="center"/>
          </w:tcPr>
          <w:p>
            <w:pPr>
              <w:pStyle w:val="15"/>
            </w:pPr>
            <w:r>
              <w:t>9.00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9" w:type="dxa"/>
            <w:vAlign w:val="center"/>
          </w:tcPr>
          <w:p>
            <w:pPr>
              <w:pStyle w:val="17"/>
            </w:pPr>
            <w:r>
              <w:t>14</w:t>
            </w:r>
          </w:p>
        </w:tc>
        <w:tc>
          <w:tcPr>
            <w:tcW w:w="1125" w:type="dxa"/>
            <w:vAlign w:val="center"/>
          </w:tcPr>
          <w:p>
            <w:pPr>
              <w:pStyle w:val="16"/>
            </w:pPr>
            <w:r>
              <w:t>2210201</w:t>
            </w:r>
          </w:p>
        </w:tc>
        <w:tc>
          <w:tcPr>
            <w:tcW w:w="1775" w:type="dxa"/>
            <w:vAlign w:val="center"/>
          </w:tcPr>
          <w:p>
            <w:pPr>
              <w:pStyle w:val="16"/>
            </w:pPr>
            <w:r>
              <w:rPr>
                <w:rFonts w:hint="eastAsia"/>
              </w:rPr>
              <w:t>住房公积金</w:t>
            </w:r>
          </w:p>
        </w:tc>
        <w:tc>
          <w:tcPr>
            <w:tcW w:w="1063" w:type="dxa"/>
            <w:vAlign w:val="center"/>
          </w:tcPr>
          <w:p>
            <w:pPr>
              <w:pStyle w:val="15"/>
            </w:pPr>
            <w:r>
              <w:t>9.00</w:t>
            </w:r>
          </w:p>
        </w:tc>
        <w:tc>
          <w:tcPr>
            <w:tcW w:w="1050" w:type="dxa"/>
            <w:vAlign w:val="center"/>
          </w:tcPr>
          <w:p>
            <w:pPr>
              <w:pStyle w:val="15"/>
            </w:pPr>
            <w:r>
              <w:t>9.00</w:t>
            </w:r>
          </w:p>
        </w:tc>
        <w:tc>
          <w:tcPr>
            <w:tcW w:w="1062" w:type="dxa"/>
            <w:vAlign w:val="center"/>
          </w:tcPr>
          <w:p>
            <w:pPr>
              <w:pStyle w:val="15"/>
            </w:pPr>
            <w:r>
              <w:t>9.00</w:t>
            </w:r>
          </w:p>
        </w:tc>
        <w:tc>
          <w:tcPr>
            <w:tcW w:w="1038" w:type="dxa"/>
            <w:vAlign w:val="center"/>
          </w:tcPr>
          <w:p>
            <w:pPr>
              <w:pStyle w:val="15"/>
            </w:pPr>
          </w:p>
        </w:tc>
        <w:tc>
          <w:tcPr>
            <w:tcW w:w="900" w:type="dxa"/>
            <w:vAlign w:val="center"/>
          </w:tcPr>
          <w:p>
            <w:pPr>
              <w:pStyle w:val="15"/>
            </w:pPr>
          </w:p>
        </w:tc>
        <w:tc>
          <w:tcPr>
            <w:tcW w:w="887" w:type="dxa"/>
            <w:vAlign w:val="center"/>
          </w:tcPr>
          <w:p>
            <w:pPr>
              <w:pStyle w:val="15"/>
            </w:pPr>
          </w:p>
        </w:tc>
        <w:tc>
          <w:tcPr>
            <w:tcW w:w="1038" w:type="dxa"/>
            <w:vAlign w:val="center"/>
          </w:tcPr>
          <w:p>
            <w:pPr>
              <w:pStyle w:val="15"/>
            </w:pPr>
          </w:p>
        </w:tc>
        <w:tc>
          <w:tcPr>
            <w:tcW w:w="1362" w:type="dxa"/>
            <w:vAlign w:val="center"/>
          </w:tcPr>
          <w:p>
            <w:pPr>
              <w:pStyle w:val="15"/>
            </w:pPr>
          </w:p>
        </w:tc>
        <w:tc>
          <w:tcPr>
            <w:tcW w:w="908" w:type="dxa"/>
            <w:vAlign w:val="center"/>
          </w:tcPr>
          <w:p>
            <w:pPr>
              <w:pStyle w:val="15"/>
            </w:pPr>
          </w:p>
        </w:tc>
        <w:tc>
          <w:tcPr>
            <w:tcW w:w="111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1512"/>
        <w:gridCol w:w="2020"/>
        <w:gridCol w:w="1095"/>
        <w:gridCol w:w="1095"/>
        <w:gridCol w:w="1095"/>
        <w:gridCol w:w="1095"/>
        <w:gridCol w:w="1095"/>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3"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2190" w:type="dxa"/>
            <w:gridSpan w:val="2"/>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420"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restart"/>
            <w:vAlign w:val="center"/>
          </w:tcPr>
          <w:p>
            <w:pPr>
              <w:pStyle w:val="14"/>
            </w:pPr>
            <w:r>
              <w:rPr>
                <w:rFonts w:hint="eastAsia"/>
              </w:rPr>
              <w:t>序号</w:t>
            </w:r>
          </w:p>
        </w:tc>
        <w:tc>
          <w:tcPr>
            <w:tcW w:w="3532" w:type="dxa"/>
            <w:gridSpan w:val="2"/>
            <w:vAlign w:val="center"/>
          </w:tcPr>
          <w:p>
            <w:pPr>
              <w:pStyle w:val="14"/>
            </w:pPr>
            <w:r>
              <w:rPr>
                <w:rFonts w:hint="eastAsia"/>
              </w:rPr>
              <w:t>功能分类科目</w:t>
            </w:r>
          </w:p>
        </w:tc>
        <w:tc>
          <w:tcPr>
            <w:tcW w:w="1095" w:type="dxa"/>
            <w:vMerge w:val="restart"/>
            <w:vAlign w:val="center"/>
          </w:tcPr>
          <w:p>
            <w:pPr>
              <w:pStyle w:val="14"/>
            </w:pPr>
            <w:r>
              <w:rPr>
                <w:rFonts w:hint="eastAsia"/>
              </w:rPr>
              <w:t>合计</w:t>
            </w:r>
          </w:p>
        </w:tc>
        <w:tc>
          <w:tcPr>
            <w:tcW w:w="1095" w:type="dxa"/>
            <w:vMerge w:val="restart"/>
            <w:vAlign w:val="center"/>
          </w:tcPr>
          <w:p>
            <w:pPr>
              <w:pStyle w:val="14"/>
            </w:pPr>
            <w:r>
              <w:rPr>
                <w:rFonts w:hint="eastAsia"/>
              </w:rPr>
              <w:t>基本支出</w:t>
            </w:r>
          </w:p>
        </w:tc>
        <w:tc>
          <w:tcPr>
            <w:tcW w:w="1095" w:type="dxa"/>
            <w:vMerge w:val="restart"/>
            <w:vAlign w:val="center"/>
          </w:tcPr>
          <w:p>
            <w:pPr>
              <w:pStyle w:val="14"/>
            </w:pPr>
            <w:r>
              <w:rPr>
                <w:rFonts w:hint="eastAsia"/>
              </w:rPr>
              <w:t>项目支出</w:t>
            </w:r>
          </w:p>
        </w:tc>
        <w:tc>
          <w:tcPr>
            <w:tcW w:w="1095" w:type="dxa"/>
            <w:vMerge w:val="restart"/>
            <w:vAlign w:val="center"/>
          </w:tcPr>
          <w:p>
            <w:pPr>
              <w:pStyle w:val="14"/>
            </w:pPr>
            <w:r>
              <w:rPr>
                <w:rFonts w:hint="eastAsia"/>
              </w:rPr>
              <w:t>经营支出</w:t>
            </w:r>
          </w:p>
        </w:tc>
        <w:tc>
          <w:tcPr>
            <w:tcW w:w="1095" w:type="dxa"/>
            <w:vMerge w:val="restart"/>
            <w:vAlign w:val="center"/>
          </w:tcPr>
          <w:p>
            <w:pPr>
              <w:pStyle w:val="14"/>
            </w:pPr>
            <w:r>
              <w:rPr>
                <w:rFonts w:hint="eastAsia"/>
              </w:rPr>
              <w:t>上解上级支出</w:t>
            </w:r>
          </w:p>
        </w:tc>
        <w:tc>
          <w:tcPr>
            <w:tcW w:w="2135" w:type="dxa"/>
            <w:vMerge w:val="restart"/>
            <w:vAlign w:val="center"/>
          </w:tcPr>
          <w:p>
            <w:pPr>
              <w:pStyle w:val="14"/>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continue"/>
          </w:tcPr>
          <w:p/>
        </w:tc>
        <w:tc>
          <w:tcPr>
            <w:tcW w:w="1512" w:type="dxa"/>
            <w:vAlign w:val="center"/>
          </w:tcPr>
          <w:p>
            <w:pPr>
              <w:pStyle w:val="14"/>
            </w:pPr>
            <w:r>
              <w:rPr>
                <w:rFonts w:hint="eastAsia"/>
              </w:rPr>
              <w:t>科目编码</w:t>
            </w:r>
          </w:p>
        </w:tc>
        <w:tc>
          <w:tcPr>
            <w:tcW w:w="2020" w:type="dxa"/>
            <w:vAlign w:val="center"/>
          </w:tcPr>
          <w:p>
            <w:pPr>
              <w:pStyle w:val="14"/>
            </w:pPr>
            <w:r>
              <w:rPr>
                <w:rFonts w:hint="eastAsia"/>
              </w:rP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1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Align w:val="center"/>
          </w:tcPr>
          <w:p>
            <w:pPr>
              <w:pStyle w:val="14"/>
            </w:pPr>
            <w:r>
              <w:rPr>
                <w:rFonts w:hint="eastAsia"/>
              </w:rPr>
              <w:t>栏次</w:t>
            </w:r>
          </w:p>
        </w:tc>
        <w:tc>
          <w:tcPr>
            <w:tcW w:w="1512" w:type="dxa"/>
            <w:vAlign w:val="center"/>
          </w:tcPr>
          <w:p>
            <w:pPr>
              <w:pStyle w:val="14"/>
            </w:pPr>
            <w:r>
              <w:t>1</w:t>
            </w:r>
          </w:p>
        </w:tc>
        <w:tc>
          <w:tcPr>
            <w:tcW w:w="2020" w:type="dxa"/>
            <w:vAlign w:val="center"/>
          </w:tcPr>
          <w:p>
            <w:pPr>
              <w:pStyle w:val="14"/>
            </w:pPr>
            <w:r>
              <w:t>2</w:t>
            </w:r>
          </w:p>
        </w:tc>
        <w:tc>
          <w:tcPr>
            <w:tcW w:w="1095"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213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w:t>
            </w:r>
          </w:p>
        </w:tc>
        <w:tc>
          <w:tcPr>
            <w:tcW w:w="1512" w:type="dxa"/>
            <w:vAlign w:val="center"/>
          </w:tcPr>
          <w:p>
            <w:pPr>
              <w:pStyle w:val="20"/>
            </w:pPr>
          </w:p>
        </w:tc>
        <w:tc>
          <w:tcPr>
            <w:tcW w:w="2020" w:type="dxa"/>
            <w:vAlign w:val="center"/>
          </w:tcPr>
          <w:p>
            <w:pPr>
              <w:pStyle w:val="18"/>
            </w:pPr>
            <w:r>
              <w:rPr>
                <w:rFonts w:hint="eastAsia"/>
              </w:rPr>
              <w:t>合计</w:t>
            </w:r>
          </w:p>
        </w:tc>
        <w:tc>
          <w:tcPr>
            <w:tcW w:w="1095" w:type="dxa"/>
            <w:vAlign w:val="center"/>
          </w:tcPr>
          <w:p>
            <w:pPr>
              <w:pStyle w:val="19"/>
            </w:pPr>
            <w:r>
              <w:t>3624.11</w:t>
            </w:r>
          </w:p>
        </w:tc>
        <w:tc>
          <w:tcPr>
            <w:tcW w:w="1095" w:type="dxa"/>
            <w:vAlign w:val="center"/>
          </w:tcPr>
          <w:p>
            <w:pPr>
              <w:pStyle w:val="19"/>
            </w:pPr>
            <w:r>
              <w:t>3574.30</w:t>
            </w:r>
          </w:p>
        </w:tc>
        <w:tc>
          <w:tcPr>
            <w:tcW w:w="1095" w:type="dxa"/>
            <w:vAlign w:val="center"/>
          </w:tcPr>
          <w:p>
            <w:pPr>
              <w:pStyle w:val="19"/>
            </w:pPr>
            <w:r>
              <w:t>49.81</w:t>
            </w:r>
          </w:p>
        </w:tc>
        <w:tc>
          <w:tcPr>
            <w:tcW w:w="1095" w:type="dxa"/>
            <w:vAlign w:val="center"/>
          </w:tcPr>
          <w:p>
            <w:pPr>
              <w:pStyle w:val="19"/>
            </w:pPr>
          </w:p>
        </w:tc>
        <w:tc>
          <w:tcPr>
            <w:tcW w:w="1095" w:type="dxa"/>
            <w:vAlign w:val="center"/>
          </w:tcPr>
          <w:p>
            <w:pPr>
              <w:pStyle w:val="19"/>
            </w:pPr>
          </w:p>
        </w:tc>
        <w:tc>
          <w:tcPr>
            <w:tcW w:w="213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2</w:t>
            </w:r>
          </w:p>
        </w:tc>
        <w:tc>
          <w:tcPr>
            <w:tcW w:w="1512" w:type="dxa"/>
            <w:vAlign w:val="center"/>
          </w:tcPr>
          <w:p>
            <w:pPr>
              <w:pStyle w:val="16"/>
            </w:pPr>
            <w:r>
              <w:t>208</w:t>
            </w:r>
          </w:p>
        </w:tc>
        <w:tc>
          <w:tcPr>
            <w:tcW w:w="2020" w:type="dxa"/>
            <w:vAlign w:val="center"/>
          </w:tcPr>
          <w:p>
            <w:pPr>
              <w:pStyle w:val="16"/>
            </w:pPr>
            <w:r>
              <w:rPr>
                <w:rFonts w:hint="eastAsia"/>
              </w:rPr>
              <w:t>社会保障和就业支出</w:t>
            </w:r>
          </w:p>
        </w:tc>
        <w:tc>
          <w:tcPr>
            <w:tcW w:w="1095" w:type="dxa"/>
            <w:vAlign w:val="center"/>
          </w:tcPr>
          <w:p>
            <w:pPr>
              <w:pStyle w:val="15"/>
            </w:pPr>
            <w:r>
              <w:t>3615.11</w:t>
            </w:r>
          </w:p>
        </w:tc>
        <w:tc>
          <w:tcPr>
            <w:tcW w:w="1095" w:type="dxa"/>
            <w:vAlign w:val="center"/>
          </w:tcPr>
          <w:p>
            <w:pPr>
              <w:pStyle w:val="15"/>
            </w:pPr>
            <w:r>
              <w:t>3565.30</w:t>
            </w:r>
          </w:p>
        </w:tc>
        <w:tc>
          <w:tcPr>
            <w:tcW w:w="1095" w:type="dxa"/>
            <w:vAlign w:val="center"/>
          </w:tcPr>
          <w:p>
            <w:pPr>
              <w:pStyle w:val="15"/>
            </w:pPr>
            <w:r>
              <w:t>49.81</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3</w:t>
            </w:r>
          </w:p>
        </w:tc>
        <w:tc>
          <w:tcPr>
            <w:tcW w:w="1512" w:type="dxa"/>
            <w:vAlign w:val="center"/>
          </w:tcPr>
          <w:p>
            <w:pPr>
              <w:pStyle w:val="16"/>
            </w:pPr>
            <w:r>
              <w:t>20801</w:t>
            </w:r>
          </w:p>
        </w:tc>
        <w:tc>
          <w:tcPr>
            <w:tcW w:w="2020" w:type="dxa"/>
            <w:vAlign w:val="center"/>
          </w:tcPr>
          <w:p>
            <w:pPr>
              <w:pStyle w:val="16"/>
            </w:pPr>
            <w:r>
              <w:rPr>
                <w:rFonts w:hint="eastAsia"/>
              </w:rPr>
              <w:t>人力资源和社会保障管理事务</w:t>
            </w:r>
          </w:p>
        </w:tc>
        <w:tc>
          <w:tcPr>
            <w:tcW w:w="1095" w:type="dxa"/>
            <w:vAlign w:val="center"/>
          </w:tcPr>
          <w:p>
            <w:pPr>
              <w:pStyle w:val="15"/>
            </w:pPr>
            <w:r>
              <w:t>255.05</w:t>
            </w:r>
          </w:p>
        </w:tc>
        <w:tc>
          <w:tcPr>
            <w:tcW w:w="1095" w:type="dxa"/>
            <w:vAlign w:val="center"/>
          </w:tcPr>
          <w:p>
            <w:pPr>
              <w:pStyle w:val="15"/>
            </w:pPr>
            <w:r>
              <w:t>234.55</w:t>
            </w:r>
          </w:p>
        </w:tc>
        <w:tc>
          <w:tcPr>
            <w:tcW w:w="1095" w:type="dxa"/>
            <w:vAlign w:val="center"/>
          </w:tcPr>
          <w:p>
            <w:pPr>
              <w:pStyle w:val="15"/>
            </w:pPr>
            <w:r>
              <w:t>20.50</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4</w:t>
            </w:r>
          </w:p>
        </w:tc>
        <w:tc>
          <w:tcPr>
            <w:tcW w:w="1512" w:type="dxa"/>
            <w:vAlign w:val="center"/>
          </w:tcPr>
          <w:p>
            <w:pPr>
              <w:pStyle w:val="16"/>
            </w:pPr>
            <w:r>
              <w:t>2080107</w:t>
            </w:r>
          </w:p>
        </w:tc>
        <w:tc>
          <w:tcPr>
            <w:tcW w:w="2020" w:type="dxa"/>
            <w:vAlign w:val="center"/>
          </w:tcPr>
          <w:p>
            <w:pPr>
              <w:pStyle w:val="16"/>
            </w:pPr>
            <w:r>
              <w:rPr>
                <w:rFonts w:hint="eastAsia"/>
              </w:rPr>
              <w:t>社会保险业务管理事务</w:t>
            </w:r>
          </w:p>
        </w:tc>
        <w:tc>
          <w:tcPr>
            <w:tcW w:w="1095" w:type="dxa"/>
            <w:vAlign w:val="center"/>
          </w:tcPr>
          <w:p>
            <w:pPr>
              <w:pStyle w:val="15"/>
            </w:pPr>
            <w:r>
              <w:t>10.50</w:t>
            </w:r>
          </w:p>
        </w:tc>
        <w:tc>
          <w:tcPr>
            <w:tcW w:w="1095" w:type="dxa"/>
            <w:vAlign w:val="center"/>
          </w:tcPr>
          <w:p>
            <w:pPr>
              <w:pStyle w:val="15"/>
            </w:pPr>
          </w:p>
        </w:tc>
        <w:tc>
          <w:tcPr>
            <w:tcW w:w="1095" w:type="dxa"/>
            <w:vAlign w:val="center"/>
          </w:tcPr>
          <w:p>
            <w:pPr>
              <w:pStyle w:val="15"/>
            </w:pPr>
            <w:r>
              <w:t>10.50</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5</w:t>
            </w:r>
          </w:p>
        </w:tc>
        <w:tc>
          <w:tcPr>
            <w:tcW w:w="1512" w:type="dxa"/>
            <w:vAlign w:val="center"/>
          </w:tcPr>
          <w:p>
            <w:pPr>
              <w:pStyle w:val="16"/>
            </w:pPr>
            <w:r>
              <w:t>2080109</w:t>
            </w:r>
          </w:p>
        </w:tc>
        <w:tc>
          <w:tcPr>
            <w:tcW w:w="2020" w:type="dxa"/>
            <w:vAlign w:val="center"/>
          </w:tcPr>
          <w:p>
            <w:pPr>
              <w:pStyle w:val="16"/>
            </w:pPr>
            <w:r>
              <w:rPr>
                <w:rFonts w:hint="eastAsia"/>
              </w:rPr>
              <w:t>社会保险经办机构</w:t>
            </w:r>
          </w:p>
        </w:tc>
        <w:tc>
          <w:tcPr>
            <w:tcW w:w="1095" w:type="dxa"/>
            <w:vAlign w:val="center"/>
          </w:tcPr>
          <w:p>
            <w:pPr>
              <w:pStyle w:val="15"/>
            </w:pPr>
            <w:r>
              <w:t>244.55</w:t>
            </w:r>
          </w:p>
        </w:tc>
        <w:tc>
          <w:tcPr>
            <w:tcW w:w="1095" w:type="dxa"/>
            <w:vAlign w:val="center"/>
          </w:tcPr>
          <w:p>
            <w:pPr>
              <w:pStyle w:val="15"/>
            </w:pPr>
            <w:r>
              <w:t>234.55</w:t>
            </w:r>
          </w:p>
        </w:tc>
        <w:tc>
          <w:tcPr>
            <w:tcW w:w="1095" w:type="dxa"/>
            <w:vAlign w:val="center"/>
          </w:tcPr>
          <w:p>
            <w:pPr>
              <w:pStyle w:val="15"/>
            </w:pPr>
            <w:r>
              <w:t>10.00</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6</w:t>
            </w:r>
          </w:p>
        </w:tc>
        <w:tc>
          <w:tcPr>
            <w:tcW w:w="1512" w:type="dxa"/>
            <w:vAlign w:val="center"/>
          </w:tcPr>
          <w:p>
            <w:pPr>
              <w:pStyle w:val="16"/>
            </w:pPr>
            <w:r>
              <w:t>20805</w:t>
            </w:r>
          </w:p>
        </w:tc>
        <w:tc>
          <w:tcPr>
            <w:tcW w:w="2020" w:type="dxa"/>
            <w:vAlign w:val="center"/>
          </w:tcPr>
          <w:p>
            <w:pPr>
              <w:pStyle w:val="16"/>
            </w:pPr>
            <w:r>
              <w:rPr>
                <w:rFonts w:hint="eastAsia"/>
              </w:rPr>
              <w:t>行政事业单位养老支出</w:t>
            </w:r>
          </w:p>
        </w:tc>
        <w:tc>
          <w:tcPr>
            <w:tcW w:w="1095" w:type="dxa"/>
            <w:vAlign w:val="center"/>
          </w:tcPr>
          <w:p>
            <w:pPr>
              <w:pStyle w:val="15"/>
            </w:pPr>
            <w:r>
              <w:t>3330.75</w:t>
            </w:r>
          </w:p>
        </w:tc>
        <w:tc>
          <w:tcPr>
            <w:tcW w:w="1095" w:type="dxa"/>
            <w:vAlign w:val="center"/>
          </w:tcPr>
          <w:p>
            <w:pPr>
              <w:pStyle w:val="15"/>
            </w:pPr>
            <w:r>
              <w:t>3330.75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7</w:t>
            </w:r>
          </w:p>
        </w:tc>
        <w:tc>
          <w:tcPr>
            <w:tcW w:w="1512" w:type="dxa"/>
            <w:vAlign w:val="center"/>
          </w:tcPr>
          <w:p>
            <w:pPr>
              <w:pStyle w:val="16"/>
            </w:pPr>
            <w:r>
              <w:t>2080502</w:t>
            </w:r>
          </w:p>
        </w:tc>
        <w:tc>
          <w:tcPr>
            <w:tcW w:w="2020" w:type="dxa"/>
            <w:vAlign w:val="center"/>
          </w:tcPr>
          <w:p>
            <w:pPr>
              <w:pStyle w:val="16"/>
            </w:pPr>
            <w:r>
              <w:rPr>
                <w:rFonts w:hint="eastAsia"/>
              </w:rPr>
              <w:t>事业单位离退休</w:t>
            </w:r>
          </w:p>
        </w:tc>
        <w:tc>
          <w:tcPr>
            <w:tcW w:w="1095" w:type="dxa"/>
            <w:vAlign w:val="center"/>
          </w:tcPr>
          <w:p>
            <w:pPr>
              <w:pStyle w:val="15"/>
            </w:pPr>
            <w:r>
              <w:t>3297.70</w:t>
            </w:r>
          </w:p>
        </w:tc>
        <w:tc>
          <w:tcPr>
            <w:tcW w:w="1095" w:type="dxa"/>
            <w:vAlign w:val="center"/>
          </w:tcPr>
          <w:p>
            <w:pPr>
              <w:pStyle w:val="15"/>
            </w:pPr>
            <w:r>
              <w:t>3297.70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8</w:t>
            </w:r>
          </w:p>
        </w:tc>
        <w:tc>
          <w:tcPr>
            <w:tcW w:w="1512" w:type="dxa"/>
            <w:vAlign w:val="center"/>
          </w:tcPr>
          <w:p>
            <w:pPr>
              <w:pStyle w:val="16"/>
            </w:pPr>
            <w:r>
              <w:t>2080505</w:t>
            </w:r>
          </w:p>
        </w:tc>
        <w:tc>
          <w:tcPr>
            <w:tcW w:w="2020" w:type="dxa"/>
            <w:vAlign w:val="center"/>
          </w:tcPr>
          <w:p>
            <w:pPr>
              <w:pStyle w:val="16"/>
            </w:pPr>
            <w:r>
              <w:rPr>
                <w:rFonts w:hint="eastAsia"/>
              </w:rPr>
              <w:t>机关事业单位基本养老保险缴费支出</w:t>
            </w:r>
          </w:p>
        </w:tc>
        <w:tc>
          <w:tcPr>
            <w:tcW w:w="1095" w:type="dxa"/>
            <w:vAlign w:val="center"/>
          </w:tcPr>
          <w:p>
            <w:pPr>
              <w:pStyle w:val="15"/>
            </w:pPr>
            <w:r>
              <w:t>21.80</w:t>
            </w:r>
          </w:p>
        </w:tc>
        <w:tc>
          <w:tcPr>
            <w:tcW w:w="1095" w:type="dxa"/>
            <w:vAlign w:val="center"/>
          </w:tcPr>
          <w:p>
            <w:pPr>
              <w:pStyle w:val="15"/>
            </w:pPr>
            <w:r>
              <w:t>21.80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9</w:t>
            </w:r>
          </w:p>
        </w:tc>
        <w:tc>
          <w:tcPr>
            <w:tcW w:w="1512" w:type="dxa"/>
            <w:vAlign w:val="center"/>
          </w:tcPr>
          <w:p>
            <w:pPr>
              <w:pStyle w:val="16"/>
            </w:pPr>
            <w:r>
              <w:t>2080506</w:t>
            </w:r>
          </w:p>
        </w:tc>
        <w:tc>
          <w:tcPr>
            <w:tcW w:w="2020" w:type="dxa"/>
            <w:vAlign w:val="center"/>
          </w:tcPr>
          <w:p>
            <w:pPr>
              <w:pStyle w:val="16"/>
            </w:pPr>
            <w:r>
              <w:rPr>
                <w:rFonts w:hint="eastAsia"/>
              </w:rPr>
              <w:t>机关事业单位职业年金缴费支出</w:t>
            </w:r>
          </w:p>
        </w:tc>
        <w:tc>
          <w:tcPr>
            <w:tcW w:w="1095" w:type="dxa"/>
            <w:vAlign w:val="center"/>
          </w:tcPr>
          <w:p>
            <w:pPr>
              <w:pStyle w:val="15"/>
            </w:pPr>
            <w:r>
              <w:t>11.25</w:t>
            </w:r>
          </w:p>
        </w:tc>
        <w:tc>
          <w:tcPr>
            <w:tcW w:w="1095" w:type="dxa"/>
            <w:vAlign w:val="center"/>
          </w:tcPr>
          <w:p>
            <w:pPr>
              <w:pStyle w:val="15"/>
            </w:pPr>
            <w:r>
              <w:t>11.25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10</w:t>
            </w:r>
          </w:p>
        </w:tc>
        <w:tc>
          <w:tcPr>
            <w:tcW w:w="1512" w:type="dxa"/>
            <w:vAlign w:val="center"/>
          </w:tcPr>
          <w:p>
            <w:pPr>
              <w:pStyle w:val="16"/>
            </w:pPr>
            <w:r>
              <w:t>20899</w:t>
            </w:r>
          </w:p>
        </w:tc>
        <w:tc>
          <w:tcPr>
            <w:tcW w:w="2020" w:type="dxa"/>
            <w:vAlign w:val="center"/>
          </w:tcPr>
          <w:p>
            <w:pPr>
              <w:pStyle w:val="16"/>
            </w:pPr>
            <w:r>
              <w:rPr>
                <w:rFonts w:hint="eastAsia"/>
              </w:rPr>
              <w:t>其他社会保障和就业支出</w:t>
            </w:r>
          </w:p>
        </w:tc>
        <w:tc>
          <w:tcPr>
            <w:tcW w:w="1095" w:type="dxa"/>
            <w:vAlign w:val="center"/>
          </w:tcPr>
          <w:p>
            <w:pPr>
              <w:pStyle w:val="15"/>
            </w:pPr>
            <w:r>
              <w:t>29.31</w:t>
            </w:r>
          </w:p>
        </w:tc>
        <w:tc>
          <w:tcPr>
            <w:tcW w:w="1095" w:type="dxa"/>
            <w:vAlign w:val="center"/>
          </w:tcPr>
          <w:p>
            <w:pPr>
              <w:pStyle w:val="15"/>
            </w:pPr>
          </w:p>
        </w:tc>
        <w:tc>
          <w:tcPr>
            <w:tcW w:w="1095" w:type="dxa"/>
            <w:vAlign w:val="center"/>
          </w:tcPr>
          <w:p>
            <w:pPr>
              <w:pStyle w:val="15"/>
            </w:pPr>
            <w:r>
              <w:t>29.31</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11</w:t>
            </w:r>
          </w:p>
        </w:tc>
        <w:tc>
          <w:tcPr>
            <w:tcW w:w="1512" w:type="dxa"/>
            <w:vAlign w:val="center"/>
          </w:tcPr>
          <w:p>
            <w:pPr>
              <w:pStyle w:val="16"/>
            </w:pPr>
            <w:r>
              <w:t>2089999</w:t>
            </w:r>
          </w:p>
        </w:tc>
        <w:tc>
          <w:tcPr>
            <w:tcW w:w="2020" w:type="dxa"/>
            <w:vAlign w:val="center"/>
          </w:tcPr>
          <w:p>
            <w:pPr>
              <w:pStyle w:val="16"/>
            </w:pPr>
            <w:r>
              <w:rPr>
                <w:rFonts w:hint="eastAsia"/>
              </w:rPr>
              <w:t>其他社会保障和就业支出</w:t>
            </w:r>
          </w:p>
        </w:tc>
        <w:tc>
          <w:tcPr>
            <w:tcW w:w="1095" w:type="dxa"/>
            <w:vAlign w:val="center"/>
          </w:tcPr>
          <w:p>
            <w:pPr>
              <w:pStyle w:val="15"/>
            </w:pPr>
            <w:r>
              <w:t>29.31</w:t>
            </w:r>
          </w:p>
        </w:tc>
        <w:tc>
          <w:tcPr>
            <w:tcW w:w="1095" w:type="dxa"/>
            <w:vAlign w:val="center"/>
          </w:tcPr>
          <w:p>
            <w:pPr>
              <w:pStyle w:val="15"/>
            </w:pPr>
          </w:p>
        </w:tc>
        <w:tc>
          <w:tcPr>
            <w:tcW w:w="1095" w:type="dxa"/>
            <w:vAlign w:val="center"/>
          </w:tcPr>
          <w:p>
            <w:pPr>
              <w:pStyle w:val="15"/>
            </w:pPr>
            <w:r>
              <w:t>29.31</w:t>
            </w: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12</w:t>
            </w:r>
          </w:p>
        </w:tc>
        <w:tc>
          <w:tcPr>
            <w:tcW w:w="1512" w:type="dxa"/>
            <w:vAlign w:val="center"/>
          </w:tcPr>
          <w:p>
            <w:pPr>
              <w:pStyle w:val="16"/>
            </w:pPr>
            <w:r>
              <w:t>221</w:t>
            </w:r>
          </w:p>
        </w:tc>
        <w:tc>
          <w:tcPr>
            <w:tcW w:w="2020" w:type="dxa"/>
            <w:vAlign w:val="center"/>
          </w:tcPr>
          <w:p>
            <w:pPr>
              <w:pStyle w:val="16"/>
            </w:pPr>
            <w:r>
              <w:rPr>
                <w:rFonts w:hint="eastAsia"/>
              </w:rPr>
              <w:t>住房保障支出</w:t>
            </w:r>
          </w:p>
        </w:tc>
        <w:tc>
          <w:tcPr>
            <w:tcW w:w="1095" w:type="dxa"/>
            <w:vAlign w:val="center"/>
          </w:tcPr>
          <w:p>
            <w:pPr>
              <w:pStyle w:val="15"/>
            </w:pPr>
            <w:r>
              <w:t>9.00</w:t>
            </w:r>
          </w:p>
        </w:tc>
        <w:tc>
          <w:tcPr>
            <w:tcW w:w="1095" w:type="dxa"/>
            <w:vAlign w:val="center"/>
          </w:tcPr>
          <w:p>
            <w:pPr>
              <w:pStyle w:val="15"/>
            </w:pPr>
            <w:r>
              <w:t>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13</w:t>
            </w:r>
          </w:p>
        </w:tc>
        <w:tc>
          <w:tcPr>
            <w:tcW w:w="1512" w:type="dxa"/>
            <w:vAlign w:val="center"/>
          </w:tcPr>
          <w:p>
            <w:pPr>
              <w:pStyle w:val="16"/>
            </w:pPr>
            <w:r>
              <w:t>22102</w:t>
            </w:r>
          </w:p>
        </w:tc>
        <w:tc>
          <w:tcPr>
            <w:tcW w:w="2020" w:type="dxa"/>
            <w:vAlign w:val="center"/>
          </w:tcPr>
          <w:p>
            <w:pPr>
              <w:pStyle w:val="16"/>
            </w:pPr>
            <w:r>
              <w:rPr>
                <w:rFonts w:hint="eastAsia"/>
              </w:rPr>
              <w:t>住房改革支出</w:t>
            </w:r>
          </w:p>
        </w:tc>
        <w:tc>
          <w:tcPr>
            <w:tcW w:w="1095" w:type="dxa"/>
            <w:vAlign w:val="center"/>
          </w:tcPr>
          <w:p>
            <w:pPr>
              <w:pStyle w:val="15"/>
            </w:pPr>
            <w:r>
              <w:t>9.00</w:t>
            </w:r>
          </w:p>
        </w:tc>
        <w:tc>
          <w:tcPr>
            <w:tcW w:w="1095" w:type="dxa"/>
            <w:vAlign w:val="center"/>
          </w:tcPr>
          <w:p>
            <w:pPr>
              <w:pStyle w:val="15"/>
            </w:pPr>
            <w:r>
              <w:t>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7"/>
            </w:pPr>
            <w:r>
              <w:t>14</w:t>
            </w:r>
          </w:p>
        </w:tc>
        <w:tc>
          <w:tcPr>
            <w:tcW w:w="1512" w:type="dxa"/>
            <w:vAlign w:val="center"/>
          </w:tcPr>
          <w:p>
            <w:pPr>
              <w:pStyle w:val="16"/>
            </w:pPr>
            <w:r>
              <w:t>2210201</w:t>
            </w:r>
          </w:p>
        </w:tc>
        <w:tc>
          <w:tcPr>
            <w:tcW w:w="2020" w:type="dxa"/>
            <w:vAlign w:val="center"/>
          </w:tcPr>
          <w:p>
            <w:pPr>
              <w:pStyle w:val="16"/>
            </w:pPr>
            <w:r>
              <w:rPr>
                <w:rFonts w:hint="eastAsia"/>
              </w:rPr>
              <w:t>住房公积金</w:t>
            </w:r>
          </w:p>
        </w:tc>
        <w:tc>
          <w:tcPr>
            <w:tcW w:w="1095" w:type="dxa"/>
            <w:vAlign w:val="center"/>
          </w:tcPr>
          <w:p>
            <w:pPr>
              <w:pStyle w:val="15"/>
            </w:pPr>
            <w:r>
              <w:t>9.00</w:t>
            </w:r>
          </w:p>
        </w:tc>
        <w:tc>
          <w:tcPr>
            <w:tcW w:w="1095" w:type="dxa"/>
            <w:vAlign w:val="center"/>
          </w:tcPr>
          <w:p>
            <w:pPr>
              <w:pStyle w:val="15"/>
            </w:pPr>
            <w:r>
              <w:t>9.00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213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9"/>
        <w:gridCol w:w="2739"/>
        <w:gridCol w:w="1100"/>
        <w:gridCol w:w="2250"/>
        <w:gridCol w:w="1175"/>
        <w:gridCol w:w="1362"/>
        <w:gridCol w:w="1588"/>
        <w:gridCol w:w="15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8"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2250"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649" w:type="dxa"/>
            <w:gridSpan w:val="4"/>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restart"/>
            <w:vAlign w:val="center"/>
          </w:tcPr>
          <w:p>
            <w:pPr>
              <w:pStyle w:val="14"/>
            </w:pPr>
            <w:r>
              <w:rPr>
                <w:rFonts w:hint="eastAsia"/>
              </w:rPr>
              <w:t>序号</w:t>
            </w:r>
          </w:p>
        </w:tc>
        <w:tc>
          <w:tcPr>
            <w:tcW w:w="3839" w:type="dxa"/>
            <w:gridSpan w:val="2"/>
            <w:vAlign w:val="center"/>
          </w:tcPr>
          <w:p>
            <w:pPr>
              <w:pStyle w:val="14"/>
            </w:pPr>
            <w:r>
              <w:rPr>
                <w:rFonts w:hint="eastAsia"/>
              </w:rPr>
              <w:t>收入</w:t>
            </w:r>
          </w:p>
        </w:tc>
        <w:tc>
          <w:tcPr>
            <w:tcW w:w="7899" w:type="dxa"/>
            <w:gridSpan w:val="5"/>
            <w:vAlign w:val="center"/>
          </w:tcPr>
          <w:p>
            <w:pPr>
              <w:pStyle w:val="14"/>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Merge w:val="continue"/>
          </w:tcPr>
          <w:p/>
        </w:tc>
        <w:tc>
          <w:tcPr>
            <w:tcW w:w="2739" w:type="dxa"/>
            <w:vAlign w:val="center"/>
          </w:tcPr>
          <w:p>
            <w:pPr>
              <w:pStyle w:val="14"/>
            </w:pPr>
            <w:r>
              <w:rPr>
                <w:rFonts w:hint="eastAsia"/>
              </w:rPr>
              <w:t>项目</w:t>
            </w:r>
          </w:p>
        </w:tc>
        <w:tc>
          <w:tcPr>
            <w:tcW w:w="1100" w:type="dxa"/>
            <w:vAlign w:val="center"/>
          </w:tcPr>
          <w:p>
            <w:pPr>
              <w:pStyle w:val="14"/>
            </w:pPr>
            <w:r>
              <w:rPr>
                <w:rFonts w:hint="eastAsia"/>
              </w:rPr>
              <w:t>金额</w:t>
            </w:r>
          </w:p>
        </w:tc>
        <w:tc>
          <w:tcPr>
            <w:tcW w:w="2250" w:type="dxa"/>
            <w:vAlign w:val="center"/>
          </w:tcPr>
          <w:p>
            <w:pPr>
              <w:pStyle w:val="14"/>
            </w:pPr>
            <w:r>
              <w:rPr>
                <w:rFonts w:hint="eastAsia"/>
              </w:rPr>
              <w:t>项目</w:t>
            </w:r>
          </w:p>
        </w:tc>
        <w:tc>
          <w:tcPr>
            <w:tcW w:w="1175" w:type="dxa"/>
            <w:vAlign w:val="center"/>
          </w:tcPr>
          <w:p>
            <w:pPr>
              <w:pStyle w:val="14"/>
            </w:pPr>
            <w:r>
              <w:rPr>
                <w:rFonts w:hint="eastAsia"/>
              </w:rPr>
              <w:t>合计</w:t>
            </w:r>
          </w:p>
        </w:tc>
        <w:tc>
          <w:tcPr>
            <w:tcW w:w="1362" w:type="dxa"/>
            <w:vAlign w:val="center"/>
          </w:tcPr>
          <w:p>
            <w:pPr>
              <w:pStyle w:val="14"/>
            </w:pPr>
            <w:r>
              <w:rPr>
                <w:rFonts w:hint="eastAsia"/>
              </w:rPr>
              <w:t>一般公共预算财政拨款</w:t>
            </w:r>
          </w:p>
        </w:tc>
        <w:tc>
          <w:tcPr>
            <w:tcW w:w="1588" w:type="dxa"/>
            <w:vAlign w:val="center"/>
          </w:tcPr>
          <w:p>
            <w:pPr>
              <w:pStyle w:val="14"/>
            </w:pPr>
            <w:r>
              <w:rPr>
                <w:rFonts w:hint="eastAsia"/>
              </w:rPr>
              <w:t>政府性基金预算财政拨款</w:t>
            </w:r>
          </w:p>
        </w:tc>
        <w:tc>
          <w:tcPr>
            <w:tcW w:w="1524"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9" w:type="dxa"/>
            <w:vAlign w:val="center"/>
          </w:tcPr>
          <w:p>
            <w:pPr>
              <w:pStyle w:val="14"/>
            </w:pPr>
            <w:r>
              <w:rPr>
                <w:rFonts w:hint="eastAsia"/>
              </w:rPr>
              <w:t>栏次</w:t>
            </w:r>
          </w:p>
        </w:tc>
        <w:tc>
          <w:tcPr>
            <w:tcW w:w="2739" w:type="dxa"/>
            <w:vAlign w:val="center"/>
          </w:tcPr>
          <w:p>
            <w:pPr>
              <w:pStyle w:val="14"/>
            </w:pPr>
            <w:r>
              <w:t>1</w:t>
            </w:r>
          </w:p>
        </w:tc>
        <w:tc>
          <w:tcPr>
            <w:tcW w:w="1100" w:type="dxa"/>
            <w:vAlign w:val="center"/>
          </w:tcPr>
          <w:p>
            <w:pPr>
              <w:pStyle w:val="14"/>
            </w:pPr>
            <w:r>
              <w:t>2</w:t>
            </w:r>
          </w:p>
        </w:tc>
        <w:tc>
          <w:tcPr>
            <w:tcW w:w="2250" w:type="dxa"/>
            <w:vAlign w:val="center"/>
          </w:tcPr>
          <w:p>
            <w:pPr>
              <w:pStyle w:val="14"/>
            </w:pPr>
            <w:r>
              <w:t>3</w:t>
            </w:r>
          </w:p>
        </w:tc>
        <w:tc>
          <w:tcPr>
            <w:tcW w:w="1175" w:type="dxa"/>
            <w:vAlign w:val="center"/>
          </w:tcPr>
          <w:p>
            <w:pPr>
              <w:pStyle w:val="14"/>
            </w:pPr>
            <w:r>
              <w:t>4</w:t>
            </w:r>
          </w:p>
        </w:tc>
        <w:tc>
          <w:tcPr>
            <w:tcW w:w="1362" w:type="dxa"/>
            <w:vAlign w:val="center"/>
          </w:tcPr>
          <w:p>
            <w:pPr>
              <w:pStyle w:val="14"/>
            </w:pPr>
            <w:r>
              <w:t>5</w:t>
            </w:r>
          </w:p>
        </w:tc>
        <w:tc>
          <w:tcPr>
            <w:tcW w:w="1588" w:type="dxa"/>
            <w:vAlign w:val="center"/>
          </w:tcPr>
          <w:p>
            <w:pPr>
              <w:pStyle w:val="14"/>
            </w:pPr>
            <w:r>
              <w:t>6</w:t>
            </w:r>
          </w:p>
        </w:tc>
        <w:tc>
          <w:tcPr>
            <w:tcW w:w="152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w:t>
            </w:r>
          </w:p>
        </w:tc>
        <w:tc>
          <w:tcPr>
            <w:tcW w:w="2739" w:type="dxa"/>
            <w:vAlign w:val="center"/>
          </w:tcPr>
          <w:p>
            <w:pPr>
              <w:pStyle w:val="16"/>
            </w:pPr>
            <w:r>
              <w:rPr>
                <w:rFonts w:hint="eastAsia"/>
              </w:rPr>
              <w:t>一、一般公共预算拨款</w:t>
            </w:r>
          </w:p>
        </w:tc>
        <w:tc>
          <w:tcPr>
            <w:tcW w:w="1100" w:type="dxa"/>
            <w:vAlign w:val="center"/>
          </w:tcPr>
          <w:p>
            <w:pPr>
              <w:pStyle w:val="15"/>
            </w:pPr>
            <w:r>
              <w:t>3624.11</w:t>
            </w:r>
          </w:p>
        </w:tc>
        <w:tc>
          <w:tcPr>
            <w:tcW w:w="2250" w:type="dxa"/>
            <w:vAlign w:val="center"/>
          </w:tcPr>
          <w:p>
            <w:pPr>
              <w:pStyle w:val="16"/>
            </w:pPr>
            <w:r>
              <w:rPr>
                <w:rFonts w:hint="eastAsia"/>
              </w:rPr>
              <w:t>一、一般公共服务支出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w:t>
            </w:r>
          </w:p>
        </w:tc>
        <w:tc>
          <w:tcPr>
            <w:tcW w:w="2739" w:type="dxa"/>
            <w:vAlign w:val="center"/>
          </w:tcPr>
          <w:p>
            <w:pPr>
              <w:pStyle w:val="16"/>
            </w:pPr>
            <w:r>
              <w:rPr>
                <w:rFonts w:hint="eastAsia"/>
              </w:rPr>
              <w:t>二、政府性基金预算拨款</w:t>
            </w:r>
          </w:p>
        </w:tc>
        <w:tc>
          <w:tcPr>
            <w:tcW w:w="1100" w:type="dxa"/>
            <w:vAlign w:val="center"/>
          </w:tcPr>
          <w:p>
            <w:pPr>
              <w:pStyle w:val="15"/>
            </w:pPr>
          </w:p>
        </w:tc>
        <w:tc>
          <w:tcPr>
            <w:tcW w:w="2250" w:type="dxa"/>
            <w:vAlign w:val="center"/>
          </w:tcPr>
          <w:p>
            <w:pPr>
              <w:pStyle w:val="16"/>
            </w:pPr>
            <w:r>
              <w:rPr>
                <w:rFonts w:hint="eastAsia"/>
              </w:rPr>
              <w:t>二、外交支出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w:t>
            </w:r>
          </w:p>
        </w:tc>
        <w:tc>
          <w:tcPr>
            <w:tcW w:w="2739" w:type="dxa"/>
            <w:vAlign w:val="center"/>
          </w:tcPr>
          <w:p>
            <w:pPr>
              <w:pStyle w:val="16"/>
            </w:pPr>
            <w:r>
              <w:rPr>
                <w:rFonts w:hint="eastAsia"/>
              </w:rPr>
              <w:t>三、国有资本经营预算拨款</w:t>
            </w:r>
          </w:p>
        </w:tc>
        <w:tc>
          <w:tcPr>
            <w:tcW w:w="1100" w:type="dxa"/>
            <w:vAlign w:val="center"/>
          </w:tcPr>
          <w:p>
            <w:pPr>
              <w:pStyle w:val="15"/>
            </w:pPr>
          </w:p>
        </w:tc>
        <w:tc>
          <w:tcPr>
            <w:tcW w:w="2250" w:type="dxa"/>
            <w:vAlign w:val="center"/>
          </w:tcPr>
          <w:p>
            <w:pPr>
              <w:pStyle w:val="16"/>
            </w:pPr>
            <w:r>
              <w:rPr>
                <w:rFonts w:hint="eastAsia"/>
              </w:rPr>
              <w:t>三、国防支出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4</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四、公共安全支出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5</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五、教育支出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6</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六、科学技术支出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7</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七、文化旅游体育与传媒支出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8</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八、社会保障和就业支出</w:t>
            </w:r>
          </w:p>
        </w:tc>
        <w:tc>
          <w:tcPr>
            <w:tcW w:w="1175" w:type="dxa"/>
            <w:vAlign w:val="center"/>
          </w:tcPr>
          <w:p>
            <w:pPr>
              <w:pStyle w:val="15"/>
            </w:pPr>
            <w:r>
              <w:t>3615.11</w:t>
            </w:r>
          </w:p>
        </w:tc>
        <w:tc>
          <w:tcPr>
            <w:tcW w:w="1362" w:type="dxa"/>
            <w:vAlign w:val="center"/>
          </w:tcPr>
          <w:p>
            <w:pPr>
              <w:pStyle w:val="15"/>
            </w:pPr>
            <w:r>
              <w:t>3615.11</w:t>
            </w: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9</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九、社会保险基金支出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10</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十、卫生健康支出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11</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十一、节能环保支出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12</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十二、城乡社区支出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13</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十三、农林水支出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14</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十四、交通运输支出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15</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十五、资源勘探工业信息等支出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16</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十六、商业服务业等支出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17</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十七、金融支出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18</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十八、援助其他地区支出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19</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十九、自然资源海洋气象等支出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20</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二十、住房保障支出</w:t>
            </w:r>
          </w:p>
        </w:tc>
        <w:tc>
          <w:tcPr>
            <w:tcW w:w="1175" w:type="dxa"/>
            <w:vAlign w:val="center"/>
          </w:tcPr>
          <w:p>
            <w:pPr>
              <w:pStyle w:val="15"/>
            </w:pPr>
            <w:r>
              <w:t>9.00</w:t>
            </w:r>
          </w:p>
        </w:tc>
        <w:tc>
          <w:tcPr>
            <w:tcW w:w="1362" w:type="dxa"/>
            <w:vAlign w:val="center"/>
          </w:tcPr>
          <w:p>
            <w:pPr>
              <w:pStyle w:val="15"/>
            </w:pPr>
            <w:r>
              <w:t>9.00</w:t>
            </w: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21</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二十一、粮油物资储备支出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22</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二十二、国有资本经营预算支出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23</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二十三、灾害防治及应急管理支出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24</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二十四、预备费</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25</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二十五、其他支出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26</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二十六、转移性支出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27</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二十七、债务还本支出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28</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二十八、债务付息支出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29</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二十九、债务发行费用支出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30</w:t>
            </w:r>
          </w:p>
        </w:tc>
        <w:tc>
          <w:tcPr>
            <w:tcW w:w="2739" w:type="dxa"/>
            <w:vAlign w:val="center"/>
          </w:tcPr>
          <w:p>
            <w:pPr>
              <w:pStyle w:val="16"/>
            </w:pPr>
          </w:p>
        </w:tc>
        <w:tc>
          <w:tcPr>
            <w:tcW w:w="1100" w:type="dxa"/>
            <w:vAlign w:val="center"/>
          </w:tcPr>
          <w:p>
            <w:pPr>
              <w:pStyle w:val="15"/>
            </w:pPr>
          </w:p>
        </w:tc>
        <w:tc>
          <w:tcPr>
            <w:tcW w:w="2250" w:type="dxa"/>
            <w:vAlign w:val="center"/>
          </w:tcPr>
          <w:p>
            <w:pPr>
              <w:pStyle w:val="16"/>
            </w:pPr>
            <w:r>
              <w:rPr>
                <w:rFonts w:hint="eastAsia"/>
              </w:rPr>
              <w:t>三十、抗疫特别国债安排的支出</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31</w:t>
            </w:r>
          </w:p>
        </w:tc>
        <w:tc>
          <w:tcPr>
            <w:tcW w:w="2739" w:type="dxa"/>
            <w:vAlign w:val="center"/>
          </w:tcPr>
          <w:p>
            <w:pPr>
              <w:pStyle w:val="18"/>
            </w:pPr>
            <w:r>
              <w:rPr>
                <w:rFonts w:hint="eastAsia"/>
              </w:rPr>
              <w:t>本年收入合计</w:t>
            </w:r>
          </w:p>
        </w:tc>
        <w:tc>
          <w:tcPr>
            <w:tcW w:w="1100" w:type="dxa"/>
            <w:vAlign w:val="center"/>
          </w:tcPr>
          <w:p>
            <w:pPr>
              <w:pStyle w:val="19"/>
            </w:pPr>
            <w:r>
              <w:t>3624.11</w:t>
            </w:r>
          </w:p>
        </w:tc>
        <w:tc>
          <w:tcPr>
            <w:tcW w:w="2250" w:type="dxa"/>
            <w:vAlign w:val="center"/>
          </w:tcPr>
          <w:p>
            <w:pPr>
              <w:pStyle w:val="18"/>
            </w:pPr>
            <w:r>
              <w:rPr>
                <w:rFonts w:hint="eastAsia"/>
              </w:rPr>
              <w:t>本年支出合计</w:t>
            </w:r>
          </w:p>
        </w:tc>
        <w:tc>
          <w:tcPr>
            <w:tcW w:w="1175" w:type="dxa"/>
            <w:vAlign w:val="center"/>
          </w:tcPr>
          <w:p>
            <w:pPr>
              <w:pStyle w:val="19"/>
            </w:pPr>
            <w:r>
              <w:t>3624.11</w:t>
            </w:r>
          </w:p>
        </w:tc>
        <w:tc>
          <w:tcPr>
            <w:tcW w:w="1362" w:type="dxa"/>
            <w:vAlign w:val="center"/>
          </w:tcPr>
          <w:p>
            <w:pPr>
              <w:pStyle w:val="19"/>
            </w:pPr>
            <w:r>
              <w:t>3624.11</w:t>
            </w:r>
          </w:p>
        </w:tc>
        <w:tc>
          <w:tcPr>
            <w:tcW w:w="1588" w:type="dxa"/>
            <w:vAlign w:val="center"/>
          </w:tcPr>
          <w:p>
            <w:pPr>
              <w:pStyle w:val="19"/>
            </w:pPr>
          </w:p>
        </w:tc>
        <w:tc>
          <w:tcPr>
            <w:tcW w:w="152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32</w:t>
            </w:r>
          </w:p>
        </w:tc>
        <w:tc>
          <w:tcPr>
            <w:tcW w:w="2739" w:type="dxa"/>
            <w:vAlign w:val="center"/>
          </w:tcPr>
          <w:p>
            <w:pPr>
              <w:pStyle w:val="16"/>
            </w:pPr>
            <w:r>
              <w:rPr>
                <w:rFonts w:hint="eastAsia"/>
              </w:rPr>
              <w:t>年初财政拨款结转和结余</w:t>
            </w:r>
          </w:p>
        </w:tc>
        <w:tc>
          <w:tcPr>
            <w:tcW w:w="1100" w:type="dxa"/>
            <w:vAlign w:val="center"/>
          </w:tcPr>
          <w:p>
            <w:pPr>
              <w:pStyle w:val="15"/>
            </w:pPr>
          </w:p>
        </w:tc>
        <w:tc>
          <w:tcPr>
            <w:tcW w:w="2250" w:type="dxa"/>
            <w:vAlign w:val="center"/>
          </w:tcPr>
          <w:p>
            <w:pPr>
              <w:pStyle w:val="16"/>
            </w:pPr>
            <w:r>
              <w:rPr>
                <w:rFonts w:hint="eastAsia"/>
              </w:rPr>
              <w:t>年末财政拨款结转和结余</w:t>
            </w: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33</w:t>
            </w:r>
          </w:p>
        </w:tc>
        <w:tc>
          <w:tcPr>
            <w:tcW w:w="2739" w:type="dxa"/>
            <w:vAlign w:val="center"/>
          </w:tcPr>
          <w:p>
            <w:pPr>
              <w:pStyle w:val="16"/>
            </w:pPr>
            <w:r>
              <w:rPr>
                <w:rFonts w:hint="eastAsia"/>
              </w:rPr>
              <w:t>一、一般公共预算拨款</w:t>
            </w:r>
          </w:p>
        </w:tc>
        <w:tc>
          <w:tcPr>
            <w:tcW w:w="1100" w:type="dxa"/>
            <w:vAlign w:val="center"/>
          </w:tcPr>
          <w:p>
            <w:pPr>
              <w:pStyle w:val="15"/>
            </w:pPr>
          </w:p>
        </w:tc>
        <w:tc>
          <w:tcPr>
            <w:tcW w:w="2250" w:type="dxa"/>
            <w:vAlign w:val="center"/>
          </w:tcPr>
          <w:p>
            <w:pPr>
              <w:pStyle w:val="16"/>
            </w:pP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34</w:t>
            </w:r>
          </w:p>
        </w:tc>
        <w:tc>
          <w:tcPr>
            <w:tcW w:w="2739" w:type="dxa"/>
            <w:vAlign w:val="center"/>
          </w:tcPr>
          <w:p>
            <w:pPr>
              <w:pStyle w:val="16"/>
            </w:pPr>
            <w:r>
              <w:rPr>
                <w:rFonts w:hint="eastAsia"/>
              </w:rPr>
              <w:t>二、政府性基金预算拨款</w:t>
            </w:r>
          </w:p>
        </w:tc>
        <w:tc>
          <w:tcPr>
            <w:tcW w:w="1100" w:type="dxa"/>
            <w:vAlign w:val="center"/>
          </w:tcPr>
          <w:p>
            <w:pPr>
              <w:pStyle w:val="15"/>
            </w:pPr>
          </w:p>
        </w:tc>
        <w:tc>
          <w:tcPr>
            <w:tcW w:w="2250" w:type="dxa"/>
            <w:vAlign w:val="center"/>
          </w:tcPr>
          <w:p>
            <w:pPr>
              <w:pStyle w:val="16"/>
            </w:pP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35</w:t>
            </w:r>
          </w:p>
        </w:tc>
        <w:tc>
          <w:tcPr>
            <w:tcW w:w="2739" w:type="dxa"/>
            <w:vAlign w:val="center"/>
          </w:tcPr>
          <w:p>
            <w:pPr>
              <w:pStyle w:val="16"/>
            </w:pPr>
            <w:r>
              <w:rPr>
                <w:rFonts w:hint="eastAsia"/>
              </w:rPr>
              <w:t>三、国有资本经营预算拨款</w:t>
            </w:r>
          </w:p>
        </w:tc>
        <w:tc>
          <w:tcPr>
            <w:tcW w:w="1100" w:type="dxa"/>
            <w:vAlign w:val="center"/>
          </w:tcPr>
          <w:p>
            <w:pPr>
              <w:pStyle w:val="15"/>
            </w:pPr>
          </w:p>
        </w:tc>
        <w:tc>
          <w:tcPr>
            <w:tcW w:w="2250" w:type="dxa"/>
            <w:vAlign w:val="center"/>
          </w:tcPr>
          <w:p>
            <w:pPr>
              <w:pStyle w:val="16"/>
            </w:pPr>
          </w:p>
        </w:tc>
        <w:tc>
          <w:tcPr>
            <w:tcW w:w="1175" w:type="dxa"/>
            <w:vAlign w:val="center"/>
          </w:tcPr>
          <w:p>
            <w:pPr>
              <w:pStyle w:val="15"/>
            </w:pPr>
          </w:p>
        </w:tc>
        <w:tc>
          <w:tcPr>
            <w:tcW w:w="1362" w:type="dxa"/>
            <w:vAlign w:val="center"/>
          </w:tcPr>
          <w:p>
            <w:pPr>
              <w:pStyle w:val="15"/>
            </w:pPr>
          </w:p>
        </w:tc>
        <w:tc>
          <w:tcPr>
            <w:tcW w:w="1588" w:type="dxa"/>
            <w:vAlign w:val="center"/>
          </w:tcPr>
          <w:p>
            <w:pPr>
              <w:pStyle w:val="15"/>
            </w:pPr>
          </w:p>
        </w:tc>
        <w:tc>
          <w:tcPr>
            <w:tcW w:w="15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9" w:type="dxa"/>
            <w:vAlign w:val="center"/>
          </w:tcPr>
          <w:p>
            <w:pPr>
              <w:pStyle w:val="17"/>
            </w:pPr>
            <w:r>
              <w:t>36</w:t>
            </w:r>
          </w:p>
        </w:tc>
        <w:tc>
          <w:tcPr>
            <w:tcW w:w="2739" w:type="dxa"/>
            <w:vAlign w:val="center"/>
          </w:tcPr>
          <w:p>
            <w:pPr>
              <w:pStyle w:val="18"/>
            </w:pPr>
            <w:r>
              <w:rPr>
                <w:rFonts w:hint="eastAsia"/>
              </w:rPr>
              <w:t>收入总计</w:t>
            </w:r>
          </w:p>
        </w:tc>
        <w:tc>
          <w:tcPr>
            <w:tcW w:w="1100" w:type="dxa"/>
            <w:vAlign w:val="center"/>
          </w:tcPr>
          <w:p>
            <w:pPr>
              <w:pStyle w:val="19"/>
            </w:pPr>
            <w:r>
              <w:t>3624.11</w:t>
            </w:r>
          </w:p>
        </w:tc>
        <w:tc>
          <w:tcPr>
            <w:tcW w:w="2250" w:type="dxa"/>
            <w:vAlign w:val="center"/>
          </w:tcPr>
          <w:p>
            <w:pPr>
              <w:pStyle w:val="18"/>
            </w:pPr>
            <w:r>
              <w:rPr>
                <w:rFonts w:hint="eastAsia"/>
              </w:rPr>
              <w:t>支出总计</w:t>
            </w:r>
          </w:p>
        </w:tc>
        <w:tc>
          <w:tcPr>
            <w:tcW w:w="1175" w:type="dxa"/>
            <w:vAlign w:val="center"/>
          </w:tcPr>
          <w:p>
            <w:pPr>
              <w:pStyle w:val="19"/>
            </w:pPr>
            <w:r>
              <w:t>3624.11</w:t>
            </w:r>
          </w:p>
        </w:tc>
        <w:tc>
          <w:tcPr>
            <w:tcW w:w="1362" w:type="dxa"/>
            <w:vAlign w:val="center"/>
          </w:tcPr>
          <w:p>
            <w:pPr>
              <w:pStyle w:val="19"/>
            </w:pPr>
            <w:r>
              <w:t>3624.11</w:t>
            </w:r>
          </w:p>
        </w:tc>
        <w:tc>
          <w:tcPr>
            <w:tcW w:w="1588" w:type="dxa"/>
            <w:vAlign w:val="center"/>
          </w:tcPr>
          <w:p>
            <w:pPr>
              <w:pStyle w:val="19"/>
            </w:pPr>
          </w:p>
        </w:tc>
        <w:tc>
          <w:tcPr>
            <w:tcW w:w="152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3"/>
        <w:gridCol w:w="1525"/>
        <w:gridCol w:w="4491"/>
        <w:gridCol w:w="1884"/>
        <w:gridCol w:w="1775"/>
        <w:gridCol w:w="2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69"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w:t>
            </w:r>
          </w:p>
        </w:tc>
        <w:tc>
          <w:tcPr>
            <w:tcW w:w="1884" w:type="dxa"/>
            <w:tcBorders>
              <w:top w:val="single" w:color="FFFFFF" w:sz="6" w:space="0"/>
              <w:left w:val="single" w:color="FFFFFF" w:sz="6" w:space="0"/>
              <w:right w:val="single" w:color="FFFFFF" w:sz="6" w:space="0"/>
            </w:tcBorders>
            <w:vAlign w:val="center"/>
          </w:tcPr>
          <w:p>
            <w:pPr>
              <w:pStyle w:val="12"/>
            </w:pPr>
            <w:r>
              <w:rPr>
                <w:rFonts w:hint="eastAsia"/>
              </w:rPr>
              <w:t>预算年度</w:t>
            </w:r>
            <w:r>
              <w:rPr>
                <w:lang w:eastAsia="zh-CN"/>
              </w:rPr>
              <w:t>:</w:t>
            </w:r>
            <w:r>
              <w:t>2022</w:t>
            </w:r>
          </w:p>
        </w:tc>
        <w:tc>
          <w:tcPr>
            <w:tcW w:w="3790"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Merge w:val="restart"/>
            <w:vAlign w:val="center"/>
          </w:tcPr>
          <w:p>
            <w:pPr>
              <w:pStyle w:val="14"/>
            </w:pPr>
            <w:r>
              <w:rPr>
                <w:rFonts w:hint="eastAsia"/>
              </w:rPr>
              <w:t>序号</w:t>
            </w:r>
          </w:p>
        </w:tc>
        <w:tc>
          <w:tcPr>
            <w:tcW w:w="6016" w:type="dxa"/>
            <w:gridSpan w:val="2"/>
            <w:vAlign w:val="center"/>
          </w:tcPr>
          <w:p>
            <w:pPr>
              <w:pStyle w:val="14"/>
            </w:pPr>
            <w:r>
              <w:rPr>
                <w:rFonts w:hint="eastAsia"/>
              </w:rPr>
              <w:t>功能分类科目</w:t>
            </w:r>
          </w:p>
        </w:tc>
        <w:tc>
          <w:tcPr>
            <w:tcW w:w="1884" w:type="dxa"/>
            <w:vMerge w:val="restart"/>
            <w:vAlign w:val="center"/>
          </w:tcPr>
          <w:p>
            <w:pPr>
              <w:pStyle w:val="14"/>
            </w:pPr>
            <w:r>
              <w:rPr>
                <w:rFonts w:hint="eastAsia"/>
              </w:rPr>
              <w:t>合计</w:t>
            </w:r>
          </w:p>
        </w:tc>
        <w:tc>
          <w:tcPr>
            <w:tcW w:w="1775" w:type="dxa"/>
            <w:vMerge w:val="restart"/>
            <w:vAlign w:val="center"/>
          </w:tcPr>
          <w:p>
            <w:pPr>
              <w:pStyle w:val="14"/>
            </w:pPr>
            <w:r>
              <w:rPr>
                <w:rFonts w:hint="eastAsia"/>
              </w:rPr>
              <w:t>基本支出</w:t>
            </w:r>
          </w:p>
        </w:tc>
        <w:tc>
          <w:tcPr>
            <w:tcW w:w="2015"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Merge w:val="continue"/>
          </w:tcPr>
          <w:p/>
        </w:tc>
        <w:tc>
          <w:tcPr>
            <w:tcW w:w="1525" w:type="dxa"/>
            <w:vAlign w:val="center"/>
          </w:tcPr>
          <w:p>
            <w:pPr>
              <w:pStyle w:val="14"/>
            </w:pPr>
            <w:r>
              <w:rPr>
                <w:rFonts w:hint="eastAsia"/>
              </w:rPr>
              <w:t>科目编码</w:t>
            </w:r>
          </w:p>
        </w:tc>
        <w:tc>
          <w:tcPr>
            <w:tcW w:w="4491" w:type="dxa"/>
            <w:vAlign w:val="center"/>
          </w:tcPr>
          <w:p>
            <w:pPr>
              <w:pStyle w:val="14"/>
            </w:pPr>
            <w:r>
              <w:rPr>
                <w:rFonts w:hint="eastAsia"/>
              </w:rPr>
              <w:t>科目名称</w:t>
            </w:r>
          </w:p>
        </w:tc>
        <w:tc>
          <w:tcPr>
            <w:tcW w:w="1884" w:type="dxa"/>
            <w:vMerge w:val="continue"/>
          </w:tcPr>
          <w:p/>
        </w:tc>
        <w:tc>
          <w:tcPr>
            <w:tcW w:w="1775" w:type="dxa"/>
            <w:vMerge w:val="continue"/>
          </w:tcPr>
          <w:p/>
        </w:tc>
        <w:tc>
          <w:tcPr>
            <w:tcW w:w="201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53" w:type="dxa"/>
            <w:vAlign w:val="center"/>
          </w:tcPr>
          <w:p>
            <w:pPr>
              <w:pStyle w:val="14"/>
            </w:pPr>
            <w:r>
              <w:rPr>
                <w:rFonts w:hint="eastAsia"/>
              </w:rPr>
              <w:t>栏次</w:t>
            </w:r>
          </w:p>
        </w:tc>
        <w:tc>
          <w:tcPr>
            <w:tcW w:w="1525" w:type="dxa"/>
            <w:vAlign w:val="center"/>
          </w:tcPr>
          <w:p>
            <w:pPr>
              <w:pStyle w:val="14"/>
            </w:pPr>
            <w:r>
              <w:t>1</w:t>
            </w:r>
          </w:p>
        </w:tc>
        <w:tc>
          <w:tcPr>
            <w:tcW w:w="4491" w:type="dxa"/>
            <w:vAlign w:val="center"/>
          </w:tcPr>
          <w:p>
            <w:pPr>
              <w:pStyle w:val="14"/>
            </w:pPr>
            <w:r>
              <w:t>2</w:t>
            </w:r>
          </w:p>
        </w:tc>
        <w:tc>
          <w:tcPr>
            <w:tcW w:w="1884" w:type="dxa"/>
            <w:vAlign w:val="center"/>
          </w:tcPr>
          <w:p>
            <w:pPr>
              <w:pStyle w:val="14"/>
            </w:pPr>
            <w:r>
              <w:t>3</w:t>
            </w:r>
          </w:p>
        </w:tc>
        <w:tc>
          <w:tcPr>
            <w:tcW w:w="1775" w:type="dxa"/>
            <w:vAlign w:val="center"/>
          </w:tcPr>
          <w:p>
            <w:pPr>
              <w:pStyle w:val="14"/>
            </w:pPr>
            <w:r>
              <w:t>4</w:t>
            </w:r>
          </w:p>
        </w:tc>
        <w:tc>
          <w:tcPr>
            <w:tcW w:w="2015"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w:t>
            </w:r>
          </w:p>
        </w:tc>
        <w:tc>
          <w:tcPr>
            <w:tcW w:w="1525" w:type="dxa"/>
            <w:vAlign w:val="center"/>
          </w:tcPr>
          <w:p>
            <w:pPr>
              <w:pStyle w:val="20"/>
            </w:pPr>
          </w:p>
        </w:tc>
        <w:tc>
          <w:tcPr>
            <w:tcW w:w="4491" w:type="dxa"/>
            <w:vAlign w:val="center"/>
          </w:tcPr>
          <w:p>
            <w:pPr>
              <w:pStyle w:val="18"/>
            </w:pPr>
            <w:r>
              <w:rPr>
                <w:rFonts w:hint="eastAsia"/>
              </w:rPr>
              <w:t>合计</w:t>
            </w:r>
          </w:p>
        </w:tc>
        <w:tc>
          <w:tcPr>
            <w:tcW w:w="1884" w:type="dxa"/>
            <w:vAlign w:val="center"/>
          </w:tcPr>
          <w:p>
            <w:pPr>
              <w:pStyle w:val="19"/>
            </w:pPr>
            <w:r>
              <w:t>3624.11</w:t>
            </w:r>
          </w:p>
        </w:tc>
        <w:tc>
          <w:tcPr>
            <w:tcW w:w="1775" w:type="dxa"/>
            <w:vAlign w:val="center"/>
          </w:tcPr>
          <w:p>
            <w:pPr>
              <w:pStyle w:val="19"/>
            </w:pPr>
            <w:r>
              <w:t>3574.30</w:t>
            </w:r>
          </w:p>
        </w:tc>
        <w:tc>
          <w:tcPr>
            <w:tcW w:w="2015" w:type="dxa"/>
            <w:vAlign w:val="center"/>
          </w:tcPr>
          <w:p>
            <w:pPr>
              <w:pStyle w:val="19"/>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2</w:t>
            </w:r>
          </w:p>
        </w:tc>
        <w:tc>
          <w:tcPr>
            <w:tcW w:w="1525" w:type="dxa"/>
            <w:vAlign w:val="center"/>
          </w:tcPr>
          <w:p>
            <w:pPr>
              <w:pStyle w:val="16"/>
            </w:pPr>
            <w:r>
              <w:t>208</w:t>
            </w:r>
          </w:p>
        </w:tc>
        <w:tc>
          <w:tcPr>
            <w:tcW w:w="4491" w:type="dxa"/>
            <w:vAlign w:val="center"/>
          </w:tcPr>
          <w:p>
            <w:pPr>
              <w:pStyle w:val="16"/>
            </w:pPr>
            <w:r>
              <w:rPr>
                <w:rFonts w:hint="eastAsia"/>
              </w:rPr>
              <w:t>社会保障和就业支出</w:t>
            </w:r>
          </w:p>
        </w:tc>
        <w:tc>
          <w:tcPr>
            <w:tcW w:w="1884" w:type="dxa"/>
            <w:vAlign w:val="center"/>
          </w:tcPr>
          <w:p>
            <w:pPr>
              <w:pStyle w:val="15"/>
            </w:pPr>
            <w:r>
              <w:t>3615.11</w:t>
            </w:r>
          </w:p>
        </w:tc>
        <w:tc>
          <w:tcPr>
            <w:tcW w:w="1775" w:type="dxa"/>
            <w:vAlign w:val="center"/>
          </w:tcPr>
          <w:p>
            <w:pPr>
              <w:pStyle w:val="15"/>
            </w:pPr>
            <w:r>
              <w:t>3565.30</w:t>
            </w:r>
          </w:p>
        </w:tc>
        <w:tc>
          <w:tcPr>
            <w:tcW w:w="2015" w:type="dxa"/>
            <w:vAlign w:val="center"/>
          </w:tcPr>
          <w:p>
            <w:pPr>
              <w:pStyle w:val="15"/>
            </w:pPr>
            <w:r>
              <w:t>49.81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3</w:t>
            </w:r>
          </w:p>
        </w:tc>
        <w:tc>
          <w:tcPr>
            <w:tcW w:w="1525" w:type="dxa"/>
            <w:vAlign w:val="center"/>
          </w:tcPr>
          <w:p>
            <w:pPr>
              <w:pStyle w:val="16"/>
            </w:pPr>
            <w:r>
              <w:t>20801</w:t>
            </w:r>
          </w:p>
        </w:tc>
        <w:tc>
          <w:tcPr>
            <w:tcW w:w="4491" w:type="dxa"/>
            <w:vAlign w:val="center"/>
          </w:tcPr>
          <w:p>
            <w:pPr>
              <w:pStyle w:val="16"/>
            </w:pPr>
            <w:r>
              <w:rPr>
                <w:rFonts w:hint="eastAsia"/>
              </w:rPr>
              <w:t>人力资源和社会保障管理事务</w:t>
            </w:r>
          </w:p>
        </w:tc>
        <w:tc>
          <w:tcPr>
            <w:tcW w:w="1884" w:type="dxa"/>
            <w:vAlign w:val="center"/>
          </w:tcPr>
          <w:p>
            <w:pPr>
              <w:pStyle w:val="15"/>
            </w:pPr>
            <w:r>
              <w:t>255.05</w:t>
            </w:r>
          </w:p>
        </w:tc>
        <w:tc>
          <w:tcPr>
            <w:tcW w:w="1775" w:type="dxa"/>
            <w:vAlign w:val="center"/>
          </w:tcPr>
          <w:p>
            <w:pPr>
              <w:pStyle w:val="15"/>
            </w:pPr>
            <w:r>
              <w:t>234.55</w:t>
            </w:r>
          </w:p>
        </w:tc>
        <w:tc>
          <w:tcPr>
            <w:tcW w:w="2015" w:type="dxa"/>
            <w:vAlign w:val="center"/>
          </w:tcPr>
          <w:p>
            <w:pPr>
              <w:pStyle w:val="15"/>
            </w:pPr>
            <w:r>
              <w:t>20.50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4</w:t>
            </w:r>
          </w:p>
        </w:tc>
        <w:tc>
          <w:tcPr>
            <w:tcW w:w="1525" w:type="dxa"/>
            <w:vAlign w:val="center"/>
          </w:tcPr>
          <w:p>
            <w:pPr>
              <w:pStyle w:val="16"/>
            </w:pPr>
            <w:r>
              <w:t>2080107</w:t>
            </w:r>
          </w:p>
        </w:tc>
        <w:tc>
          <w:tcPr>
            <w:tcW w:w="4491" w:type="dxa"/>
            <w:vAlign w:val="center"/>
          </w:tcPr>
          <w:p>
            <w:pPr>
              <w:pStyle w:val="16"/>
            </w:pPr>
            <w:r>
              <w:rPr>
                <w:rFonts w:hint="eastAsia"/>
              </w:rPr>
              <w:t>社会保险业务管理事务</w:t>
            </w:r>
          </w:p>
        </w:tc>
        <w:tc>
          <w:tcPr>
            <w:tcW w:w="1884" w:type="dxa"/>
            <w:vAlign w:val="center"/>
          </w:tcPr>
          <w:p>
            <w:pPr>
              <w:pStyle w:val="15"/>
            </w:pPr>
            <w:r>
              <w:t>10.50</w:t>
            </w:r>
          </w:p>
        </w:tc>
        <w:tc>
          <w:tcPr>
            <w:tcW w:w="1775" w:type="dxa"/>
            <w:vAlign w:val="center"/>
          </w:tcPr>
          <w:p>
            <w:pPr>
              <w:pStyle w:val="15"/>
            </w:pPr>
          </w:p>
        </w:tc>
        <w:tc>
          <w:tcPr>
            <w:tcW w:w="2015" w:type="dxa"/>
            <w:vAlign w:val="center"/>
          </w:tcPr>
          <w:p>
            <w:pPr>
              <w:pStyle w:val="15"/>
            </w:pPr>
            <w:r>
              <w:t>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5</w:t>
            </w:r>
          </w:p>
        </w:tc>
        <w:tc>
          <w:tcPr>
            <w:tcW w:w="1525" w:type="dxa"/>
            <w:vAlign w:val="center"/>
          </w:tcPr>
          <w:p>
            <w:pPr>
              <w:pStyle w:val="16"/>
            </w:pPr>
            <w:r>
              <w:t>2080109</w:t>
            </w:r>
          </w:p>
        </w:tc>
        <w:tc>
          <w:tcPr>
            <w:tcW w:w="4491" w:type="dxa"/>
            <w:vAlign w:val="center"/>
          </w:tcPr>
          <w:p>
            <w:pPr>
              <w:pStyle w:val="16"/>
            </w:pPr>
            <w:r>
              <w:rPr>
                <w:rFonts w:hint="eastAsia"/>
              </w:rPr>
              <w:t>社会保险经办机构</w:t>
            </w:r>
          </w:p>
        </w:tc>
        <w:tc>
          <w:tcPr>
            <w:tcW w:w="1884" w:type="dxa"/>
            <w:vAlign w:val="center"/>
          </w:tcPr>
          <w:p>
            <w:pPr>
              <w:pStyle w:val="15"/>
            </w:pPr>
            <w:r>
              <w:t>244.55</w:t>
            </w:r>
          </w:p>
        </w:tc>
        <w:tc>
          <w:tcPr>
            <w:tcW w:w="1775" w:type="dxa"/>
            <w:vAlign w:val="center"/>
          </w:tcPr>
          <w:p>
            <w:pPr>
              <w:pStyle w:val="15"/>
            </w:pPr>
            <w:r>
              <w:t>234.55</w:t>
            </w:r>
          </w:p>
        </w:tc>
        <w:tc>
          <w:tcPr>
            <w:tcW w:w="2015"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6</w:t>
            </w:r>
          </w:p>
        </w:tc>
        <w:tc>
          <w:tcPr>
            <w:tcW w:w="1525" w:type="dxa"/>
            <w:vAlign w:val="center"/>
          </w:tcPr>
          <w:p>
            <w:pPr>
              <w:pStyle w:val="16"/>
            </w:pPr>
            <w:r>
              <w:t>20805</w:t>
            </w:r>
          </w:p>
        </w:tc>
        <w:tc>
          <w:tcPr>
            <w:tcW w:w="4491" w:type="dxa"/>
            <w:vAlign w:val="center"/>
          </w:tcPr>
          <w:p>
            <w:pPr>
              <w:pStyle w:val="16"/>
            </w:pPr>
            <w:r>
              <w:rPr>
                <w:rFonts w:hint="eastAsia"/>
              </w:rPr>
              <w:t>行政事业单位养老支出</w:t>
            </w:r>
          </w:p>
        </w:tc>
        <w:tc>
          <w:tcPr>
            <w:tcW w:w="1884" w:type="dxa"/>
            <w:vAlign w:val="center"/>
          </w:tcPr>
          <w:p>
            <w:pPr>
              <w:pStyle w:val="15"/>
            </w:pPr>
            <w:r>
              <w:t>3330.75</w:t>
            </w:r>
          </w:p>
        </w:tc>
        <w:tc>
          <w:tcPr>
            <w:tcW w:w="1775" w:type="dxa"/>
            <w:vAlign w:val="center"/>
          </w:tcPr>
          <w:p>
            <w:pPr>
              <w:pStyle w:val="15"/>
            </w:pPr>
            <w:r>
              <w:t>3330.75</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7</w:t>
            </w:r>
          </w:p>
        </w:tc>
        <w:tc>
          <w:tcPr>
            <w:tcW w:w="1525" w:type="dxa"/>
            <w:vAlign w:val="center"/>
          </w:tcPr>
          <w:p>
            <w:pPr>
              <w:pStyle w:val="16"/>
            </w:pPr>
            <w:r>
              <w:t>2080502</w:t>
            </w:r>
          </w:p>
        </w:tc>
        <w:tc>
          <w:tcPr>
            <w:tcW w:w="4491" w:type="dxa"/>
            <w:vAlign w:val="center"/>
          </w:tcPr>
          <w:p>
            <w:pPr>
              <w:pStyle w:val="16"/>
            </w:pPr>
            <w:r>
              <w:rPr>
                <w:rFonts w:hint="eastAsia"/>
              </w:rPr>
              <w:t>事业单位离退休</w:t>
            </w:r>
          </w:p>
        </w:tc>
        <w:tc>
          <w:tcPr>
            <w:tcW w:w="1884" w:type="dxa"/>
            <w:vAlign w:val="center"/>
          </w:tcPr>
          <w:p>
            <w:pPr>
              <w:pStyle w:val="15"/>
            </w:pPr>
            <w:r>
              <w:t>3297.70</w:t>
            </w:r>
          </w:p>
        </w:tc>
        <w:tc>
          <w:tcPr>
            <w:tcW w:w="1775" w:type="dxa"/>
            <w:vAlign w:val="center"/>
          </w:tcPr>
          <w:p>
            <w:pPr>
              <w:pStyle w:val="15"/>
            </w:pPr>
            <w:r>
              <w:t>3297.70</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8</w:t>
            </w:r>
          </w:p>
        </w:tc>
        <w:tc>
          <w:tcPr>
            <w:tcW w:w="1525" w:type="dxa"/>
            <w:vAlign w:val="center"/>
          </w:tcPr>
          <w:p>
            <w:pPr>
              <w:pStyle w:val="16"/>
            </w:pPr>
            <w:r>
              <w:t>2080505</w:t>
            </w:r>
          </w:p>
        </w:tc>
        <w:tc>
          <w:tcPr>
            <w:tcW w:w="4491" w:type="dxa"/>
            <w:vAlign w:val="center"/>
          </w:tcPr>
          <w:p>
            <w:pPr>
              <w:pStyle w:val="16"/>
            </w:pPr>
            <w:r>
              <w:rPr>
                <w:rFonts w:hint="eastAsia"/>
              </w:rPr>
              <w:t>机关事业单位基本养老保险缴费支出</w:t>
            </w:r>
          </w:p>
        </w:tc>
        <w:tc>
          <w:tcPr>
            <w:tcW w:w="1884" w:type="dxa"/>
            <w:vAlign w:val="center"/>
          </w:tcPr>
          <w:p>
            <w:pPr>
              <w:pStyle w:val="15"/>
            </w:pPr>
            <w:r>
              <w:t>21.80</w:t>
            </w:r>
          </w:p>
        </w:tc>
        <w:tc>
          <w:tcPr>
            <w:tcW w:w="1775" w:type="dxa"/>
            <w:vAlign w:val="center"/>
          </w:tcPr>
          <w:p>
            <w:pPr>
              <w:pStyle w:val="15"/>
            </w:pPr>
            <w:r>
              <w:t>21.80</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9</w:t>
            </w:r>
          </w:p>
        </w:tc>
        <w:tc>
          <w:tcPr>
            <w:tcW w:w="1525" w:type="dxa"/>
            <w:vAlign w:val="center"/>
          </w:tcPr>
          <w:p>
            <w:pPr>
              <w:pStyle w:val="16"/>
            </w:pPr>
            <w:r>
              <w:t>2080506</w:t>
            </w:r>
          </w:p>
        </w:tc>
        <w:tc>
          <w:tcPr>
            <w:tcW w:w="4491" w:type="dxa"/>
            <w:vAlign w:val="center"/>
          </w:tcPr>
          <w:p>
            <w:pPr>
              <w:pStyle w:val="16"/>
            </w:pPr>
            <w:r>
              <w:rPr>
                <w:rFonts w:hint="eastAsia"/>
              </w:rPr>
              <w:t>机关事业单位职业年金缴费支出</w:t>
            </w:r>
          </w:p>
        </w:tc>
        <w:tc>
          <w:tcPr>
            <w:tcW w:w="1884" w:type="dxa"/>
            <w:vAlign w:val="center"/>
          </w:tcPr>
          <w:p>
            <w:pPr>
              <w:pStyle w:val="15"/>
            </w:pPr>
            <w:r>
              <w:t>11.25</w:t>
            </w:r>
          </w:p>
        </w:tc>
        <w:tc>
          <w:tcPr>
            <w:tcW w:w="1775" w:type="dxa"/>
            <w:vAlign w:val="center"/>
          </w:tcPr>
          <w:p>
            <w:pPr>
              <w:pStyle w:val="15"/>
            </w:pPr>
            <w:r>
              <w:t>11.25</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10</w:t>
            </w:r>
          </w:p>
        </w:tc>
        <w:tc>
          <w:tcPr>
            <w:tcW w:w="1525" w:type="dxa"/>
            <w:vAlign w:val="center"/>
          </w:tcPr>
          <w:p>
            <w:pPr>
              <w:pStyle w:val="16"/>
            </w:pPr>
            <w:r>
              <w:t>20899</w:t>
            </w:r>
          </w:p>
        </w:tc>
        <w:tc>
          <w:tcPr>
            <w:tcW w:w="4491" w:type="dxa"/>
            <w:vAlign w:val="center"/>
          </w:tcPr>
          <w:p>
            <w:pPr>
              <w:pStyle w:val="16"/>
            </w:pPr>
            <w:r>
              <w:rPr>
                <w:rFonts w:hint="eastAsia"/>
              </w:rPr>
              <w:t>其他社会保障和就业支出</w:t>
            </w:r>
          </w:p>
        </w:tc>
        <w:tc>
          <w:tcPr>
            <w:tcW w:w="1884" w:type="dxa"/>
            <w:vAlign w:val="center"/>
          </w:tcPr>
          <w:p>
            <w:pPr>
              <w:pStyle w:val="15"/>
            </w:pPr>
            <w:r>
              <w:t>29.31</w:t>
            </w:r>
          </w:p>
        </w:tc>
        <w:tc>
          <w:tcPr>
            <w:tcW w:w="1775" w:type="dxa"/>
            <w:vAlign w:val="center"/>
          </w:tcPr>
          <w:p>
            <w:pPr>
              <w:pStyle w:val="15"/>
            </w:pPr>
          </w:p>
        </w:tc>
        <w:tc>
          <w:tcPr>
            <w:tcW w:w="2015" w:type="dxa"/>
            <w:vAlign w:val="center"/>
          </w:tcPr>
          <w:p>
            <w:pPr>
              <w:pStyle w:val="15"/>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11</w:t>
            </w:r>
          </w:p>
        </w:tc>
        <w:tc>
          <w:tcPr>
            <w:tcW w:w="1525" w:type="dxa"/>
            <w:vAlign w:val="center"/>
          </w:tcPr>
          <w:p>
            <w:pPr>
              <w:pStyle w:val="16"/>
            </w:pPr>
            <w:r>
              <w:t>2089999</w:t>
            </w:r>
          </w:p>
        </w:tc>
        <w:tc>
          <w:tcPr>
            <w:tcW w:w="4491" w:type="dxa"/>
            <w:vAlign w:val="center"/>
          </w:tcPr>
          <w:p>
            <w:pPr>
              <w:pStyle w:val="16"/>
            </w:pPr>
            <w:r>
              <w:rPr>
                <w:rFonts w:hint="eastAsia"/>
              </w:rPr>
              <w:t>其他社会保障和就业支出</w:t>
            </w:r>
          </w:p>
        </w:tc>
        <w:tc>
          <w:tcPr>
            <w:tcW w:w="1884" w:type="dxa"/>
            <w:vAlign w:val="center"/>
          </w:tcPr>
          <w:p>
            <w:pPr>
              <w:pStyle w:val="15"/>
            </w:pPr>
            <w:r>
              <w:t>29.31</w:t>
            </w:r>
          </w:p>
        </w:tc>
        <w:tc>
          <w:tcPr>
            <w:tcW w:w="1775" w:type="dxa"/>
            <w:vAlign w:val="center"/>
          </w:tcPr>
          <w:p>
            <w:pPr>
              <w:pStyle w:val="15"/>
            </w:pPr>
          </w:p>
        </w:tc>
        <w:tc>
          <w:tcPr>
            <w:tcW w:w="2015" w:type="dxa"/>
            <w:vAlign w:val="center"/>
          </w:tcPr>
          <w:p>
            <w:pPr>
              <w:pStyle w:val="15"/>
            </w:pPr>
            <w:r>
              <w:t>29.31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12</w:t>
            </w:r>
          </w:p>
        </w:tc>
        <w:tc>
          <w:tcPr>
            <w:tcW w:w="1525" w:type="dxa"/>
            <w:vAlign w:val="center"/>
          </w:tcPr>
          <w:p>
            <w:pPr>
              <w:pStyle w:val="16"/>
            </w:pPr>
            <w:r>
              <w:t>221</w:t>
            </w:r>
          </w:p>
        </w:tc>
        <w:tc>
          <w:tcPr>
            <w:tcW w:w="4491" w:type="dxa"/>
            <w:vAlign w:val="center"/>
          </w:tcPr>
          <w:p>
            <w:pPr>
              <w:pStyle w:val="16"/>
            </w:pPr>
            <w:r>
              <w:rPr>
                <w:rFonts w:hint="eastAsia"/>
              </w:rPr>
              <w:t>住房保障支出</w:t>
            </w:r>
          </w:p>
        </w:tc>
        <w:tc>
          <w:tcPr>
            <w:tcW w:w="1884" w:type="dxa"/>
            <w:vAlign w:val="center"/>
          </w:tcPr>
          <w:p>
            <w:pPr>
              <w:pStyle w:val="15"/>
            </w:pPr>
            <w:r>
              <w:t>9.00</w:t>
            </w:r>
          </w:p>
        </w:tc>
        <w:tc>
          <w:tcPr>
            <w:tcW w:w="1775" w:type="dxa"/>
            <w:vAlign w:val="center"/>
          </w:tcPr>
          <w:p>
            <w:pPr>
              <w:pStyle w:val="15"/>
            </w:pPr>
            <w:r>
              <w:t>9.00</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13</w:t>
            </w:r>
          </w:p>
        </w:tc>
        <w:tc>
          <w:tcPr>
            <w:tcW w:w="1525" w:type="dxa"/>
            <w:vAlign w:val="center"/>
          </w:tcPr>
          <w:p>
            <w:pPr>
              <w:pStyle w:val="16"/>
            </w:pPr>
            <w:r>
              <w:t>22102</w:t>
            </w:r>
          </w:p>
        </w:tc>
        <w:tc>
          <w:tcPr>
            <w:tcW w:w="4491" w:type="dxa"/>
            <w:vAlign w:val="center"/>
          </w:tcPr>
          <w:p>
            <w:pPr>
              <w:pStyle w:val="16"/>
            </w:pPr>
            <w:r>
              <w:rPr>
                <w:rFonts w:hint="eastAsia"/>
              </w:rPr>
              <w:t>住房改革支出</w:t>
            </w:r>
          </w:p>
        </w:tc>
        <w:tc>
          <w:tcPr>
            <w:tcW w:w="1884" w:type="dxa"/>
            <w:vAlign w:val="center"/>
          </w:tcPr>
          <w:p>
            <w:pPr>
              <w:pStyle w:val="15"/>
            </w:pPr>
            <w:r>
              <w:t>9.00</w:t>
            </w:r>
          </w:p>
        </w:tc>
        <w:tc>
          <w:tcPr>
            <w:tcW w:w="1775" w:type="dxa"/>
            <w:vAlign w:val="center"/>
          </w:tcPr>
          <w:p>
            <w:pPr>
              <w:pStyle w:val="15"/>
            </w:pPr>
            <w:r>
              <w:t>9.00</w:t>
            </w:r>
          </w:p>
        </w:tc>
        <w:tc>
          <w:tcPr>
            <w:tcW w:w="201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53" w:type="dxa"/>
            <w:vAlign w:val="center"/>
          </w:tcPr>
          <w:p>
            <w:pPr>
              <w:pStyle w:val="17"/>
            </w:pPr>
            <w:r>
              <w:t>14</w:t>
            </w:r>
          </w:p>
        </w:tc>
        <w:tc>
          <w:tcPr>
            <w:tcW w:w="1525" w:type="dxa"/>
            <w:vAlign w:val="center"/>
          </w:tcPr>
          <w:p>
            <w:pPr>
              <w:pStyle w:val="16"/>
            </w:pPr>
            <w:r>
              <w:t>2210201</w:t>
            </w:r>
          </w:p>
        </w:tc>
        <w:tc>
          <w:tcPr>
            <w:tcW w:w="4491" w:type="dxa"/>
            <w:vAlign w:val="center"/>
          </w:tcPr>
          <w:p>
            <w:pPr>
              <w:pStyle w:val="16"/>
            </w:pPr>
            <w:r>
              <w:rPr>
                <w:rFonts w:hint="eastAsia"/>
              </w:rPr>
              <w:t>住房公积金</w:t>
            </w:r>
          </w:p>
        </w:tc>
        <w:tc>
          <w:tcPr>
            <w:tcW w:w="1884" w:type="dxa"/>
            <w:vAlign w:val="center"/>
          </w:tcPr>
          <w:p>
            <w:pPr>
              <w:pStyle w:val="15"/>
            </w:pPr>
            <w:r>
              <w:t>9.00</w:t>
            </w:r>
          </w:p>
        </w:tc>
        <w:tc>
          <w:tcPr>
            <w:tcW w:w="1775" w:type="dxa"/>
            <w:vAlign w:val="center"/>
          </w:tcPr>
          <w:p>
            <w:pPr>
              <w:pStyle w:val="15"/>
            </w:pPr>
            <w:r>
              <w:t>9.00</w:t>
            </w:r>
          </w:p>
        </w:tc>
        <w:tc>
          <w:tcPr>
            <w:tcW w:w="201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7"/>
        <w:gridCol w:w="2263"/>
        <w:gridCol w:w="2662"/>
        <w:gridCol w:w="1588"/>
        <w:gridCol w:w="1650"/>
        <w:gridCol w:w="1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12"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1588" w:type="dxa"/>
            <w:tcBorders>
              <w:top w:val="single" w:color="FFFFFF" w:sz="6" w:space="0"/>
              <w:left w:val="single" w:color="FFFFFF" w:sz="6" w:space="0"/>
              <w:right w:val="single" w:color="FFFFFF" w:sz="6" w:space="0"/>
            </w:tcBorders>
            <w:vAlign w:val="center"/>
          </w:tcPr>
          <w:p>
            <w:pPr>
              <w:pStyle w:val="12"/>
            </w:pPr>
            <w:r>
              <w:rPr>
                <w:rFonts w:hint="eastAsia"/>
              </w:rPr>
              <w:t>预算年</w:t>
            </w:r>
            <w:r>
              <w:rPr>
                <w:lang w:eastAsia="zh-CN"/>
              </w:rPr>
              <w:t>:</w:t>
            </w:r>
            <w:r>
              <w:t>2022</w:t>
            </w:r>
          </w:p>
        </w:tc>
        <w:tc>
          <w:tcPr>
            <w:tcW w:w="3284"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restart"/>
            <w:vAlign w:val="center"/>
          </w:tcPr>
          <w:p>
            <w:pPr>
              <w:pStyle w:val="14"/>
            </w:pPr>
            <w:r>
              <w:rPr>
                <w:rFonts w:hint="eastAsia"/>
              </w:rPr>
              <w:t>序号</w:t>
            </w:r>
          </w:p>
        </w:tc>
        <w:tc>
          <w:tcPr>
            <w:tcW w:w="4925" w:type="dxa"/>
            <w:gridSpan w:val="2"/>
            <w:vAlign w:val="center"/>
          </w:tcPr>
          <w:p>
            <w:pPr>
              <w:pStyle w:val="14"/>
            </w:pPr>
            <w:r>
              <w:rPr>
                <w:rFonts w:hint="eastAsia"/>
              </w:rPr>
              <w:t>支出部门经济分类科目</w:t>
            </w:r>
          </w:p>
        </w:tc>
        <w:tc>
          <w:tcPr>
            <w:tcW w:w="4872"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Merge w:val="continue"/>
          </w:tcPr>
          <w:p/>
        </w:tc>
        <w:tc>
          <w:tcPr>
            <w:tcW w:w="2263" w:type="dxa"/>
            <w:vAlign w:val="center"/>
          </w:tcPr>
          <w:p>
            <w:pPr>
              <w:pStyle w:val="14"/>
            </w:pPr>
            <w:r>
              <w:rPr>
                <w:rFonts w:hint="eastAsia"/>
              </w:rPr>
              <w:t>科目编码</w:t>
            </w:r>
          </w:p>
        </w:tc>
        <w:tc>
          <w:tcPr>
            <w:tcW w:w="2662" w:type="dxa"/>
            <w:vAlign w:val="center"/>
          </w:tcPr>
          <w:p>
            <w:pPr>
              <w:pStyle w:val="14"/>
            </w:pPr>
            <w:r>
              <w:rPr>
                <w:rFonts w:hint="eastAsia"/>
              </w:rPr>
              <w:t>科目名称</w:t>
            </w:r>
          </w:p>
        </w:tc>
        <w:tc>
          <w:tcPr>
            <w:tcW w:w="1588" w:type="dxa"/>
            <w:vAlign w:val="center"/>
          </w:tcPr>
          <w:p>
            <w:pPr>
              <w:pStyle w:val="14"/>
            </w:pPr>
            <w:r>
              <w:rPr>
                <w:rFonts w:hint="eastAsia"/>
              </w:rPr>
              <w:t>合计</w:t>
            </w:r>
          </w:p>
        </w:tc>
        <w:tc>
          <w:tcPr>
            <w:tcW w:w="1650" w:type="dxa"/>
            <w:vAlign w:val="center"/>
          </w:tcPr>
          <w:p>
            <w:pPr>
              <w:pStyle w:val="14"/>
            </w:pPr>
            <w:r>
              <w:rPr>
                <w:rFonts w:hint="eastAsia"/>
              </w:rPr>
              <w:t>人员经费</w:t>
            </w:r>
          </w:p>
        </w:tc>
        <w:tc>
          <w:tcPr>
            <w:tcW w:w="1634"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87" w:type="dxa"/>
            <w:vAlign w:val="center"/>
          </w:tcPr>
          <w:p>
            <w:pPr>
              <w:pStyle w:val="14"/>
            </w:pPr>
            <w:r>
              <w:rPr>
                <w:rFonts w:hint="eastAsia"/>
              </w:rPr>
              <w:t>栏次</w:t>
            </w:r>
          </w:p>
        </w:tc>
        <w:tc>
          <w:tcPr>
            <w:tcW w:w="2263" w:type="dxa"/>
            <w:vAlign w:val="center"/>
          </w:tcPr>
          <w:p>
            <w:pPr>
              <w:pStyle w:val="14"/>
            </w:pPr>
            <w:r>
              <w:t>1</w:t>
            </w:r>
          </w:p>
        </w:tc>
        <w:tc>
          <w:tcPr>
            <w:tcW w:w="2662" w:type="dxa"/>
            <w:vAlign w:val="center"/>
          </w:tcPr>
          <w:p>
            <w:pPr>
              <w:pStyle w:val="14"/>
            </w:pPr>
            <w:r>
              <w:t>2</w:t>
            </w:r>
          </w:p>
        </w:tc>
        <w:tc>
          <w:tcPr>
            <w:tcW w:w="1588" w:type="dxa"/>
            <w:vAlign w:val="center"/>
          </w:tcPr>
          <w:p>
            <w:pPr>
              <w:pStyle w:val="14"/>
            </w:pPr>
            <w:r>
              <w:t>3</w:t>
            </w:r>
          </w:p>
        </w:tc>
        <w:tc>
          <w:tcPr>
            <w:tcW w:w="1650" w:type="dxa"/>
            <w:vAlign w:val="center"/>
          </w:tcPr>
          <w:p>
            <w:pPr>
              <w:pStyle w:val="14"/>
            </w:pPr>
            <w:r>
              <w:t>4</w:t>
            </w:r>
          </w:p>
        </w:tc>
        <w:tc>
          <w:tcPr>
            <w:tcW w:w="163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w:t>
            </w:r>
          </w:p>
        </w:tc>
        <w:tc>
          <w:tcPr>
            <w:tcW w:w="2263" w:type="dxa"/>
            <w:vAlign w:val="center"/>
          </w:tcPr>
          <w:p>
            <w:pPr>
              <w:pStyle w:val="20"/>
            </w:pPr>
          </w:p>
        </w:tc>
        <w:tc>
          <w:tcPr>
            <w:tcW w:w="2662" w:type="dxa"/>
            <w:vAlign w:val="center"/>
          </w:tcPr>
          <w:p>
            <w:pPr>
              <w:pStyle w:val="18"/>
            </w:pPr>
            <w:r>
              <w:rPr>
                <w:rFonts w:hint="eastAsia"/>
              </w:rPr>
              <w:t>合计</w:t>
            </w:r>
          </w:p>
        </w:tc>
        <w:tc>
          <w:tcPr>
            <w:tcW w:w="1588" w:type="dxa"/>
            <w:vAlign w:val="center"/>
          </w:tcPr>
          <w:p>
            <w:pPr>
              <w:pStyle w:val="19"/>
            </w:pPr>
            <w:r>
              <w:t>238.90</w:t>
            </w:r>
          </w:p>
        </w:tc>
        <w:tc>
          <w:tcPr>
            <w:tcW w:w="1650" w:type="dxa"/>
            <w:vAlign w:val="center"/>
          </w:tcPr>
          <w:p>
            <w:pPr>
              <w:pStyle w:val="19"/>
            </w:pPr>
            <w:r>
              <w:t>213.75</w:t>
            </w:r>
          </w:p>
        </w:tc>
        <w:tc>
          <w:tcPr>
            <w:tcW w:w="1634" w:type="dxa"/>
            <w:vAlign w:val="center"/>
          </w:tcPr>
          <w:p>
            <w:pPr>
              <w:pStyle w:val="19"/>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w:t>
            </w:r>
          </w:p>
        </w:tc>
        <w:tc>
          <w:tcPr>
            <w:tcW w:w="2263" w:type="dxa"/>
            <w:vAlign w:val="center"/>
          </w:tcPr>
          <w:p>
            <w:pPr>
              <w:pStyle w:val="16"/>
            </w:pPr>
            <w:r>
              <w:t>301</w:t>
            </w:r>
          </w:p>
        </w:tc>
        <w:tc>
          <w:tcPr>
            <w:tcW w:w="2662" w:type="dxa"/>
            <w:vAlign w:val="center"/>
          </w:tcPr>
          <w:p>
            <w:pPr>
              <w:pStyle w:val="16"/>
            </w:pPr>
            <w:r>
              <w:rPr>
                <w:rFonts w:hint="eastAsia"/>
              </w:rPr>
              <w:t>工资福利支出</w:t>
            </w:r>
          </w:p>
        </w:tc>
        <w:tc>
          <w:tcPr>
            <w:tcW w:w="1588" w:type="dxa"/>
            <w:vAlign w:val="center"/>
          </w:tcPr>
          <w:p>
            <w:pPr>
              <w:pStyle w:val="15"/>
            </w:pPr>
            <w:r>
              <w:t>191.43</w:t>
            </w:r>
          </w:p>
        </w:tc>
        <w:tc>
          <w:tcPr>
            <w:tcW w:w="1650" w:type="dxa"/>
            <w:vAlign w:val="center"/>
          </w:tcPr>
          <w:p>
            <w:pPr>
              <w:pStyle w:val="15"/>
            </w:pPr>
            <w:r>
              <w:t>191.43</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3</w:t>
            </w:r>
          </w:p>
        </w:tc>
        <w:tc>
          <w:tcPr>
            <w:tcW w:w="2263" w:type="dxa"/>
            <w:vAlign w:val="center"/>
          </w:tcPr>
          <w:p>
            <w:pPr>
              <w:pStyle w:val="16"/>
            </w:pPr>
            <w:r>
              <w:t>30101</w:t>
            </w:r>
          </w:p>
        </w:tc>
        <w:tc>
          <w:tcPr>
            <w:tcW w:w="2662" w:type="dxa"/>
            <w:vAlign w:val="center"/>
          </w:tcPr>
          <w:p>
            <w:pPr>
              <w:pStyle w:val="16"/>
            </w:pPr>
            <w:r>
              <w:rPr>
                <w:rFonts w:hint="eastAsia"/>
              </w:rPr>
              <w:t>基本工资</w:t>
            </w:r>
          </w:p>
        </w:tc>
        <w:tc>
          <w:tcPr>
            <w:tcW w:w="1588" w:type="dxa"/>
            <w:vAlign w:val="center"/>
          </w:tcPr>
          <w:p>
            <w:pPr>
              <w:pStyle w:val="15"/>
            </w:pPr>
            <w:r>
              <w:t>100.25</w:t>
            </w:r>
          </w:p>
        </w:tc>
        <w:tc>
          <w:tcPr>
            <w:tcW w:w="1650" w:type="dxa"/>
            <w:vAlign w:val="center"/>
          </w:tcPr>
          <w:p>
            <w:pPr>
              <w:pStyle w:val="15"/>
            </w:pPr>
            <w:r>
              <w:t>100.25</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4</w:t>
            </w:r>
          </w:p>
        </w:tc>
        <w:tc>
          <w:tcPr>
            <w:tcW w:w="2263" w:type="dxa"/>
            <w:vAlign w:val="center"/>
          </w:tcPr>
          <w:p>
            <w:pPr>
              <w:pStyle w:val="16"/>
            </w:pPr>
            <w:r>
              <w:t>30102</w:t>
            </w:r>
          </w:p>
        </w:tc>
        <w:tc>
          <w:tcPr>
            <w:tcW w:w="2662" w:type="dxa"/>
            <w:vAlign w:val="center"/>
          </w:tcPr>
          <w:p>
            <w:pPr>
              <w:pStyle w:val="16"/>
            </w:pPr>
            <w:r>
              <w:rPr>
                <w:rFonts w:hint="eastAsia"/>
              </w:rPr>
              <w:t>津贴补贴</w:t>
            </w:r>
          </w:p>
        </w:tc>
        <w:tc>
          <w:tcPr>
            <w:tcW w:w="1588" w:type="dxa"/>
            <w:vAlign w:val="center"/>
          </w:tcPr>
          <w:p>
            <w:pPr>
              <w:pStyle w:val="15"/>
            </w:pPr>
            <w:r>
              <w:t>30.20</w:t>
            </w:r>
          </w:p>
        </w:tc>
        <w:tc>
          <w:tcPr>
            <w:tcW w:w="1650" w:type="dxa"/>
            <w:vAlign w:val="center"/>
          </w:tcPr>
          <w:p>
            <w:pPr>
              <w:pStyle w:val="15"/>
            </w:pPr>
            <w:r>
              <w:t>30.20</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5</w:t>
            </w:r>
          </w:p>
        </w:tc>
        <w:tc>
          <w:tcPr>
            <w:tcW w:w="2263" w:type="dxa"/>
            <w:vAlign w:val="center"/>
          </w:tcPr>
          <w:p>
            <w:pPr>
              <w:pStyle w:val="16"/>
            </w:pPr>
            <w:r>
              <w:t>30103</w:t>
            </w:r>
          </w:p>
        </w:tc>
        <w:tc>
          <w:tcPr>
            <w:tcW w:w="2662" w:type="dxa"/>
            <w:vAlign w:val="center"/>
          </w:tcPr>
          <w:p>
            <w:pPr>
              <w:pStyle w:val="16"/>
            </w:pPr>
            <w:r>
              <w:rPr>
                <w:rFonts w:hint="eastAsia"/>
              </w:rPr>
              <w:t>奖金</w:t>
            </w:r>
          </w:p>
        </w:tc>
        <w:tc>
          <w:tcPr>
            <w:tcW w:w="1588" w:type="dxa"/>
            <w:vAlign w:val="center"/>
          </w:tcPr>
          <w:p>
            <w:pPr>
              <w:pStyle w:val="15"/>
            </w:pPr>
            <w:r>
              <w:t>12.36</w:t>
            </w:r>
          </w:p>
        </w:tc>
        <w:tc>
          <w:tcPr>
            <w:tcW w:w="1650" w:type="dxa"/>
            <w:vAlign w:val="center"/>
          </w:tcPr>
          <w:p>
            <w:pPr>
              <w:pStyle w:val="15"/>
            </w:pPr>
            <w:r>
              <w:t>12.36</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6</w:t>
            </w:r>
          </w:p>
        </w:tc>
        <w:tc>
          <w:tcPr>
            <w:tcW w:w="2263" w:type="dxa"/>
            <w:vAlign w:val="center"/>
          </w:tcPr>
          <w:p>
            <w:pPr>
              <w:pStyle w:val="16"/>
            </w:pPr>
            <w:r>
              <w:t>30107</w:t>
            </w:r>
          </w:p>
        </w:tc>
        <w:tc>
          <w:tcPr>
            <w:tcW w:w="2662" w:type="dxa"/>
            <w:vAlign w:val="center"/>
          </w:tcPr>
          <w:p>
            <w:pPr>
              <w:pStyle w:val="16"/>
            </w:pPr>
            <w:r>
              <w:rPr>
                <w:rFonts w:hint="eastAsia"/>
              </w:rPr>
              <w:t>绩效工资</w:t>
            </w:r>
          </w:p>
        </w:tc>
        <w:tc>
          <w:tcPr>
            <w:tcW w:w="1588" w:type="dxa"/>
            <w:vAlign w:val="center"/>
          </w:tcPr>
          <w:p>
            <w:pPr>
              <w:pStyle w:val="15"/>
            </w:pPr>
            <w:r>
              <w:t>11.00</w:t>
            </w:r>
          </w:p>
        </w:tc>
        <w:tc>
          <w:tcPr>
            <w:tcW w:w="1650" w:type="dxa"/>
            <w:vAlign w:val="center"/>
          </w:tcPr>
          <w:p>
            <w:pPr>
              <w:pStyle w:val="15"/>
            </w:pPr>
            <w:r>
              <w:t>11.00</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7</w:t>
            </w:r>
          </w:p>
        </w:tc>
        <w:tc>
          <w:tcPr>
            <w:tcW w:w="2263" w:type="dxa"/>
            <w:vAlign w:val="center"/>
          </w:tcPr>
          <w:p>
            <w:pPr>
              <w:pStyle w:val="16"/>
            </w:pPr>
            <w:r>
              <w:t>30108</w:t>
            </w:r>
          </w:p>
        </w:tc>
        <w:tc>
          <w:tcPr>
            <w:tcW w:w="2662" w:type="dxa"/>
            <w:vAlign w:val="center"/>
          </w:tcPr>
          <w:p>
            <w:pPr>
              <w:pStyle w:val="16"/>
            </w:pPr>
            <w:r>
              <w:rPr>
                <w:rFonts w:hint="eastAsia"/>
              </w:rPr>
              <w:t>机关事业单位基本养老保险缴费</w:t>
            </w:r>
          </w:p>
        </w:tc>
        <w:tc>
          <w:tcPr>
            <w:tcW w:w="1588" w:type="dxa"/>
            <w:vAlign w:val="center"/>
          </w:tcPr>
          <w:p>
            <w:pPr>
              <w:pStyle w:val="15"/>
            </w:pPr>
            <w:r>
              <w:t>15.34</w:t>
            </w:r>
          </w:p>
        </w:tc>
        <w:tc>
          <w:tcPr>
            <w:tcW w:w="1650" w:type="dxa"/>
            <w:vAlign w:val="center"/>
          </w:tcPr>
          <w:p>
            <w:pPr>
              <w:pStyle w:val="15"/>
            </w:pPr>
            <w:r>
              <w:t>15.34</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8</w:t>
            </w:r>
          </w:p>
        </w:tc>
        <w:tc>
          <w:tcPr>
            <w:tcW w:w="2263" w:type="dxa"/>
            <w:vAlign w:val="center"/>
          </w:tcPr>
          <w:p>
            <w:pPr>
              <w:pStyle w:val="16"/>
            </w:pPr>
            <w:r>
              <w:t>30109</w:t>
            </w:r>
          </w:p>
        </w:tc>
        <w:tc>
          <w:tcPr>
            <w:tcW w:w="2662" w:type="dxa"/>
            <w:vAlign w:val="center"/>
          </w:tcPr>
          <w:p>
            <w:pPr>
              <w:pStyle w:val="16"/>
            </w:pPr>
            <w:r>
              <w:rPr>
                <w:rFonts w:hint="eastAsia"/>
              </w:rPr>
              <w:t>职业年金缴费</w:t>
            </w:r>
          </w:p>
        </w:tc>
        <w:tc>
          <w:tcPr>
            <w:tcW w:w="1588" w:type="dxa"/>
            <w:vAlign w:val="center"/>
          </w:tcPr>
          <w:p>
            <w:pPr>
              <w:pStyle w:val="15"/>
            </w:pPr>
            <w:r>
              <w:t>7.90</w:t>
            </w:r>
          </w:p>
        </w:tc>
        <w:tc>
          <w:tcPr>
            <w:tcW w:w="1650" w:type="dxa"/>
            <w:vAlign w:val="center"/>
          </w:tcPr>
          <w:p>
            <w:pPr>
              <w:pStyle w:val="15"/>
            </w:pPr>
            <w:r>
              <w:t>7.90</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9</w:t>
            </w:r>
          </w:p>
        </w:tc>
        <w:tc>
          <w:tcPr>
            <w:tcW w:w="2263" w:type="dxa"/>
            <w:vAlign w:val="center"/>
          </w:tcPr>
          <w:p>
            <w:pPr>
              <w:pStyle w:val="16"/>
            </w:pPr>
            <w:r>
              <w:t>30110</w:t>
            </w:r>
          </w:p>
        </w:tc>
        <w:tc>
          <w:tcPr>
            <w:tcW w:w="2662" w:type="dxa"/>
            <w:vAlign w:val="center"/>
          </w:tcPr>
          <w:p>
            <w:pPr>
              <w:pStyle w:val="16"/>
            </w:pPr>
            <w:r>
              <w:rPr>
                <w:rFonts w:hint="eastAsia"/>
              </w:rPr>
              <w:t>城镇职工基本医疗保险缴费</w:t>
            </w:r>
          </w:p>
        </w:tc>
        <w:tc>
          <w:tcPr>
            <w:tcW w:w="1588" w:type="dxa"/>
            <w:vAlign w:val="center"/>
          </w:tcPr>
          <w:p>
            <w:pPr>
              <w:pStyle w:val="15"/>
            </w:pPr>
            <w:r>
              <w:t>6.58</w:t>
            </w:r>
          </w:p>
        </w:tc>
        <w:tc>
          <w:tcPr>
            <w:tcW w:w="1650" w:type="dxa"/>
            <w:vAlign w:val="center"/>
          </w:tcPr>
          <w:p>
            <w:pPr>
              <w:pStyle w:val="15"/>
            </w:pPr>
            <w:r>
              <w:t>6.58</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10</w:t>
            </w:r>
          </w:p>
        </w:tc>
        <w:tc>
          <w:tcPr>
            <w:tcW w:w="2263" w:type="dxa"/>
            <w:vAlign w:val="center"/>
          </w:tcPr>
          <w:p>
            <w:pPr>
              <w:pStyle w:val="16"/>
            </w:pPr>
            <w:r>
              <w:t>30112</w:t>
            </w:r>
          </w:p>
        </w:tc>
        <w:tc>
          <w:tcPr>
            <w:tcW w:w="2662" w:type="dxa"/>
            <w:vAlign w:val="center"/>
          </w:tcPr>
          <w:p>
            <w:pPr>
              <w:pStyle w:val="16"/>
            </w:pPr>
            <w:r>
              <w:rPr>
                <w:rFonts w:hint="eastAsia"/>
              </w:rPr>
              <w:t>其他社会保障缴费</w:t>
            </w:r>
          </w:p>
        </w:tc>
        <w:tc>
          <w:tcPr>
            <w:tcW w:w="1588" w:type="dxa"/>
            <w:vAlign w:val="center"/>
          </w:tcPr>
          <w:p>
            <w:pPr>
              <w:pStyle w:val="15"/>
            </w:pPr>
            <w:r>
              <w:t>0.48</w:t>
            </w:r>
          </w:p>
        </w:tc>
        <w:tc>
          <w:tcPr>
            <w:tcW w:w="1650" w:type="dxa"/>
            <w:vAlign w:val="center"/>
          </w:tcPr>
          <w:p>
            <w:pPr>
              <w:pStyle w:val="15"/>
            </w:pPr>
            <w:r>
              <w:t>0.48</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11</w:t>
            </w:r>
          </w:p>
        </w:tc>
        <w:tc>
          <w:tcPr>
            <w:tcW w:w="2263" w:type="dxa"/>
            <w:vAlign w:val="center"/>
          </w:tcPr>
          <w:p>
            <w:pPr>
              <w:pStyle w:val="16"/>
            </w:pPr>
            <w:r>
              <w:t>30113</w:t>
            </w:r>
          </w:p>
        </w:tc>
        <w:tc>
          <w:tcPr>
            <w:tcW w:w="2662" w:type="dxa"/>
            <w:vAlign w:val="center"/>
          </w:tcPr>
          <w:p>
            <w:pPr>
              <w:pStyle w:val="16"/>
            </w:pPr>
            <w:r>
              <w:rPr>
                <w:rFonts w:hint="eastAsia"/>
              </w:rPr>
              <w:t>住房公积金</w:t>
            </w:r>
          </w:p>
        </w:tc>
        <w:tc>
          <w:tcPr>
            <w:tcW w:w="1588" w:type="dxa"/>
            <w:vAlign w:val="center"/>
          </w:tcPr>
          <w:p>
            <w:pPr>
              <w:pStyle w:val="15"/>
            </w:pPr>
            <w:r>
              <w:t>7.32</w:t>
            </w:r>
          </w:p>
        </w:tc>
        <w:tc>
          <w:tcPr>
            <w:tcW w:w="1650" w:type="dxa"/>
            <w:vAlign w:val="center"/>
          </w:tcPr>
          <w:p>
            <w:pPr>
              <w:pStyle w:val="15"/>
            </w:pPr>
            <w:r>
              <w:t>7.32</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12</w:t>
            </w:r>
          </w:p>
        </w:tc>
        <w:tc>
          <w:tcPr>
            <w:tcW w:w="2263" w:type="dxa"/>
            <w:vAlign w:val="center"/>
          </w:tcPr>
          <w:p>
            <w:pPr>
              <w:pStyle w:val="16"/>
            </w:pPr>
            <w:r>
              <w:t>302</w:t>
            </w:r>
          </w:p>
        </w:tc>
        <w:tc>
          <w:tcPr>
            <w:tcW w:w="2662" w:type="dxa"/>
            <w:vAlign w:val="center"/>
          </w:tcPr>
          <w:p>
            <w:pPr>
              <w:pStyle w:val="16"/>
            </w:pPr>
            <w:r>
              <w:rPr>
                <w:rFonts w:hint="eastAsia"/>
              </w:rPr>
              <w:t>商品和服务支出</w:t>
            </w:r>
          </w:p>
        </w:tc>
        <w:tc>
          <w:tcPr>
            <w:tcW w:w="1588" w:type="dxa"/>
            <w:vAlign w:val="center"/>
          </w:tcPr>
          <w:p>
            <w:pPr>
              <w:pStyle w:val="15"/>
            </w:pPr>
            <w:r>
              <w:t>36.47</w:t>
            </w:r>
          </w:p>
        </w:tc>
        <w:tc>
          <w:tcPr>
            <w:tcW w:w="1650" w:type="dxa"/>
            <w:vAlign w:val="center"/>
          </w:tcPr>
          <w:p>
            <w:pPr>
              <w:pStyle w:val="15"/>
            </w:pPr>
            <w:r>
              <w:t>11.32</w:t>
            </w:r>
          </w:p>
        </w:tc>
        <w:tc>
          <w:tcPr>
            <w:tcW w:w="1634" w:type="dxa"/>
            <w:vAlign w:val="center"/>
          </w:tcPr>
          <w:p>
            <w:pPr>
              <w:pStyle w:val="15"/>
            </w:pPr>
            <w:r>
              <w:t>25.15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13</w:t>
            </w:r>
          </w:p>
        </w:tc>
        <w:tc>
          <w:tcPr>
            <w:tcW w:w="2263" w:type="dxa"/>
            <w:vAlign w:val="center"/>
          </w:tcPr>
          <w:p>
            <w:pPr>
              <w:pStyle w:val="16"/>
            </w:pPr>
            <w:r>
              <w:t>30201</w:t>
            </w:r>
          </w:p>
        </w:tc>
        <w:tc>
          <w:tcPr>
            <w:tcW w:w="2662" w:type="dxa"/>
            <w:vAlign w:val="center"/>
          </w:tcPr>
          <w:p>
            <w:pPr>
              <w:pStyle w:val="16"/>
            </w:pPr>
            <w:r>
              <w:rPr>
                <w:rFonts w:hint="eastAsia"/>
              </w:rPr>
              <w:t>办公费</w:t>
            </w:r>
          </w:p>
        </w:tc>
        <w:tc>
          <w:tcPr>
            <w:tcW w:w="1588" w:type="dxa"/>
            <w:vAlign w:val="center"/>
          </w:tcPr>
          <w:p>
            <w:pPr>
              <w:pStyle w:val="15"/>
            </w:pPr>
            <w:r>
              <w:t>6.25</w:t>
            </w:r>
          </w:p>
        </w:tc>
        <w:tc>
          <w:tcPr>
            <w:tcW w:w="1650" w:type="dxa"/>
            <w:vAlign w:val="center"/>
          </w:tcPr>
          <w:p>
            <w:pPr>
              <w:pStyle w:val="15"/>
            </w:pPr>
          </w:p>
        </w:tc>
        <w:tc>
          <w:tcPr>
            <w:tcW w:w="1634" w:type="dxa"/>
            <w:vAlign w:val="center"/>
          </w:tcPr>
          <w:p>
            <w:pPr>
              <w:pStyle w:val="15"/>
            </w:pPr>
            <w:r>
              <w:t>6.25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14</w:t>
            </w:r>
          </w:p>
        </w:tc>
        <w:tc>
          <w:tcPr>
            <w:tcW w:w="2263" w:type="dxa"/>
            <w:vAlign w:val="center"/>
          </w:tcPr>
          <w:p>
            <w:pPr>
              <w:pStyle w:val="16"/>
            </w:pPr>
            <w:r>
              <w:t>30202</w:t>
            </w:r>
          </w:p>
        </w:tc>
        <w:tc>
          <w:tcPr>
            <w:tcW w:w="2662" w:type="dxa"/>
            <w:vAlign w:val="center"/>
          </w:tcPr>
          <w:p>
            <w:pPr>
              <w:pStyle w:val="16"/>
            </w:pPr>
            <w:r>
              <w:rPr>
                <w:rFonts w:hint="eastAsia"/>
              </w:rPr>
              <w:t>印刷费</w:t>
            </w:r>
          </w:p>
        </w:tc>
        <w:tc>
          <w:tcPr>
            <w:tcW w:w="1588" w:type="dxa"/>
            <w:vAlign w:val="center"/>
          </w:tcPr>
          <w:p>
            <w:pPr>
              <w:pStyle w:val="15"/>
            </w:pPr>
            <w:r>
              <w:t>4.00</w:t>
            </w:r>
          </w:p>
        </w:tc>
        <w:tc>
          <w:tcPr>
            <w:tcW w:w="1650" w:type="dxa"/>
            <w:vAlign w:val="center"/>
          </w:tcPr>
          <w:p>
            <w:pPr>
              <w:pStyle w:val="15"/>
            </w:pPr>
          </w:p>
        </w:tc>
        <w:tc>
          <w:tcPr>
            <w:tcW w:w="163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15</w:t>
            </w:r>
          </w:p>
        </w:tc>
        <w:tc>
          <w:tcPr>
            <w:tcW w:w="2263" w:type="dxa"/>
            <w:vAlign w:val="center"/>
          </w:tcPr>
          <w:p>
            <w:pPr>
              <w:pStyle w:val="16"/>
            </w:pPr>
            <w:r>
              <w:t>30206</w:t>
            </w:r>
          </w:p>
        </w:tc>
        <w:tc>
          <w:tcPr>
            <w:tcW w:w="2662" w:type="dxa"/>
            <w:vAlign w:val="center"/>
          </w:tcPr>
          <w:p>
            <w:pPr>
              <w:pStyle w:val="16"/>
            </w:pPr>
            <w:r>
              <w:rPr>
                <w:rFonts w:hint="eastAsia"/>
              </w:rPr>
              <w:t>电费</w:t>
            </w:r>
          </w:p>
        </w:tc>
        <w:tc>
          <w:tcPr>
            <w:tcW w:w="1588" w:type="dxa"/>
            <w:vAlign w:val="center"/>
          </w:tcPr>
          <w:p>
            <w:pPr>
              <w:pStyle w:val="15"/>
            </w:pPr>
            <w:r>
              <w:t>2.80</w:t>
            </w:r>
          </w:p>
        </w:tc>
        <w:tc>
          <w:tcPr>
            <w:tcW w:w="1650" w:type="dxa"/>
            <w:vAlign w:val="center"/>
          </w:tcPr>
          <w:p>
            <w:pPr>
              <w:pStyle w:val="15"/>
            </w:pPr>
          </w:p>
        </w:tc>
        <w:tc>
          <w:tcPr>
            <w:tcW w:w="163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16</w:t>
            </w:r>
          </w:p>
        </w:tc>
        <w:tc>
          <w:tcPr>
            <w:tcW w:w="2263" w:type="dxa"/>
            <w:vAlign w:val="center"/>
          </w:tcPr>
          <w:p>
            <w:pPr>
              <w:pStyle w:val="16"/>
            </w:pPr>
            <w:r>
              <w:t>30207</w:t>
            </w:r>
          </w:p>
        </w:tc>
        <w:tc>
          <w:tcPr>
            <w:tcW w:w="2662" w:type="dxa"/>
            <w:vAlign w:val="center"/>
          </w:tcPr>
          <w:p>
            <w:pPr>
              <w:pStyle w:val="16"/>
            </w:pPr>
            <w:r>
              <w:rPr>
                <w:rFonts w:hint="eastAsia"/>
              </w:rPr>
              <w:t>邮电费</w:t>
            </w:r>
          </w:p>
        </w:tc>
        <w:tc>
          <w:tcPr>
            <w:tcW w:w="1588" w:type="dxa"/>
            <w:vAlign w:val="center"/>
          </w:tcPr>
          <w:p>
            <w:pPr>
              <w:pStyle w:val="15"/>
            </w:pPr>
            <w:r>
              <w:t>1.80</w:t>
            </w:r>
          </w:p>
        </w:tc>
        <w:tc>
          <w:tcPr>
            <w:tcW w:w="1650" w:type="dxa"/>
            <w:vAlign w:val="center"/>
          </w:tcPr>
          <w:p>
            <w:pPr>
              <w:pStyle w:val="15"/>
            </w:pPr>
          </w:p>
        </w:tc>
        <w:tc>
          <w:tcPr>
            <w:tcW w:w="163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17</w:t>
            </w:r>
          </w:p>
        </w:tc>
        <w:tc>
          <w:tcPr>
            <w:tcW w:w="2263" w:type="dxa"/>
            <w:vAlign w:val="center"/>
          </w:tcPr>
          <w:p>
            <w:pPr>
              <w:pStyle w:val="16"/>
            </w:pPr>
            <w:r>
              <w:t>30208</w:t>
            </w:r>
          </w:p>
        </w:tc>
        <w:tc>
          <w:tcPr>
            <w:tcW w:w="2662" w:type="dxa"/>
            <w:vAlign w:val="center"/>
          </w:tcPr>
          <w:p>
            <w:pPr>
              <w:pStyle w:val="16"/>
            </w:pPr>
            <w:r>
              <w:rPr>
                <w:rFonts w:hint="eastAsia"/>
              </w:rPr>
              <w:t>取暖费</w:t>
            </w:r>
          </w:p>
        </w:tc>
        <w:tc>
          <w:tcPr>
            <w:tcW w:w="1588" w:type="dxa"/>
            <w:vAlign w:val="center"/>
          </w:tcPr>
          <w:p>
            <w:pPr>
              <w:pStyle w:val="15"/>
            </w:pPr>
            <w:r>
              <w:t>4.84</w:t>
            </w:r>
          </w:p>
        </w:tc>
        <w:tc>
          <w:tcPr>
            <w:tcW w:w="1650" w:type="dxa"/>
            <w:vAlign w:val="center"/>
          </w:tcPr>
          <w:p>
            <w:pPr>
              <w:pStyle w:val="15"/>
            </w:pPr>
            <w:r>
              <w:t>4.84</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18</w:t>
            </w:r>
          </w:p>
        </w:tc>
        <w:tc>
          <w:tcPr>
            <w:tcW w:w="2263" w:type="dxa"/>
            <w:vAlign w:val="center"/>
          </w:tcPr>
          <w:p>
            <w:pPr>
              <w:pStyle w:val="16"/>
            </w:pPr>
            <w:r>
              <w:t>30211</w:t>
            </w:r>
          </w:p>
        </w:tc>
        <w:tc>
          <w:tcPr>
            <w:tcW w:w="2662" w:type="dxa"/>
            <w:vAlign w:val="center"/>
          </w:tcPr>
          <w:p>
            <w:pPr>
              <w:pStyle w:val="16"/>
            </w:pPr>
            <w:r>
              <w:rPr>
                <w:rFonts w:hint="eastAsia"/>
              </w:rPr>
              <w:t>差旅费</w:t>
            </w:r>
          </w:p>
        </w:tc>
        <w:tc>
          <w:tcPr>
            <w:tcW w:w="1588" w:type="dxa"/>
            <w:vAlign w:val="center"/>
          </w:tcPr>
          <w:p>
            <w:pPr>
              <w:pStyle w:val="15"/>
            </w:pPr>
            <w:r>
              <w:t>2.80</w:t>
            </w:r>
          </w:p>
        </w:tc>
        <w:tc>
          <w:tcPr>
            <w:tcW w:w="1650" w:type="dxa"/>
            <w:vAlign w:val="center"/>
          </w:tcPr>
          <w:p>
            <w:pPr>
              <w:pStyle w:val="15"/>
            </w:pPr>
          </w:p>
        </w:tc>
        <w:tc>
          <w:tcPr>
            <w:tcW w:w="1634" w:type="dxa"/>
            <w:vAlign w:val="center"/>
          </w:tcPr>
          <w:p>
            <w:pPr>
              <w:pStyle w:val="15"/>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19</w:t>
            </w:r>
          </w:p>
        </w:tc>
        <w:tc>
          <w:tcPr>
            <w:tcW w:w="2263" w:type="dxa"/>
            <w:vAlign w:val="center"/>
          </w:tcPr>
          <w:p>
            <w:pPr>
              <w:pStyle w:val="16"/>
            </w:pPr>
            <w:r>
              <w:t>30217</w:t>
            </w:r>
          </w:p>
        </w:tc>
        <w:tc>
          <w:tcPr>
            <w:tcW w:w="2662" w:type="dxa"/>
            <w:vAlign w:val="center"/>
          </w:tcPr>
          <w:p>
            <w:pPr>
              <w:pStyle w:val="16"/>
            </w:pPr>
            <w:r>
              <w:rPr>
                <w:rFonts w:hint="eastAsia"/>
              </w:rPr>
              <w:t>公务接待费</w:t>
            </w:r>
          </w:p>
        </w:tc>
        <w:tc>
          <w:tcPr>
            <w:tcW w:w="1588" w:type="dxa"/>
            <w:vAlign w:val="center"/>
          </w:tcPr>
          <w:p>
            <w:pPr>
              <w:pStyle w:val="15"/>
            </w:pPr>
            <w:r>
              <w:t>4.00</w:t>
            </w:r>
          </w:p>
        </w:tc>
        <w:tc>
          <w:tcPr>
            <w:tcW w:w="1650" w:type="dxa"/>
            <w:vAlign w:val="center"/>
          </w:tcPr>
          <w:p>
            <w:pPr>
              <w:pStyle w:val="15"/>
            </w:pPr>
          </w:p>
        </w:tc>
        <w:tc>
          <w:tcPr>
            <w:tcW w:w="1634" w:type="dxa"/>
            <w:vAlign w:val="center"/>
          </w:tcPr>
          <w:p>
            <w:pPr>
              <w:pStyle w:val="15"/>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20</w:t>
            </w:r>
          </w:p>
        </w:tc>
        <w:tc>
          <w:tcPr>
            <w:tcW w:w="2263" w:type="dxa"/>
            <w:vAlign w:val="center"/>
          </w:tcPr>
          <w:p>
            <w:pPr>
              <w:pStyle w:val="16"/>
            </w:pPr>
            <w:r>
              <w:t>30231</w:t>
            </w:r>
          </w:p>
        </w:tc>
        <w:tc>
          <w:tcPr>
            <w:tcW w:w="2662" w:type="dxa"/>
            <w:vAlign w:val="center"/>
          </w:tcPr>
          <w:p>
            <w:pPr>
              <w:pStyle w:val="16"/>
            </w:pPr>
            <w:r>
              <w:rPr>
                <w:rFonts w:hint="eastAsia"/>
              </w:rPr>
              <w:t>公务用车运行维护费</w:t>
            </w:r>
          </w:p>
        </w:tc>
        <w:tc>
          <w:tcPr>
            <w:tcW w:w="1588" w:type="dxa"/>
            <w:vAlign w:val="center"/>
          </w:tcPr>
          <w:p>
            <w:pPr>
              <w:pStyle w:val="15"/>
            </w:pPr>
            <w:r>
              <w:t>3.50</w:t>
            </w:r>
          </w:p>
        </w:tc>
        <w:tc>
          <w:tcPr>
            <w:tcW w:w="1650" w:type="dxa"/>
            <w:vAlign w:val="center"/>
          </w:tcPr>
          <w:p>
            <w:pPr>
              <w:pStyle w:val="15"/>
            </w:pPr>
          </w:p>
        </w:tc>
        <w:tc>
          <w:tcPr>
            <w:tcW w:w="163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21</w:t>
            </w:r>
          </w:p>
        </w:tc>
        <w:tc>
          <w:tcPr>
            <w:tcW w:w="2263" w:type="dxa"/>
            <w:vAlign w:val="center"/>
          </w:tcPr>
          <w:p>
            <w:pPr>
              <w:pStyle w:val="16"/>
            </w:pPr>
            <w:r>
              <w:t>30239</w:t>
            </w:r>
          </w:p>
        </w:tc>
        <w:tc>
          <w:tcPr>
            <w:tcW w:w="2662" w:type="dxa"/>
            <w:vAlign w:val="center"/>
          </w:tcPr>
          <w:p>
            <w:pPr>
              <w:pStyle w:val="16"/>
            </w:pPr>
            <w:r>
              <w:rPr>
                <w:rFonts w:hint="eastAsia"/>
              </w:rPr>
              <w:t>其他交通费用</w:t>
            </w:r>
          </w:p>
        </w:tc>
        <w:tc>
          <w:tcPr>
            <w:tcW w:w="1588" w:type="dxa"/>
            <w:vAlign w:val="center"/>
          </w:tcPr>
          <w:p>
            <w:pPr>
              <w:pStyle w:val="15"/>
            </w:pPr>
            <w:r>
              <w:t>6.48</w:t>
            </w:r>
          </w:p>
        </w:tc>
        <w:tc>
          <w:tcPr>
            <w:tcW w:w="1650" w:type="dxa"/>
            <w:vAlign w:val="center"/>
          </w:tcPr>
          <w:p>
            <w:pPr>
              <w:pStyle w:val="15"/>
            </w:pPr>
            <w:r>
              <w:t>6.48</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22</w:t>
            </w:r>
          </w:p>
        </w:tc>
        <w:tc>
          <w:tcPr>
            <w:tcW w:w="2263" w:type="dxa"/>
            <w:vAlign w:val="center"/>
          </w:tcPr>
          <w:p>
            <w:pPr>
              <w:pStyle w:val="16"/>
            </w:pPr>
            <w:r>
              <w:t>303</w:t>
            </w:r>
          </w:p>
        </w:tc>
        <w:tc>
          <w:tcPr>
            <w:tcW w:w="2662" w:type="dxa"/>
            <w:vAlign w:val="center"/>
          </w:tcPr>
          <w:p>
            <w:pPr>
              <w:pStyle w:val="16"/>
            </w:pPr>
            <w:r>
              <w:rPr>
                <w:rFonts w:hint="eastAsia"/>
              </w:rPr>
              <w:t>对个人和家庭的补助</w:t>
            </w:r>
          </w:p>
        </w:tc>
        <w:tc>
          <w:tcPr>
            <w:tcW w:w="1588" w:type="dxa"/>
            <w:vAlign w:val="center"/>
          </w:tcPr>
          <w:p>
            <w:pPr>
              <w:pStyle w:val="15"/>
            </w:pPr>
            <w:r>
              <w:t>11.00</w:t>
            </w:r>
          </w:p>
        </w:tc>
        <w:tc>
          <w:tcPr>
            <w:tcW w:w="1650" w:type="dxa"/>
            <w:vAlign w:val="center"/>
          </w:tcPr>
          <w:p>
            <w:pPr>
              <w:pStyle w:val="15"/>
            </w:pPr>
            <w:r>
              <w:t>11.00</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23</w:t>
            </w:r>
          </w:p>
        </w:tc>
        <w:tc>
          <w:tcPr>
            <w:tcW w:w="2263" w:type="dxa"/>
            <w:vAlign w:val="center"/>
          </w:tcPr>
          <w:p>
            <w:pPr>
              <w:pStyle w:val="16"/>
            </w:pPr>
            <w:r>
              <w:t>30301</w:t>
            </w:r>
          </w:p>
        </w:tc>
        <w:tc>
          <w:tcPr>
            <w:tcW w:w="2662" w:type="dxa"/>
            <w:vAlign w:val="center"/>
          </w:tcPr>
          <w:p>
            <w:pPr>
              <w:pStyle w:val="16"/>
            </w:pPr>
            <w:r>
              <w:rPr>
                <w:rFonts w:hint="eastAsia"/>
              </w:rPr>
              <w:t>离休费</w:t>
            </w:r>
          </w:p>
        </w:tc>
        <w:tc>
          <w:tcPr>
            <w:tcW w:w="1588" w:type="dxa"/>
            <w:vAlign w:val="center"/>
          </w:tcPr>
          <w:p>
            <w:pPr>
              <w:pStyle w:val="15"/>
            </w:pPr>
            <w:r>
              <w:t>10.40</w:t>
            </w:r>
          </w:p>
        </w:tc>
        <w:tc>
          <w:tcPr>
            <w:tcW w:w="1650" w:type="dxa"/>
            <w:vAlign w:val="center"/>
          </w:tcPr>
          <w:p>
            <w:pPr>
              <w:pStyle w:val="15"/>
            </w:pPr>
            <w:r>
              <w:t>10.40</w:t>
            </w:r>
          </w:p>
        </w:tc>
        <w:tc>
          <w:tcPr>
            <w:tcW w:w="16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87" w:type="dxa"/>
            <w:vAlign w:val="center"/>
          </w:tcPr>
          <w:p>
            <w:pPr>
              <w:pStyle w:val="17"/>
            </w:pPr>
            <w:r>
              <w:t>24</w:t>
            </w:r>
          </w:p>
        </w:tc>
        <w:tc>
          <w:tcPr>
            <w:tcW w:w="2263" w:type="dxa"/>
            <w:vAlign w:val="center"/>
          </w:tcPr>
          <w:p>
            <w:pPr>
              <w:pStyle w:val="16"/>
            </w:pPr>
            <w:r>
              <w:t>30302</w:t>
            </w:r>
          </w:p>
        </w:tc>
        <w:tc>
          <w:tcPr>
            <w:tcW w:w="2662" w:type="dxa"/>
            <w:vAlign w:val="center"/>
          </w:tcPr>
          <w:p>
            <w:pPr>
              <w:pStyle w:val="16"/>
            </w:pPr>
            <w:r>
              <w:rPr>
                <w:rFonts w:hint="eastAsia"/>
              </w:rPr>
              <w:t>退休费</w:t>
            </w:r>
          </w:p>
        </w:tc>
        <w:tc>
          <w:tcPr>
            <w:tcW w:w="1588" w:type="dxa"/>
            <w:vAlign w:val="center"/>
          </w:tcPr>
          <w:p>
            <w:pPr>
              <w:pStyle w:val="15"/>
            </w:pPr>
            <w:r>
              <w:t>0.60</w:t>
            </w:r>
          </w:p>
        </w:tc>
        <w:tc>
          <w:tcPr>
            <w:tcW w:w="1650" w:type="dxa"/>
            <w:vAlign w:val="center"/>
          </w:tcPr>
          <w:p>
            <w:pPr>
              <w:pStyle w:val="15"/>
            </w:pPr>
            <w:r>
              <w:t>0.60</w:t>
            </w:r>
          </w:p>
        </w:tc>
        <w:tc>
          <w:tcPr>
            <w:tcW w:w="16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09"/>
        <w:gridCol w:w="1842"/>
        <w:gridCol w:w="1796"/>
        <w:gridCol w:w="1725"/>
        <w:gridCol w:w="1612"/>
        <w:gridCol w:w="19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7"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1725" w:type="dxa"/>
            <w:tcBorders>
              <w:top w:val="single" w:color="FFFFFF" w:sz="6" w:space="0"/>
              <w:left w:val="single" w:color="FFFFFF" w:sz="6" w:space="0"/>
              <w:right w:val="single" w:color="FFFFFF" w:sz="6" w:space="0"/>
            </w:tcBorders>
            <w:vAlign w:val="center"/>
          </w:tcPr>
          <w:p>
            <w:pPr>
              <w:pStyle w:val="12"/>
            </w:pPr>
            <w:r>
              <w:rPr>
                <w:rFonts w:hint="eastAsia"/>
              </w:rPr>
              <w:t>预算年</w:t>
            </w:r>
            <w:r>
              <w:rPr>
                <w:lang w:eastAsia="zh-CN"/>
              </w:rPr>
              <w:t>:</w:t>
            </w:r>
            <w:r>
              <w:t>2022</w:t>
            </w:r>
          </w:p>
        </w:tc>
        <w:tc>
          <w:tcPr>
            <w:tcW w:w="3534"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restart"/>
            <w:vAlign w:val="center"/>
          </w:tcPr>
          <w:p>
            <w:pPr>
              <w:pStyle w:val="14"/>
            </w:pPr>
            <w:r>
              <w:rPr>
                <w:rFonts w:hint="eastAsia"/>
              </w:rPr>
              <w:t>序号</w:t>
            </w:r>
          </w:p>
        </w:tc>
        <w:tc>
          <w:tcPr>
            <w:tcW w:w="3638" w:type="dxa"/>
            <w:gridSpan w:val="2"/>
            <w:vAlign w:val="center"/>
          </w:tcPr>
          <w:p>
            <w:pPr>
              <w:pStyle w:val="14"/>
            </w:pPr>
            <w:r>
              <w:rPr>
                <w:rFonts w:hint="eastAsia"/>
              </w:rPr>
              <w:t>功能分类科目</w:t>
            </w:r>
          </w:p>
        </w:tc>
        <w:tc>
          <w:tcPr>
            <w:tcW w:w="1725" w:type="dxa"/>
            <w:vMerge w:val="restart"/>
            <w:vAlign w:val="center"/>
          </w:tcPr>
          <w:p>
            <w:pPr>
              <w:pStyle w:val="14"/>
            </w:pPr>
            <w:r>
              <w:rPr>
                <w:rFonts w:hint="eastAsia"/>
              </w:rPr>
              <w:t>合计</w:t>
            </w:r>
          </w:p>
        </w:tc>
        <w:tc>
          <w:tcPr>
            <w:tcW w:w="1612" w:type="dxa"/>
            <w:vMerge w:val="restart"/>
            <w:vAlign w:val="center"/>
          </w:tcPr>
          <w:p>
            <w:pPr>
              <w:pStyle w:val="14"/>
            </w:pPr>
            <w:r>
              <w:rPr>
                <w:rFonts w:hint="eastAsia"/>
              </w:rPr>
              <w:t>基本支出</w:t>
            </w:r>
          </w:p>
        </w:tc>
        <w:tc>
          <w:tcPr>
            <w:tcW w:w="1922"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Merge w:val="continue"/>
          </w:tcPr>
          <w:p/>
        </w:tc>
        <w:tc>
          <w:tcPr>
            <w:tcW w:w="1842" w:type="dxa"/>
            <w:vAlign w:val="center"/>
          </w:tcPr>
          <w:p>
            <w:pPr>
              <w:pStyle w:val="14"/>
            </w:pPr>
            <w:r>
              <w:rPr>
                <w:rFonts w:hint="eastAsia"/>
              </w:rPr>
              <w:t>科目编码</w:t>
            </w:r>
          </w:p>
        </w:tc>
        <w:tc>
          <w:tcPr>
            <w:tcW w:w="1796" w:type="dxa"/>
            <w:vAlign w:val="center"/>
          </w:tcPr>
          <w:p>
            <w:pPr>
              <w:pStyle w:val="14"/>
            </w:pPr>
            <w:r>
              <w:rPr>
                <w:rFonts w:hint="eastAsia"/>
              </w:rPr>
              <w:t>科目名称</w:t>
            </w:r>
          </w:p>
        </w:tc>
        <w:tc>
          <w:tcPr>
            <w:tcW w:w="1725" w:type="dxa"/>
            <w:vMerge w:val="continue"/>
          </w:tcPr>
          <w:p/>
        </w:tc>
        <w:tc>
          <w:tcPr>
            <w:tcW w:w="1612" w:type="dxa"/>
            <w:vMerge w:val="continue"/>
          </w:tcPr>
          <w:p/>
        </w:tc>
        <w:tc>
          <w:tcPr>
            <w:tcW w:w="19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09" w:type="dxa"/>
            <w:vAlign w:val="center"/>
          </w:tcPr>
          <w:p>
            <w:pPr>
              <w:pStyle w:val="14"/>
            </w:pPr>
            <w:r>
              <w:rPr>
                <w:rFonts w:hint="eastAsia"/>
              </w:rPr>
              <w:t>栏次</w:t>
            </w:r>
          </w:p>
        </w:tc>
        <w:tc>
          <w:tcPr>
            <w:tcW w:w="1842" w:type="dxa"/>
            <w:vAlign w:val="center"/>
          </w:tcPr>
          <w:p>
            <w:pPr>
              <w:pStyle w:val="14"/>
            </w:pPr>
            <w:r>
              <w:t>1</w:t>
            </w:r>
          </w:p>
        </w:tc>
        <w:tc>
          <w:tcPr>
            <w:tcW w:w="1796" w:type="dxa"/>
            <w:vAlign w:val="center"/>
          </w:tcPr>
          <w:p>
            <w:pPr>
              <w:pStyle w:val="14"/>
            </w:pPr>
            <w:r>
              <w:t>2</w:t>
            </w:r>
          </w:p>
        </w:tc>
        <w:tc>
          <w:tcPr>
            <w:tcW w:w="1725" w:type="dxa"/>
            <w:vAlign w:val="center"/>
          </w:tcPr>
          <w:p>
            <w:pPr>
              <w:pStyle w:val="14"/>
            </w:pPr>
            <w:r>
              <w:t>3</w:t>
            </w:r>
          </w:p>
        </w:tc>
        <w:tc>
          <w:tcPr>
            <w:tcW w:w="1612" w:type="dxa"/>
            <w:vAlign w:val="center"/>
          </w:tcPr>
          <w:p>
            <w:pPr>
              <w:pStyle w:val="14"/>
            </w:pPr>
            <w:r>
              <w:t>4</w:t>
            </w:r>
          </w:p>
        </w:tc>
        <w:tc>
          <w:tcPr>
            <w:tcW w:w="192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09" w:type="dxa"/>
            <w:vAlign w:val="center"/>
          </w:tcPr>
          <w:p>
            <w:pPr>
              <w:pStyle w:val="17"/>
            </w:pPr>
          </w:p>
        </w:tc>
        <w:tc>
          <w:tcPr>
            <w:tcW w:w="1842" w:type="dxa"/>
            <w:vAlign w:val="center"/>
          </w:tcPr>
          <w:p>
            <w:pPr>
              <w:pStyle w:val="16"/>
            </w:pPr>
          </w:p>
        </w:tc>
        <w:tc>
          <w:tcPr>
            <w:tcW w:w="1796" w:type="dxa"/>
            <w:vAlign w:val="center"/>
          </w:tcPr>
          <w:p>
            <w:pPr>
              <w:pStyle w:val="16"/>
            </w:pPr>
          </w:p>
        </w:tc>
        <w:tc>
          <w:tcPr>
            <w:tcW w:w="1725" w:type="dxa"/>
            <w:vAlign w:val="center"/>
          </w:tcPr>
          <w:p>
            <w:pPr>
              <w:pStyle w:val="15"/>
            </w:pPr>
          </w:p>
        </w:tc>
        <w:tc>
          <w:tcPr>
            <w:tcW w:w="1612" w:type="dxa"/>
            <w:vAlign w:val="center"/>
          </w:tcPr>
          <w:p>
            <w:pPr>
              <w:pStyle w:val="15"/>
            </w:pPr>
          </w:p>
        </w:tc>
        <w:tc>
          <w:tcPr>
            <w:tcW w:w="1922"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5"/>
        <w:gridCol w:w="2096"/>
        <w:gridCol w:w="1643"/>
        <w:gridCol w:w="1824"/>
        <w:gridCol w:w="2237"/>
        <w:gridCol w:w="21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44"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1824" w:type="dxa"/>
            <w:tcBorders>
              <w:top w:val="single" w:color="FFFFFF" w:sz="6" w:space="0"/>
              <w:left w:val="single" w:color="FFFFFF" w:sz="6" w:space="0"/>
              <w:right w:val="single" w:color="FFFFFF" w:sz="6" w:space="0"/>
            </w:tcBorders>
            <w:vAlign w:val="center"/>
          </w:tcPr>
          <w:p>
            <w:pPr>
              <w:pStyle w:val="12"/>
            </w:pPr>
            <w:r>
              <w:rPr>
                <w:rFonts w:hint="eastAsia"/>
              </w:rPr>
              <w:t>预算年</w:t>
            </w:r>
            <w:r>
              <w:rPr>
                <w:lang w:eastAsia="zh-CN"/>
              </w:rPr>
              <w:t>:</w:t>
            </w:r>
            <w:r>
              <w:t>2022</w:t>
            </w:r>
          </w:p>
        </w:tc>
        <w:tc>
          <w:tcPr>
            <w:tcW w:w="4379"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restart"/>
            <w:vAlign w:val="center"/>
          </w:tcPr>
          <w:p>
            <w:pPr>
              <w:pStyle w:val="14"/>
            </w:pPr>
            <w:r>
              <w:rPr>
                <w:rFonts w:hint="eastAsia"/>
              </w:rPr>
              <w:t>序号</w:t>
            </w:r>
          </w:p>
        </w:tc>
        <w:tc>
          <w:tcPr>
            <w:tcW w:w="3739" w:type="dxa"/>
            <w:gridSpan w:val="2"/>
            <w:vAlign w:val="center"/>
          </w:tcPr>
          <w:p>
            <w:pPr>
              <w:pStyle w:val="14"/>
            </w:pPr>
            <w:r>
              <w:rPr>
                <w:rFonts w:hint="eastAsia"/>
              </w:rPr>
              <w:t>功能分类科目</w:t>
            </w:r>
          </w:p>
        </w:tc>
        <w:tc>
          <w:tcPr>
            <w:tcW w:w="1824" w:type="dxa"/>
            <w:vMerge w:val="restart"/>
            <w:vAlign w:val="center"/>
          </w:tcPr>
          <w:p>
            <w:pPr>
              <w:pStyle w:val="14"/>
            </w:pPr>
            <w:r>
              <w:rPr>
                <w:rFonts w:hint="eastAsia"/>
              </w:rPr>
              <w:t>合计</w:t>
            </w:r>
          </w:p>
        </w:tc>
        <w:tc>
          <w:tcPr>
            <w:tcW w:w="2237" w:type="dxa"/>
            <w:vMerge w:val="restart"/>
            <w:vAlign w:val="center"/>
          </w:tcPr>
          <w:p>
            <w:pPr>
              <w:pStyle w:val="14"/>
            </w:pPr>
            <w:r>
              <w:rPr>
                <w:rFonts w:hint="eastAsia"/>
              </w:rPr>
              <w:t>基本支出</w:t>
            </w:r>
          </w:p>
        </w:tc>
        <w:tc>
          <w:tcPr>
            <w:tcW w:w="2142"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Merge w:val="continue"/>
          </w:tcPr>
          <w:p/>
        </w:tc>
        <w:tc>
          <w:tcPr>
            <w:tcW w:w="2096" w:type="dxa"/>
            <w:vAlign w:val="center"/>
          </w:tcPr>
          <w:p>
            <w:pPr>
              <w:pStyle w:val="14"/>
            </w:pPr>
            <w:r>
              <w:rPr>
                <w:rFonts w:hint="eastAsia"/>
              </w:rPr>
              <w:t>科目编码</w:t>
            </w:r>
          </w:p>
        </w:tc>
        <w:tc>
          <w:tcPr>
            <w:tcW w:w="1643" w:type="dxa"/>
            <w:vAlign w:val="center"/>
          </w:tcPr>
          <w:p>
            <w:pPr>
              <w:pStyle w:val="14"/>
            </w:pPr>
            <w:r>
              <w:rPr>
                <w:rFonts w:hint="eastAsia"/>
              </w:rPr>
              <w:t>科目名称</w:t>
            </w:r>
          </w:p>
        </w:tc>
        <w:tc>
          <w:tcPr>
            <w:tcW w:w="1824" w:type="dxa"/>
            <w:vMerge w:val="continue"/>
          </w:tcPr>
          <w:p/>
        </w:tc>
        <w:tc>
          <w:tcPr>
            <w:tcW w:w="2237" w:type="dxa"/>
            <w:vMerge w:val="continue"/>
          </w:tcPr>
          <w:p/>
        </w:tc>
        <w:tc>
          <w:tcPr>
            <w:tcW w:w="214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05" w:type="dxa"/>
            <w:vAlign w:val="center"/>
          </w:tcPr>
          <w:p>
            <w:pPr>
              <w:pStyle w:val="14"/>
            </w:pPr>
            <w:r>
              <w:rPr>
                <w:rFonts w:hint="eastAsia"/>
              </w:rPr>
              <w:t>栏次</w:t>
            </w:r>
          </w:p>
        </w:tc>
        <w:tc>
          <w:tcPr>
            <w:tcW w:w="2096" w:type="dxa"/>
            <w:vAlign w:val="center"/>
          </w:tcPr>
          <w:p>
            <w:pPr>
              <w:pStyle w:val="14"/>
            </w:pPr>
            <w:r>
              <w:t>1</w:t>
            </w:r>
          </w:p>
        </w:tc>
        <w:tc>
          <w:tcPr>
            <w:tcW w:w="1643" w:type="dxa"/>
            <w:vAlign w:val="center"/>
          </w:tcPr>
          <w:p>
            <w:pPr>
              <w:pStyle w:val="14"/>
            </w:pPr>
            <w:r>
              <w:t>2</w:t>
            </w:r>
          </w:p>
        </w:tc>
        <w:tc>
          <w:tcPr>
            <w:tcW w:w="1824" w:type="dxa"/>
            <w:vAlign w:val="center"/>
          </w:tcPr>
          <w:p>
            <w:pPr>
              <w:pStyle w:val="14"/>
            </w:pPr>
            <w:r>
              <w:t>3</w:t>
            </w:r>
          </w:p>
        </w:tc>
        <w:tc>
          <w:tcPr>
            <w:tcW w:w="2237" w:type="dxa"/>
            <w:vAlign w:val="center"/>
          </w:tcPr>
          <w:p>
            <w:pPr>
              <w:pStyle w:val="14"/>
            </w:pPr>
            <w:r>
              <w:t>4</w:t>
            </w:r>
          </w:p>
        </w:tc>
        <w:tc>
          <w:tcPr>
            <w:tcW w:w="214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05" w:type="dxa"/>
            <w:vAlign w:val="center"/>
          </w:tcPr>
          <w:p>
            <w:pPr>
              <w:pStyle w:val="17"/>
            </w:pPr>
          </w:p>
        </w:tc>
        <w:tc>
          <w:tcPr>
            <w:tcW w:w="2096" w:type="dxa"/>
            <w:vAlign w:val="center"/>
          </w:tcPr>
          <w:p>
            <w:pPr>
              <w:pStyle w:val="16"/>
            </w:pPr>
          </w:p>
        </w:tc>
        <w:tc>
          <w:tcPr>
            <w:tcW w:w="1643" w:type="dxa"/>
            <w:vAlign w:val="center"/>
          </w:tcPr>
          <w:p>
            <w:pPr>
              <w:pStyle w:val="16"/>
            </w:pPr>
          </w:p>
        </w:tc>
        <w:tc>
          <w:tcPr>
            <w:tcW w:w="1824" w:type="dxa"/>
            <w:vAlign w:val="center"/>
          </w:tcPr>
          <w:p>
            <w:pPr>
              <w:pStyle w:val="15"/>
            </w:pPr>
          </w:p>
        </w:tc>
        <w:tc>
          <w:tcPr>
            <w:tcW w:w="2237" w:type="dxa"/>
            <w:vAlign w:val="center"/>
          </w:tcPr>
          <w:p>
            <w:pPr>
              <w:pStyle w:val="15"/>
            </w:pPr>
          </w:p>
        </w:tc>
        <w:tc>
          <w:tcPr>
            <w:tcW w:w="2142"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2662"/>
        <w:gridCol w:w="1858"/>
        <w:gridCol w:w="1867"/>
        <w:gridCol w:w="1800"/>
        <w:gridCol w:w="21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9" w:type="dxa"/>
            <w:gridSpan w:val="3"/>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1867" w:type="dxa"/>
            <w:tcBorders>
              <w:top w:val="single" w:color="FFFFFF" w:sz="6" w:space="0"/>
              <w:left w:val="single" w:color="FFFFFF" w:sz="6" w:space="0"/>
              <w:right w:val="single" w:color="FFFFFF" w:sz="6" w:space="0"/>
            </w:tcBorders>
            <w:vAlign w:val="center"/>
          </w:tcPr>
          <w:p>
            <w:pPr>
              <w:pStyle w:val="12"/>
            </w:pPr>
            <w:r>
              <w:rPr>
                <w:rFonts w:hint="eastAsia"/>
              </w:rPr>
              <w:t>预算年</w:t>
            </w:r>
            <w:r>
              <w:rPr>
                <w:lang w:eastAsia="zh-CN"/>
              </w:rPr>
              <w:t>:</w:t>
            </w:r>
            <w:r>
              <w:t>2022</w:t>
            </w:r>
          </w:p>
        </w:tc>
        <w:tc>
          <w:tcPr>
            <w:tcW w:w="3923"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Merge w:val="restart"/>
            <w:vAlign w:val="center"/>
          </w:tcPr>
          <w:p>
            <w:pPr>
              <w:pStyle w:val="14"/>
            </w:pPr>
            <w:r>
              <w:rPr>
                <w:rFonts w:hint="eastAsia"/>
              </w:rPr>
              <w:t>序号</w:t>
            </w:r>
          </w:p>
        </w:tc>
        <w:tc>
          <w:tcPr>
            <w:tcW w:w="2662" w:type="dxa"/>
            <w:vMerge w:val="restart"/>
            <w:vAlign w:val="center"/>
          </w:tcPr>
          <w:p>
            <w:pPr>
              <w:pStyle w:val="14"/>
            </w:pPr>
            <w:r>
              <w:rPr>
                <w:rFonts w:hint="eastAsia"/>
              </w:rPr>
              <w:t>项目</w:t>
            </w:r>
          </w:p>
        </w:tc>
        <w:tc>
          <w:tcPr>
            <w:tcW w:w="7648" w:type="dxa"/>
            <w:gridSpan w:val="4"/>
            <w:vAlign w:val="center"/>
          </w:tcPr>
          <w:p>
            <w:pPr>
              <w:pStyle w:val="14"/>
            </w:pPr>
            <w:r>
              <w:rPr>
                <w:rFonts w:hint="eastAsia"/>
              </w:rP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Merge w:val="continue"/>
          </w:tcPr>
          <w:p/>
        </w:tc>
        <w:tc>
          <w:tcPr>
            <w:tcW w:w="2662" w:type="dxa"/>
            <w:vMerge w:val="continue"/>
          </w:tcPr>
          <w:p/>
        </w:tc>
        <w:tc>
          <w:tcPr>
            <w:tcW w:w="1858" w:type="dxa"/>
            <w:vAlign w:val="center"/>
          </w:tcPr>
          <w:p>
            <w:pPr>
              <w:pStyle w:val="14"/>
            </w:pPr>
            <w:r>
              <w:rPr>
                <w:rFonts w:hint="eastAsia"/>
              </w:rPr>
              <w:t>合计</w:t>
            </w:r>
          </w:p>
        </w:tc>
        <w:tc>
          <w:tcPr>
            <w:tcW w:w="1867" w:type="dxa"/>
            <w:vAlign w:val="center"/>
          </w:tcPr>
          <w:p>
            <w:pPr>
              <w:pStyle w:val="14"/>
            </w:pPr>
            <w:r>
              <w:rPr>
                <w:rFonts w:hint="eastAsia"/>
              </w:rPr>
              <w:t>一般公共预算财政拨款</w:t>
            </w:r>
          </w:p>
        </w:tc>
        <w:tc>
          <w:tcPr>
            <w:tcW w:w="1800" w:type="dxa"/>
            <w:vAlign w:val="center"/>
          </w:tcPr>
          <w:p>
            <w:pPr>
              <w:pStyle w:val="14"/>
            </w:pPr>
            <w:r>
              <w:rPr>
                <w:rFonts w:hint="eastAsia"/>
              </w:rPr>
              <w:t>政府性基金预算拨款</w:t>
            </w:r>
          </w:p>
        </w:tc>
        <w:tc>
          <w:tcPr>
            <w:tcW w:w="2123" w:type="dxa"/>
            <w:vAlign w:val="center"/>
          </w:tcPr>
          <w:p>
            <w:pPr>
              <w:pStyle w:val="14"/>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Align w:val="center"/>
          </w:tcPr>
          <w:p>
            <w:pPr>
              <w:pStyle w:val="14"/>
            </w:pPr>
            <w:r>
              <w:rPr>
                <w:rFonts w:hint="eastAsia"/>
              </w:rPr>
              <w:t>栏次</w:t>
            </w:r>
          </w:p>
        </w:tc>
        <w:tc>
          <w:tcPr>
            <w:tcW w:w="2662" w:type="dxa"/>
            <w:vAlign w:val="center"/>
          </w:tcPr>
          <w:p>
            <w:pPr>
              <w:pStyle w:val="14"/>
            </w:pPr>
            <w:r>
              <w:t>1</w:t>
            </w:r>
          </w:p>
        </w:tc>
        <w:tc>
          <w:tcPr>
            <w:tcW w:w="1858" w:type="dxa"/>
            <w:vAlign w:val="center"/>
          </w:tcPr>
          <w:p>
            <w:pPr>
              <w:pStyle w:val="14"/>
            </w:pPr>
            <w:r>
              <w:t>2</w:t>
            </w:r>
          </w:p>
        </w:tc>
        <w:tc>
          <w:tcPr>
            <w:tcW w:w="1867" w:type="dxa"/>
            <w:vAlign w:val="center"/>
          </w:tcPr>
          <w:p>
            <w:pPr>
              <w:pStyle w:val="14"/>
            </w:pPr>
            <w:r>
              <w:t>3</w:t>
            </w:r>
          </w:p>
        </w:tc>
        <w:tc>
          <w:tcPr>
            <w:tcW w:w="1800" w:type="dxa"/>
            <w:vAlign w:val="center"/>
          </w:tcPr>
          <w:p>
            <w:pPr>
              <w:pStyle w:val="14"/>
            </w:pPr>
            <w:r>
              <w:t>4</w:t>
            </w:r>
          </w:p>
        </w:tc>
        <w:tc>
          <w:tcPr>
            <w:tcW w:w="212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rPr>
                <w:lang w:eastAsia="zh-CN"/>
              </w:rPr>
            </w:pPr>
            <w:r>
              <w:rPr>
                <w:lang w:eastAsia="zh-CN"/>
              </w:rPr>
              <w:t>1</w:t>
            </w:r>
          </w:p>
        </w:tc>
        <w:tc>
          <w:tcPr>
            <w:tcW w:w="2662" w:type="dxa"/>
            <w:vAlign w:val="center"/>
          </w:tcPr>
          <w:p>
            <w:pPr>
              <w:pStyle w:val="16"/>
            </w:pPr>
            <w:r>
              <w:rPr>
                <w:rFonts w:hint="eastAsia"/>
                <w:lang w:eastAsia="zh-CN"/>
              </w:rPr>
              <w:t>一</w:t>
            </w:r>
            <w:r>
              <w:rPr>
                <w:rFonts w:hint="eastAsia"/>
              </w:rPr>
              <w:t>、公务用车购置及运维费</w:t>
            </w:r>
          </w:p>
        </w:tc>
        <w:tc>
          <w:tcPr>
            <w:tcW w:w="1858" w:type="dxa"/>
            <w:vAlign w:val="center"/>
          </w:tcPr>
          <w:p>
            <w:pPr>
              <w:pStyle w:val="15"/>
              <w:rPr>
                <w:lang w:eastAsia="zh-CN"/>
              </w:rPr>
            </w:pPr>
            <w:r>
              <w:rPr>
                <w:lang w:eastAsia="zh-CN"/>
              </w:rPr>
              <w:t>3</w:t>
            </w:r>
          </w:p>
        </w:tc>
        <w:tc>
          <w:tcPr>
            <w:tcW w:w="1867" w:type="dxa"/>
            <w:vAlign w:val="center"/>
          </w:tcPr>
          <w:p>
            <w:pPr>
              <w:pStyle w:val="15"/>
              <w:rPr>
                <w:lang w:eastAsia="zh-CN"/>
              </w:rPr>
            </w:pPr>
            <w:r>
              <w:rPr>
                <w:lang w:eastAsia="zh-CN"/>
              </w:rPr>
              <w:t>3</w:t>
            </w:r>
          </w:p>
        </w:tc>
        <w:tc>
          <w:tcPr>
            <w:tcW w:w="1800" w:type="dxa"/>
            <w:vAlign w:val="center"/>
          </w:tcPr>
          <w:p>
            <w:pPr>
              <w:pStyle w:val="15"/>
            </w:pPr>
          </w:p>
        </w:tc>
        <w:tc>
          <w:tcPr>
            <w:tcW w:w="21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rPr>
                <w:lang w:eastAsia="zh-CN"/>
              </w:rPr>
            </w:pPr>
            <w:r>
              <w:rPr>
                <w:lang w:eastAsia="zh-CN"/>
              </w:rPr>
              <w:t>2</w:t>
            </w:r>
          </w:p>
        </w:tc>
        <w:tc>
          <w:tcPr>
            <w:tcW w:w="2662" w:type="dxa"/>
            <w:vAlign w:val="center"/>
          </w:tcPr>
          <w:p>
            <w:pPr>
              <w:pStyle w:val="16"/>
            </w:pPr>
            <w:r>
              <w:t xml:space="preserve"> </w:t>
            </w:r>
            <w:r>
              <w:rPr>
                <w:rFonts w:hint="eastAsia"/>
              </w:rPr>
              <w:t>其中：公务用车购置费</w:t>
            </w:r>
          </w:p>
        </w:tc>
        <w:tc>
          <w:tcPr>
            <w:tcW w:w="1858" w:type="dxa"/>
            <w:vAlign w:val="center"/>
          </w:tcPr>
          <w:p>
            <w:pPr>
              <w:pStyle w:val="15"/>
            </w:pPr>
          </w:p>
        </w:tc>
        <w:tc>
          <w:tcPr>
            <w:tcW w:w="1867" w:type="dxa"/>
            <w:vAlign w:val="center"/>
          </w:tcPr>
          <w:p>
            <w:pPr>
              <w:pStyle w:val="15"/>
            </w:pPr>
          </w:p>
        </w:tc>
        <w:tc>
          <w:tcPr>
            <w:tcW w:w="1800" w:type="dxa"/>
            <w:vAlign w:val="center"/>
          </w:tcPr>
          <w:p>
            <w:pPr>
              <w:pStyle w:val="15"/>
            </w:pPr>
          </w:p>
        </w:tc>
        <w:tc>
          <w:tcPr>
            <w:tcW w:w="21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rPr>
                <w:lang w:eastAsia="zh-CN"/>
              </w:rPr>
            </w:pPr>
            <w:r>
              <w:rPr>
                <w:lang w:eastAsia="zh-CN"/>
              </w:rPr>
              <w:t>3</w:t>
            </w:r>
          </w:p>
        </w:tc>
        <w:tc>
          <w:tcPr>
            <w:tcW w:w="2662" w:type="dxa"/>
            <w:vAlign w:val="center"/>
          </w:tcPr>
          <w:p>
            <w:pPr>
              <w:pStyle w:val="16"/>
            </w:pPr>
            <w:r>
              <w:t xml:space="preserve"> </w:t>
            </w:r>
            <w:r>
              <w:rPr>
                <w:rFonts w:hint="eastAsia"/>
              </w:rPr>
              <w:t>公务用车运行维护费</w:t>
            </w:r>
          </w:p>
        </w:tc>
        <w:tc>
          <w:tcPr>
            <w:tcW w:w="1858" w:type="dxa"/>
            <w:vAlign w:val="center"/>
          </w:tcPr>
          <w:p>
            <w:pPr>
              <w:pStyle w:val="15"/>
              <w:rPr>
                <w:lang w:eastAsia="zh-CN"/>
              </w:rPr>
            </w:pPr>
            <w:r>
              <w:rPr>
                <w:lang w:eastAsia="zh-CN"/>
              </w:rPr>
              <w:t>3</w:t>
            </w:r>
          </w:p>
        </w:tc>
        <w:tc>
          <w:tcPr>
            <w:tcW w:w="1867" w:type="dxa"/>
            <w:vAlign w:val="center"/>
          </w:tcPr>
          <w:p>
            <w:pPr>
              <w:pStyle w:val="15"/>
              <w:rPr>
                <w:lang w:eastAsia="zh-CN"/>
              </w:rPr>
            </w:pPr>
            <w:r>
              <w:rPr>
                <w:lang w:eastAsia="zh-CN"/>
              </w:rPr>
              <w:t>3</w:t>
            </w:r>
          </w:p>
        </w:tc>
        <w:tc>
          <w:tcPr>
            <w:tcW w:w="1800" w:type="dxa"/>
            <w:vAlign w:val="center"/>
          </w:tcPr>
          <w:p>
            <w:pPr>
              <w:pStyle w:val="15"/>
            </w:pPr>
          </w:p>
        </w:tc>
        <w:tc>
          <w:tcPr>
            <w:tcW w:w="212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rPr>
                <w:lang w:eastAsia="zh-CN"/>
              </w:rPr>
            </w:pPr>
            <w:r>
              <w:rPr>
                <w:lang w:eastAsia="zh-CN"/>
              </w:rPr>
              <w:t>4</w:t>
            </w:r>
          </w:p>
        </w:tc>
        <w:tc>
          <w:tcPr>
            <w:tcW w:w="2662" w:type="dxa"/>
            <w:vAlign w:val="center"/>
          </w:tcPr>
          <w:p>
            <w:pPr>
              <w:pStyle w:val="16"/>
            </w:pPr>
            <w:r>
              <w:rPr>
                <w:rFonts w:hint="eastAsia"/>
                <w:lang w:eastAsia="zh-CN"/>
              </w:rPr>
              <w:t>二</w:t>
            </w:r>
            <w:r>
              <w:rPr>
                <w:rFonts w:hint="eastAsia"/>
              </w:rPr>
              <w:t>、公务接待费</w:t>
            </w:r>
          </w:p>
        </w:tc>
        <w:tc>
          <w:tcPr>
            <w:tcW w:w="1858" w:type="dxa"/>
            <w:vAlign w:val="center"/>
          </w:tcPr>
          <w:p>
            <w:pPr>
              <w:pStyle w:val="15"/>
              <w:rPr>
                <w:lang w:eastAsia="zh-CN"/>
              </w:rPr>
            </w:pPr>
            <w:r>
              <w:rPr>
                <w:lang w:eastAsia="zh-CN"/>
              </w:rPr>
              <w:t>1.6</w:t>
            </w:r>
          </w:p>
        </w:tc>
        <w:tc>
          <w:tcPr>
            <w:tcW w:w="1867" w:type="dxa"/>
            <w:vAlign w:val="center"/>
          </w:tcPr>
          <w:p>
            <w:pPr>
              <w:pStyle w:val="15"/>
              <w:rPr>
                <w:lang w:eastAsia="zh-CN"/>
              </w:rPr>
            </w:pPr>
            <w:r>
              <w:rPr>
                <w:lang w:eastAsia="zh-CN"/>
              </w:rPr>
              <w:t>1.6</w:t>
            </w:r>
          </w:p>
        </w:tc>
        <w:tc>
          <w:tcPr>
            <w:tcW w:w="1800" w:type="dxa"/>
            <w:vAlign w:val="center"/>
          </w:tcPr>
          <w:p/>
        </w:tc>
        <w:tc>
          <w:tcPr>
            <w:tcW w:w="212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rPr>
                <w:rFonts w:hint="default"/>
                <w:lang w:val="en-US" w:eastAsia="zh-CN"/>
              </w:rPr>
            </w:pPr>
            <w:r>
              <w:rPr>
                <w:rFonts w:hint="eastAsia"/>
                <w:lang w:val="en-US" w:eastAsia="zh-CN"/>
              </w:rPr>
              <w:t>5</w:t>
            </w:r>
          </w:p>
        </w:tc>
        <w:tc>
          <w:tcPr>
            <w:tcW w:w="2662" w:type="dxa"/>
            <w:vAlign w:val="center"/>
          </w:tcPr>
          <w:p>
            <w:pPr>
              <w:pStyle w:val="16"/>
              <w:rPr>
                <w:rFonts w:hint="eastAsia" w:eastAsia="方正书宋_GBK"/>
                <w:lang w:val="en-US" w:eastAsia="zh-CN"/>
              </w:rPr>
            </w:pPr>
            <w:r>
              <w:rPr>
                <w:rFonts w:hint="eastAsia"/>
                <w:lang w:val="en-US" w:eastAsia="zh-CN"/>
              </w:rPr>
              <w:t>总</w:t>
            </w:r>
            <w:bookmarkStart w:id="18" w:name="_GoBack"/>
            <w:bookmarkEnd w:id="18"/>
            <w:r>
              <w:rPr>
                <w:rFonts w:hint="eastAsia"/>
                <w:lang w:val="en-US" w:eastAsia="zh-CN"/>
              </w:rPr>
              <w:t>计</w:t>
            </w:r>
          </w:p>
        </w:tc>
        <w:tc>
          <w:tcPr>
            <w:tcW w:w="1858" w:type="dxa"/>
            <w:vAlign w:val="center"/>
          </w:tcPr>
          <w:p>
            <w:pPr>
              <w:pStyle w:val="15"/>
              <w:rPr>
                <w:rFonts w:hint="default"/>
                <w:lang w:val="en-US" w:eastAsia="zh-CN"/>
              </w:rPr>
            </w:pPr>
            <w:r>
              <w:rPr>
                <w:rFonts w:hint="eastAsia"/>
                <w:lang w:val="en-US" w:eastAsia="zh-CN"/>
              </w:rPr>
              <w:t>4.6</w:t>
            </w:r>
          </w:p>
        </w:tc>
        <w:tc>
          <w:tcPr>
            <w:tcW w:w="1867" w:type="dxa"/>
            <w:vAlign w:val="center"/>
          </w:tcPr>
          <w:p>
            <w:pPr>
              <w:pStyle w:val="15"/>
              <w:rPr>
                <w:rFonts w:hint="default"/>
                <w:lang w:val="en-US" w:eastAsia="zh-CN"/>
              </w:rPr>
            </w:pPr>
            <w:r>
              <w:rPr>
                <w:rFonts w:hint="eastAsia"/>
                <w:lang w:val="en-US" w:eastAsia="zh-CN"/>
              </w:rPr>
              <w:t>4.6</w:t>
            </w:r>
          </w:p>
        </w:tc>
        <w:tc>
          <w:tcPr>
            <w:tcW w:w="1800" w:type="dxa"/>
            <w:vAlign w:val="center"/>
          </w:tcPr>
          <w:p/>
        </w:tc>
        <w:tc>
          <w:tcPr>
            <w:tcW w:w="2123" w:type="dxa"/>
            <w:vAlign w:val="center"/>
          </w:tc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会保险事业管理局</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涞源县社会保险事业管理局</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按照《预算法》、《地方预决算公开操作规程》和《关于进一步推进预算公开工作的实施意见》规定，现将涞源县社会保险事业管理局</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我局社保工作在县政府的领导下，以科学发展观为统领，以落实目标任务为重点，团结奋进、开拓创新、狠抓落实，取得了目标任务全面完成、重点工作新突破的好成绩。扩大覆盖面、基金征缴创下了历年新高，基金管理、落实调待政策、确保发放以及信息化建设等取得了明显的社会效益，基础工作进一步完善，机构自身建设和经办管理服务能力进一步提高，为我市构建社会保险长效机制，维护社会稳定做出了积极的贡献。</w:t>
      </w:r>
    </w:p>
    <w:p>
      <w:pPr>
        <w:pStyle w:val="21"/>
      </w:pPr>
      <w:r>
        <w:rPr>
          <w:rFonts w:hint="eastAsia"/>
        </w:rPr>
        <w:t>一是坚持民生为本，以让更多人享有社会保障为目标，社会保险扩面征缴取得新突破。基金征缴是社会保险的生命线，我局今年通过加大对企业当期缴费和清理历史欠费的稽核力度，立足新起点，增添新措施，挖潜增收，千方百计提高基金征缴率，切实发挥发放的主渠道作用。</w:t>
      </w:r>
    </w:p>
    <w:p>
      <w:pPr>
        <w:pStyle w:val="21"/>
      </w:pPr>
      <w:r>
        <w:rPr>
          <w:rFonts w:hint="eastAsia"/>
        </w:rPr>
        <w:t>二是着力维护稳定大局，确保发放取得新成果。按照县政府的要求，我局以高度的政治责任感和历史使命感，不断强化举措，认真做好全年的确保发放和待遇调整工作。</w:t>
      </w:r>
    </w:p>
    <w:p>
      <w:pPr>
        <w:pStyle w:val="21"/>
      </w:pPr>
      <w:r>
        <w:rPr>
          <w:rFonts w:hint="eastAsia"/>
        </w:rPr>
        <w:t>三是社会化管理服务工作不断推进。自实施企业退休人员社会化管理服务以来，我县社会化管理服务工作不断推进，明确了退管机构</w:t>
      </w:r>
      <w:r>
        <w:t>“</w:t>
      </w:r>
      <w:r>
        <w:rPr>
          <w:rFonts w:hint="eastAsia"/>
        </w:rPr>
        <w:t>管理、服务、职能，积极探索居住在农村的企业退休人员社会化管理服务的新路子。　　　　</w:t>
      </w:r>
      <w:r>
        <w:t>——</w:t>
      </w:r>
      <w:r>
        <w:rPr>
          <w:rFonts w:hint="eastAsia"/>
        </w:rPr>
        <w:t>内控制度不断健全，基金安全得到进一步保障。社会保险基金的安全完整，直接关系到广大参保人员的切身利益，影响着社会保险稳定与和谐。今年以来，我局将基金管理作为首要责任加以落实，一是加大了内部控制制度建设。二是随着金保工程建设的推进，我市基金财务全面实现了会计电算化管理，使用了全省统一的基金财务应用软件，基础数据按月汇集上传，充分发挥了财务信息系统监督功能，财务管理日趋规范。三是提高与银行合作质效，确保基金的安全。主动做好与合作银行的协调工作。</w:t>
      </w:r>
    </w:p>
    <w:p>
      <w:pPr>
        <w:pStyle w:val="21"/>
      </w:pPr>
      <w:r>
        <w:rPr>
          <w:rFonts w:hint="eastAsia"/>
        </w:rPr>
        <w:t>　　</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0"/>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50" w:type="dxa"/>
            <w:vAlign w:val="center"/>
          </w:tcPr>
          <w:p>
            <w:pPr>
              <w:pStyle w:val="14"/>
            </w:pPr>
            <w:r>
              <w:rPr>
                <w:rFonts w:hint="eastAsia"/>
              </w:rPr>
              <w:t>单位名称</w:t>
            </w:r>
          </w:p>
        </w:tc>
        <w:tc>
          <w:tcPr>
            <w:tcW w:w="2464" w:type="dxa"/>
            <w:vAlign w:val="center"/>
          </w:tcPr>
          <w:p>
            <w:pPr>
              <w:pStyle w:val="14"/>
            </w:pPr>
            <w:r>
              <w:rPr>
                <w:rFonts w:hint="eastAsia"/>
              </w:rPr>
              <w:t>单位性质</w:t>
            </w:r>
          </w:p>
        </w:tc>
        <w:tc>
          <w:tcPr>
            <w:tcW w:w="2464" w:type="dxa"/>
            <w:vAlign w:val="center"/>
          </w:tcPr>
          <w:p>
            <w:pPr>
              <w:pStyle w:val="14"/>
            </w:pPr>
            <w:r>
              <w:rPr>
                <w:rFonts w:hint="eastAsia"/>
              </w:rPr>
              <w:t>单位规格</w:t>
            </w:r>
          </w:p>
        </w:tc>
        <w:tc>
          <w:tcPr>
            <w:tcW w:w="2464"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50" w:type="dxa"/>
            <w:vAlign w:val="center"/>
          </w:tcPr>
          <w:p>
            <w:pPr>
              <w:pStyle w:val="16"/>
            </w:pPr>
            <w:r>
              <w:rPr>
                <w:rFonts w:hint="eastAsia"/>
              </w:rPr>
              <w:t>涞源县社会保险事业管理局本级</w:t>
            </w:r>
          </w:p>
        </w:tc>
        <w:tc>
          <w:tcPr>
            <w:tcW w:w="2464" w:type="dxa"/>
            <w:vAlign w:val="center"/>
          </w:tcPr>
          <w:p>
            <w:pPr>
              <w:pStyle w:val="17"/>
            </w:pPr>
            <w:r>
              <w:rPr>
                <w:rFonts w:hint="eastAsia"/>
              </w:rPr>
              <w:t>事业</w:t>
            </w:r>
          </w:p>
        </w:tc>
        <w:tc>
          <w:tcPr>
            <w:tcW w:w="2464" w:type="dxa"/>
            <w:vAlign w:val="center"/>
          </w:tcPr>
          <w:p>
            <w:pPr>
              <w:pStyle w:val="17"/>
            </w:pPr>
            <w:r>
              <w:rPr>
                <w:rFonts w:hint="eastAsia"/>
              </w:rPr>
              <w:t>股级</w:t>
            </w:r>
          </w:p>
        </w:tc>
        <w:tc>
          <w:tcPr>
            <w:tcW w:w="2464" w:type="dxa"/>
            <w:vAlign w:val="center"/>
          </w:tcPr>
          <w:p>
            <w:pPr>
              <w:pStyle w:val="17"/>
            </w:pPr>
            <w:r>
              <w:rPr>
                <w:rFonts w:hint="eastAsia"/>
              </w:rPr>
              <w:t>财政性资金基本保证</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部门预算的编制实行综合预算管理，即全部收入和支出都反映在预算中。涞源县社会保险事业管理局机关的收支包含在部门预算中。</w:t>
      </w:r>
    </w:p>
    <w:p>
      <w:pPr>
        <w:pStyle w:val="22"/>
      </w:pPr>
      <w:r>
        <w:rPr>
          <w:rFonts w:hint="eastAsia"/>
        </w:rPr>
        <w:t>部门预算安排的总体情况</w:t>
      </w:r>
    </w:p>
    <w:p>
      <w:pPr>
        <w:pStyle w:val="22"/>
      </w:pPr>
      <w:r>
        <w:rPr>
          <w:rFonts w:hint="eastAsia"/>
        </w:rPr>
        <w:t>按照预算管理有关规定，目前我单位预算的编制实行综合预算制度，即全部收入和支出都反映在预算中。</w:t>
      </w:r>
    </w:p>
    <w:p>
      <w:pPr>
        <w:pStyle w:val="22"/>
      </w:pPr>
      <w:r>
        <w:t>1</w:t>
      </w:r>
      <w:r>
        <w:rPr>
          <w:rFonts w:hint="eastAsia"/>
        </w:rPr>
        <w:t>、收入说明</w:t>
      </w:r>
    </w:p>
    <w:p>
      <w:pPr>
        <w:pStyle w:val="22"/>
      </w:pPr>
      <w:r>
        <w:rPr>
          <w:rFonts w:hint="eastAsia"/>
        </w:rPr>
        <w:t>反映本单位当年全部收入。</w:t>
      </w:r>
      <w:r>
        <w:t>2022</w:t>
      </w:r>
      <w:r>
        <w:rPr>
          <w:rFonts w:hint="eastAsia"/>
        </w:rPr>
        <w:t>预算收入</w:t>
      </w:r>
      <w:r>
        <w:t>3624.11</w:t>
      </w:r>
      <w:r>
        <w:rPr>
          <w:rFonts w:hint="eastAsia"/>
        </w:rPr>
        <w:t>万元，其中：一般公共预算收入</w:t>
      </w:r>
      <w:r>
        <w:t>3624.11</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22"/>
      </w:pPr>
      <w:r>
        <w:t>2</w:t>
      </w:r>
      <w:r>
        <w:rPr>
          <w:rFonts w:hint="eastAsia"/>
        </w:rPr>
        <w:t>、支出说明</w:t>
      </w:r>
    </w:p>
    <w:p>
      <w:pPr>
        <w:pStyle w:val="22"/>
      </w:pPr>
      <w:r>
        <w:rPr>
          <w:rFonts w:hint="eastAsia"/>
        </w:rPr>
        <w:t>收支预算总表支出栏、基本支出表、项目支出表按经济分类和支出功能分类科目编制，反映涞源县社会保险事业管理局年度单位预算中支出预算的总体情况。</w:t>
      </w:r>
      <w:r>
        <w:t>2022</w:t>
      </w:r>
      <w:r>
        <w:rPr>
          <w:rFonts w:hint="eastAsia"/>
        </w:rPr>
        <w:t>年支出预算为</w:t>
      </w:r>
      <w:r>
        <w:t>3624.11</w:t>
      </w:r>
      <w:r>
        <w:rPr>
          <w:rFonts w:hint="eastAsia"/>
        </w:rPr>
        <w:t>万元，其中基本支出</w:t>
      </w:r>
      <w:r>
        <w:t>3574.3</w:t>
      </w:r>
      <w:r>
        <w:rPr>
          <w:rFonts w:hint="eastAsia"/>
        </w:rPr>
        <w:t>万元，包括人员经费</w:t>
      </w:r>
      <w:r>
        <w:t>3559.38</w:t>
      </w:r>
      <w:r>
        <w:rPr>
          <w:rFonts w:hint="eastAsia"/>
        </w:rPr>
        <w:t>万元和日常公用经费</w:t>
      </w:r>
      <w:r>
        <w:t>14.92</w:t>
      </w:r>
      <w:r>
        <w:rPr>
          <w:rFonts w:hint="eastAsia"/>
        </w:rPr>
        <w:t>万元；项目支出</w:t>
      </w:r>
      <w:r>
        <w:t>49.81</w:t>
      </w:r>
      <w:r>
        <w:rPr>
          <w:rFonts w:hint="eastAsia"/>
        </w:rPr>
        <w:t>万元，主要是扩面等工作。</w:t>
      </w:r>
    </w:p>
    <w:p>
      <w:pPr>
        <w:pStyle w:val="22"/>
      </w:pPr>
      <w:r>
        <w:t>3</w:t>
      </w:r>
      <w:r>
        <w:rPr>
          <w:rFonts w:hint="eastAsia"/>
        </w:rPr>
        <w:t>、比上年增减情况</w:t>
      </w:r>
    </w:p>
    <w:p>
      <w:pPr>
        <w:pStyle w:val="22"/>
      </w:pPr>
      <w:r>
        <w:t>2022</w:t>
      </w:r>
      <w:r>
        <w:rPr>
          <w:rFonts w:hint="eastAsia"/>
        </w:rPr>
        <w:t>年预算收支安排</w:t>
      </w:r>
      <w:r>
        <w:t>3624.11</w:t>
      </w:r>
      <w:r>
        <w:rPr>
          <w:rFonts w:hint="eastAsia"/>
        </w:rPr>
        <w:t>万元，较上年增加</w:t>
      </w:r>
      <w:r>
        <w:t>3308.4</w:t>
      </w:r>
      <w:r>
        <w:rPr>
          <w:rFonts w:hint="eastAsia"/>
        </w:rPr>
        <w:t>万元，其中：基本支出增加</w:t>
      </w:r>
      <w:r>
        <w:t>3308.40</w:t>
      </w:r>
      <w:r>
        <w:rPr>
          <w:rFonts w:hint="eastAsia"/>
        </w:rPr>
        <w:t>万元（人员经费增加</w:t>
      </w:r>
      <w:r>
        <w:t>3307.</w:t>
      </w:r>
      <w:r>
        <w:rPr>
          <w:rFonts w:hint="eastAsia"/>
        </w:rPr>
        <w:t>万元，日常公用经费比上年增加</w:t>
      </w:r>
      <w:r>
        <w:t>1.21</w:t>
      </w:r>
      <w:r>
        <w:rPr>
          <w:rFonts w:hint="eastAsia"/>
        </w:rPr>
        <w:t>万元），项目支出与上年持平。</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3"/>
      </w:pPr>
      <w:r>
        <w:rPr>
          <w:rFonts w:hint="eastAsia"/>
        </w:rPr>
        <w:t>机关运行经费安排情况</w:t>
      </w:r>
    </w:p>
    <w:p>
      <w:pPr>
        <w:pStyle w:val="23"/>
      </w:pPr>
      <w:r>
        <w:t>2022</w:t>
      </w:r>
      <w:r>
        <w:rPr>
          <w:rFonts w:hint="eastAsia"/>
        </w:rPr>
        <w:t>年，我单位运行经费安排共计</w:t>
      </w:r>
      <w:r>
        <w:t>14.71</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4"/>
      </w:pPr>
      <w:r>
        <w:t>2022</w:t>
      </w:r>
      <w:r>
        <w:rPr>
          <w:rFonts w:hint="eastAsia"/>
        </w:rPr>
        <w:t>年，我单财政拨款</w:t>
      </w:r>
      <w:r>
        <w:t>“</w:t>
      </w:r>
      <w:r>
        <w:rPr>
          <w:rFonts w:hint="eastAsia"/>
        </w:rPr>
        <w:t>三公</w:t>
      </w:r>
      <w:r>
        <w:t>”</w:t>
      </w:r>
      <w:r>
        <w:rPr>
          <w:rFonts w:hint="eastAsia"/>
        </w:rPr>
        <w:t>经费预算安排</w:t>
      </w:r>
      <w:r>
        <w:t>4.6</w:t>
      </w:r>
      <w:r>
        <w:rPr>
          <w:rFonts w:hint="eastAsia"/>
        </w:rPr>
        <w:t>万元，其中因公出国（境）费</w:t>
      </w:r>
      <w:r>
        <w:t>0</w:t>
      </w:r>
      <w:r>
        <w:rPr>
          <w:rFonts w:hint="eastAsia"/>
        </w:rPr>
        <w:t>万元；公务用车运行维护费用为</w:t>
      </w:r>
      <w:r>
        <w:t>3</w:t>
      </w:r>
      <w:r>
        <w:rPr>
          <w:rFonts w:hint="eastAsia"/>
        </w:rPr>
        <w:t>万元（其中：公务用车购置税为</w:t>
      </w:r>
      <w:r>
        <w:t>0</w:t>
      </w:r>
      <w:r>
        <w:rPr>
          <w:rFonts w:hint="eastAsia"/>
        </w:rPr>
        <w:t>万元，公务用车运维费为</w:t>
      </w:r>
      <w:r>
        <w:t>3</w:t>
      </w:r>
      <w:r>
        <w:rPr>
          <w:rFonts w:hint="eastAsia"/>
        </w:rPr>
        <w:t>万元），公务接待费</w:t>
      </w:r>
      <w:r>
        <w:t>1.6</w:t>
      </w:r>
      <w:r>
        <w:rPr>
          <w:rFonts w:hint="eastAsia"/>
        </w:rPr>
        <w:t>万元，与上年相比无持平，无增减变化。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第一部分部门整体绩效目标</w:t>
      </w:r>
    </w:p>
    <w:p>
      <w:pPr>
        <w:spacing w:line="500" w:lineRule="exact"/>
        <w:ind w:firstLine="560"/>
      </w:pPr>
      <w:r>
        <w:rPr>
          <w:rFonts w:hint="eastAsia" w:eastAsia="方正仿宋_GBK"/>
          <w:color w:val="000000"/>
          <w:sz w:val="28"/>
        </w:rPr>
        <w:t>（一）总体绩效目标</w:t>
      </w:r>
    </w:p>
    <w:p>
      <w:pPr>
        <w:pStyle w:val="25"/>
      </w:pPr>
      <w:r>
        <w:rPr>
          <w:rFonts w:hint="eastAsia"/>
        </w:rPr>
        <w:t>我国发展仍处于可以大有作为的重要战略机遇期，工业化、信息化、城镇化、市场化、国际化深入发展，为事业发展创造了良好环境。我国经济继续保持平稳较快发展，加快转变经济发展方式，坚持扩大内需特别是消费需求的战略，为事业发展提供了强大动力。社会养老保险体系的完善事关社会的可持续发展，关系到社会的稳定、居民的安全感和幸福感，是国家改善民生的重要手段。通过以上分析可以看出，我国社会养老保险体系建设还存在着一系列的问题，要解决这些问题需要从以下方面入手。</w:t>
      </w:r>
    </w:p>
    <w:p>
      <w:pPr>
        <w:pStyle w:val="25"/>
      </w:pPr>
      <w:r>
        <w:rPr>
          <w:rFonts w:hint="eastAsia"/>
        </w:rPr>
        <w:t>以农民工、非公有制经济组织从业人员和灵活就业人员为重点，扩大职工基本养老保险覆盖面，将未参保集体企业退休人员全部纳入基本养老保险保障范围。推动机关事业单位养老保险制度改革。实现新型农村社会养老保险制度全覆盖。实现基础养老金全国统筹，完善基本养老保险关系转移接续办法，逐步推进城乡养老保障制度有效衔接。建立健全与经济发展、工资增长和物价水平相适应的企业退休人员基本养老金正常调整机制，稳步提养老保险基础养老金水平。进一步做实基本养老保险个人账户，为全社会的老年人提供稳定、安乐的老年生活保障。</w:t>
      </w:r>
    </w:p>
    <w:p>
      <w:pPr>
        <w:spacing w:line="500" w:lineRule="exact"/>
        <w:ind w:firstLine="560"/>
      </w:pPr>
      <w:r>
        <w:rPr>
          <w:rFonts w:hint="eastAsia" w:eastAsia="方正仿宋_GBK"/>
          <w:color w:val="000000"/>
          <w:sz w:val="28"/>
        </w:rPr>
        <w:t>（二）分项绩效目标</w:t>
      </w:r>
    </w:p>
    <w:p>
      <w:pPr>
        <w:pStyle w:val="26"/>
      </w:pPr>
      <w:r>
        <w:rPr>
          <w:lang w:eastAsia="zh-CN"/>
        </w:rPr>
        <w:t>1</w:t>
      </w:r>
      <w:r>
        <w:rPr>
          <w:rFonts w:hint="eastAsia"/>
          <w:lang w:eastAsia="zh-CN"/>
        </w:rPr>
        <w:t>、</w:t>
      </w:r>
      <w:r>
        <w:rPr>
          <w:rFonts w:hint="eastAsia"/>
        </w:rPr>
        <w:t>增加参保人数，扩大社会养老保险覆盖率</w:t>
      </w:r>
    </w:p>
    <w:p>
      <w:pPr>
        <w:pStyle w:val="26"/>
        <w:rPr>
          <w:lang w:eastAsia="zh-CN"/>
        </w:rPr>
      </w:pPr>
      <w:r>
        <w:rPr>
          <w:rFonts w:hint="eastAsia"/>
        </w:rPr>
        <w:t>绩效目标：</w:t>
      </w:r>
      <w:r>
        <w:rPr>
          <w:rFonts w:hint="eastAsia"/>
          <w:lang w:eastAsia="zh-CN"/>
        </w:rPr>
        <w:t>强化宣传，扩大城乡居民覆盖面，充分利用社区宣传栏将城镇居民基本保险参保范围向辖区居民做好宣传，让符合条件的人员全部纳入居民参保范围。</w:t>
      </w:r>
    </w:p>
    <w:p>
      <w:pPr>
        <w:pStyle w:val="26"/>
        <w:numPr>
          <w:ilvl w:val="0"/>
          <w:numId w:val="1"/>
        </w:numPr>
        <w:rPr>
          <w:lang w:eastAsia="zh-CN"/>
        </w:rPr>
      </w:pPr>
      <w:r>
        <w:rPr>
          <w:rFonts w:hint="eastAsia"/>
          <w:lang w:eastAsia="zh-CN"/>
        </w:rPr>
        <w:t>加强作风建设，提高窗口服务水平</w:t>
      </w:r>
    </w:p>
    <w:p>
      <w:pPr>
        <w:pStyle w:val="26"/>
        <w:ind w:firstLine="0"/>
        <w:rPr>
          <w:lang w:eastAsia="zh-CN"/>
        </w:rPr>
      </w:pPr>
      <w:r>
        <w:rPr>
          <w:rFonts w:hint="eastAsia"/>
        </w:rPr>
        <w:t>绩效目标：</w:t>
      </w:r>
      <w:r>
        <w:rPr>
          <w:rFonts w:hint="eastAsia"/>
          <w:lang w:eastAsia="zh-CN"/>
        </w:rPr>
        <w:t>提高效率，减化办事程序，真正做到想群众之所想。</w:t>
      </w:r>
    </w:p>
    <w:p>
      <w:pPr>
        <w:spacing w:line="500" w:lineRule="exact"/>
        <w:ind w:firstLine="560"/>
        <w:rPr>
          <w:rFonts w:eastAsia="方正仿宋_GBK"/>
          <w:color w:val="000000"/>
          <w:sz w:val="28"/>
        </w:rPr>
      </w:pPr>
    </w:p>
    <w:p>
      <w:pPr>
        <w:spacing w:line="500" w:lineRule="exact"/>
        <w:ind w:left="557" w:leftChars="232" w:firstLine="92" w:firstLineChars="33"/>
      </w:pPr>
      <w:r>
        <w:rPr>
          <w:rFonts w:eastAsia="方正仿宋_GBK"/>
          <w:color w:val="000000"/>
          <w:sz w:val="28"/>
        </w:rPr>
        <w:br w:type="textWrapping"/>
      </w:r>
      <w:r>
        <w:rPr>
          <w:rFonts w:hint="eastAsia" w:eastAsia="方正仿宋_GBK"/>
          <w:color w:val="000000"/>
          <w:sz w:val="28"/>
        </w:rPr>
        <w:t>（三）工作保障措施</w:t>
      </w:r>
    </w:p>
    <w:p>
      <w:pPr>
        <w:pStyle w:val="27"/>
      </w:pPr>
      <w:r>
        <w:rPr>
          <w:rFonts w:hint="eastAsia"/>
        </w:rPr>
        <w:t>一是坚持民生为本，以让更多人享有社会保障为目标，社会保险扩面征缴取得新突破。基金征缴是社会保险的生命线，我局今年通过加大对企业当期缴费和清理历史欠费的稽核力度，立足新起点，增添新措施，挖潜增收，千方百计提高基金征缴率，切实发挥发放的主渠道作用。</w:t>
      </w:r>
    </w:p>
    <w:p>
      <w:pPr>
        <w:pStyle w:val="27"/>
      </w:pPr>
      <w:r>
        <w:rPr>
          <w:rFonts w:hint="eastAsia"/>
        </w:rPr>
        <w:t>二是着力维护稳定大局，确保发放取得新成果。按照县政府的要求，我局以高度的政治责任感和历史使命感，不断强化举措，认真做好全年的确保发放和待遇调整工作。</w:t>
      </w:r>
    </w:p>
    <w:p>
      <w:pPr>
        <w:pStyle w:val="27"/>
      </w:pPr>
      <w:r>
        <w:rPr>
          <w:rFonts w:hint="eastAsia"/>
        </w:rPr>
        <w:t>三是社会化管理服务工作不断推进。自实施企业退休人员社会化管理服务以来，我县社会化管理服务工作不断推进，明确了退管机构</w:t>
      </w:r>
      <w:r>
        <w:t>“</w:t>
      </w:r>
      <w:r>
        <w:rPr>
          <w:rFonts w:hint="eastAsia"/>
        </w:rPr>
        <w:t>管理、服务、职能，积极探索居住在农村的企业退休人员社会化管理服务的新路子</w:t>
      </w:r>
      <w:r>
        <w:t>——</w:t>
      </w:r>
      <w:r>
        <w:rPr>
          <w:rFonts w:hint="eastAsia"/>
        </w:rPr>
        <w:t>内控制度不断健全，基金安全得到进一步保障。社会保险基金的安全完整，直接关系到广大参保人员的切身利益，影响着社会保险稳定与和谐。今年以来，我局将基金管理作为首要责任加以落实，一是加大了内部控制制度建设。二是随着金保工程建设的推进，我市基金财务全面实现了会计电算化管理，使用了全省统一的基金财务应用软件，基础数据按月汇集上传，充分发挥了财务信息系统监督功能，财务管理日趋规范。三是提高与银行合作质效，确保基金的安全。主动做好与合作银行的协调工作。</w:t>
      </w:r>
    </w:p>
    <w:p>
      <w:pPr>
        <w:numPr>
          <w:ilvl w:val="0"/>
          <w:numId w:val="2"/>
        </w:numPr>
        <w:ind w:firstLine="640"/>
        <w:rPr>
          <w:rFonts w:ascii="方正楷体_GBK" w:hAnsi="方正楷体_GBK" w:eastAsia="方正楷体_GBK" w:cs="方正楷体_GBK"/>
          <w:b/>
          <w:color w:val="000000"/>
          <w:sz w:val="32"/>
          <w:lang w:eastAsia="zh-CN"/>
        </w:rPr>
      </w:pPr>
      <w:r>
        <w:rPr>
          <w:rFonts w:hint="eastAsia" w:ascii="方正楷体_GBK" w:hAnsi="方正楷体_GBK" w:eastAsia="方正楷体_GBK" w:cs="方正楷体_GBK"/>
          <w:b/>
          <w:color w:val="000000"/>
          <w:sz w:val="32"/>
        </w:rPr>
        <w:t>专项资金绩效目标</w:t>
      </w:r>
    </w:p>
    <w:p>
      <w:pPr>
        <w:ind w:firstLine="560" w:firstLineChars="200"/>
        <w:rPr>
          <w:sz w:val="28"/>
          <w:lang w:eastAsia="zh-CN"/>
        </w:rPr>
      </w:pPr>
      <w:r>
        <w:rPr>
          <w:rFonts w:hint="eastAsia" w:eastAsia="方正仿宋_GBK"/>
          <w:sz w:val="28"/>
          <w:lang w:eastAsia="zh-CN"/>
        </w:rPr>
        <w:t>无</w:t>
      </w:r>
    </w:p>
    <w:p>
      <w:pPr>
        <w:ind w:firstLine="560" w:firstLineChars="200"/>
        <w:rPr>
          <w:sz w:val="28"/>
          <w:lang w:eastAsia="zh-CN"/>
        </w:rPr>
      </w:pPr>
    </w:p>
    <w:p>
      <w:pPr>
        <w:ind w:firstLine="560" w:firstLineChars="200"/>
        <w:rPr>
          <w:sz w:val="28"/>
          <w:lang w:eastAsia="zh-CN"/>
        </w:rPr>
      </w:pPr>
    </w:p>
    <w:p>
      <w:pPr>
        <w:ind w:firstLine="560" w:firstLineChars="200"/>
        <w:rPr>
          <w:sz w:val="28"/>
          <w:lang w:eastAsia="zh-CN"/>
        </w:rPr>
      </w:pPr>
    </w:p>
    <w:p>
      <w:pPr>
        <w:ind w:firstLine="560" w:firstLineChars="200"/>
        <w:rPr>
          <w:sz w:val="28"/>
          <w:lang w:eastAsia="zh-CN"/>
        </w:rPr>
      </w:pPr>
    </w:p>
    <w:p>
      <w:pPr>
        <w:numPr>
          <w:ilvl w:val="0"/>
          <w:numId w:val="2"/>
        </w:num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预算项目绩效目标</w:t>
      </w:r>
    </w:p>
    <w:p>
      <w:pPr>
        <w:ind w:left="640"/>
        <w:rPr>
          <w:rFonts w:eastAsia="Times New Roman"/>
        </w:rPr>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、国企退休教师生活补贴补差绩效目标表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国企退休教师生活补贴补差</w:t>
            </w:r>
          </w:p>
          <w:p>
            <w:pPr>
              <w:pStyle w:val="16"/>
            </w:pPr>
            <w:r>
              <w:t>2.</w:t>
            </w:r>
            <w:r>
              <w:rPr>
                <w:rFonts w:hint="eastAsia"/>
              </w:rPr>
              <w:t>国企退休教师生活补贴补差</w:t>
            </w:r>
          </w:p>
          <w:p>
            <w:pPr>
              <w:pStyle w:val="16"/>
            </w:pPr>
            <w:r>
              <w:t>3.</w:t>
            </w:r>
            <w:r>
              <w:rPr>
                <w:rFonts w:hint="eastAsia"/>
              </w:rPr>
              <w:t>国企退休教师生活补贴补差</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支出完成率</w:t>
            </w:r>
          </w:p>
        </w:tc>
        <w:tc>
          <w:tcPr>
            <w:tcW w:w="2835" w:type="dxa"/>
            <w:vAlign w:val="center"/>
          </w:tcPr>
          <w:p>
            <w:pPr>
              <w:pStyle w:val="16"/>
            </w:pPr>
            <w:r>
              <w:rPr>
                <w:rFonts w:hint="eastAsia"/>
              </w:rPr>
              <w:t>按时有序支付</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资金到位率</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生态影响</w:t>
            </w:r>
          </w:p>
        </w:tc>
        <w:tc>
          <w:tcPr>
            <w:tcW w:w="2835" w:type="dxa"/>
            <w:vAlign w:val="center"/>
          </w:tcPr>
          <w:p>
            <w:pPr>
              <w:pStyle w:val="16"/>
            </w:pPr>
            <w:r>
              <w:rPr>
                <w:rFonts w:hint="eastAsia"/>
              </w:rPr>
              <w:t>生态影响</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客户满意度</w:t>
            </w:r>
          </w:p>
        </w:tc>
        <w:tc>
          <w:tcPr>
            <w:tcW w:w="2835" w:type="dxa"/>
            <w:vAlign w:val="center"/>
          </w:tcPr>
          <w:p>
            <w:pPr>
              <w:pStyle w:val="16"/>
            </w:pPr>
            <w:r>
              <w:rPr>
                <w:rFonts w:hint="eastAsia"/>
              </w:rPr>
              <w:t>客户满意度</w:t>
            </w:r>
          </w:p>
        </w:tc>
        <w:tc>
          <w:tcPr>
            <w:tcW w:w="2551" w:type="dxa"/>
            <w:vAlign w:val="center"/>
          </w:tcPr>
          <w:p>
            <w:pPr>
              <w:pStyle w:val="16"/>
            </w:pPr>
            <w:r>
              <w:t>100</w:t>
            </w:r>
          </w:p>
        </w:tc>
        <w:tc>
          <w:tcPr>
            <w:tcW w:w="2268" w:type="dxa"/>
            <w:vAlign w:val="center"/>
          </w:tcPr>
          <w:p>
            <w:pPr>
              <w:pStyle w:val="16"/>
            </w:pPr>
            <w:r>
              <w:rPr>
                <w:rFonts w:hint="eastAsia"/>
              </w:rPr>
              <w:t>根据财政预算安排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、社保局企业养老扩面补贴绩效目标表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社保局企业养老扩面补贴</w:t>
            </w:r>
            <w:r>
              <w:t>"</w:t>
            </w:r>
            <w:r>
              <w:tab/>
            </w:r>
            <w:r>
              <w:tab/>
            </w:r>
            <w:r>
              <w:tab/>
            </w:r>
            <w:r>
              <w:tab/>
            </w:r>
            <w:r>
              <w:tab/>
            </w:r>
            <w:r>
              <w:tab/>
            </w:r>
            <w:r>
              <w:tab/>
            </w:r>
          </w:p>
          <w:p>
            <w:pPr>
              <w:pStyle w:val="16"/>
            </w:pPr>
            <w:r>
              <w:t>2.</w:t>
            </w:r>
            <w:r>
              <w:rPr>
                <w:rFonts w:hint="eastAsia"/>
              </w:rPr>
              <w:t>社保局企业养老扩面补贴</w:t>
            </w:r>
          </w:p>
          <w:p>
            <w:pPr>
              <w:pStyle w:val="16"/>
            </w:pPr>
            <w:r>
              <w:t>3.</w:t>
            </w:r>
            <w:r>
              <w:rPr>
                <w:rFonts w:hint="eastAsia"/>
              </w:rPr>
              <w:t>社保局企业养老扩面补贴</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支出完成率</w:t>
            </w:r>
          </w:p>
        </w:tc>
        <w:tc>
          <w:tcPr>
            <w:tcW w:w="2835" w:type="dxa"/>
            <w:vAlign w:val="center"/>
          </w:tcPr>
          <w:p>
            <w:pPr>
              <w:pStyle w:val="16"/>
            </w:pPr>
            <w:r>
              <w:rPr>
                <w:rFonts w:hint="eastAsia"/>
              </w:rPr>
              <w:t>按时有序支付</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资金到位率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、社保局社会保险经办机构专项工作经费绩效目标表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社保局社会保险经办机构专项工作经费</w:t>
            </w:r>
          </w:p>
          <w:p>
            <w:pPr>
              <w:pStyle w:val="16"/>
            </w:pPr>
            <w:r>
              <w:t>2.</w:t>
            </w:r>
            <w:r>
              <w:rPr>
                <w:rFonts w:hint="eastAsia"/>
              </w:rPr>
              <w:t>社保局社会保险经办机构专项工作经费</w:t>
            </w:r>
          </w:p>
          <w:p>
            <w:pPr>
              <w:pStyle w:val="16"/>
            </w:pPr>
            <w:r>
              <w:t>3.</w:t>
            </w:r>
            <w:r>
              <w:rPr>
                <w:rFonts w:hint="eastAsia"/>
              </w:rPr>
              <w:t>社保局社会保险经办机构专项工作经费</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支出完成率</w:t>
            </w:r>
          </w:p>
        </w:tc>
        <w:tc>
          <w:tcPr>
            <w:tcW w:w="2835" w:type="dxa"/>
            <w:vAlign w:val="center"/>
          </w:tcPr>
          <w:p>
            <w:pPr>
              <w:pStyle w:val="16"/>
            </w:pPr>
            <w:r>
              <w:rPr>
                <w:rFonts w:hint="eastAsia"/>
              </w:rPr>
              <w:t>按时有序支付</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资金到位率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w:t>
            </w:r>
          </w:p>
        </w:tc>
        <w:tc>
          <w:tcPr>
            <w:tcW w:w="2835" w:type="dxa"/>
            <w:vAlign w:val="center"/>
          </w:tcPr>
          <w:p>
            <w:pPr>
              <w:pStyle w:val="16"/>
            </w:pPr>
            <w:r>
              <w:rPr>
                <w:rFonts w:hint="eastAsia"/>
              </w:rPr>
              <w:t>成本控制</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w:t>
            </w:r>
          </w:p>
        </w:tc>
        <w:tc>
          <w:tcPr>
            <w:tcW w:w="2835" w:type="dxa"/>
            <w:vAlign w:val="center"/>
          </w:tcPr>
          <w:p>
            <w:pPr>
              <w:pStyle w:val="16"/>
            </w:pPr>
            <w:r>
              <w:rPr>
                <w:rFonts w:hint="eastAsia"/>
              </w:rPr>
              <w:t>社会效益</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满意度</w:t>
            </w:r>
          </w:p>
        </w:tc>
        <w:tc>
          <w:tcPr>
            <w:tcW w:w="2835" w:type="dxa"/>
            <w:vAlign w:val="center"/>
          </w:tcPr>
          <w:p>
            <w:pPr>
              <w:pStyle w:val="16"/>
            </w:pPr>
            <w:r>
              <w:rPr>
                <w:rFonts w:hint="eastAsia"/>
              </w:rPr>
              <w:t>满意度</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、社保局网络维护及软件升级费绩效目标表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社保局网络维护及软件升级费</w:t>
            </w:r>
            <w:r>
              <w:tab/>
            </w:r>
            <w:r>
              <w:tab/>
            </w:r>
          </w:p>
          <w:p>
            <w:pPr>
              <w:pStyle w:val="16"/>
            </w:pPr>
          </w:p>
          <w:p>
            <w:pPr>
              <w:pStyle w:val="16"/>
            </w:pPr>
            <w:r>
              <w:t>2.</w:t>
            </w:r>
            <w:r>
              <w:rPr>
                <w:rFonts w:hint="eastAsia"/>
              </w:rPr>
              <w:t>社保局网络维护及软件升级费</w:t>
            </w:r>
            <w:r>
              <w:tab/>
            </w:r>
            <w:r>
              <w:tab/>
            </w:r>
          </w:p>
          <w:p>
            <w:pPr>
              <w:pStyle w:val="16"/>
            </w:pPr>
          </w:p>
          <w:p>
            <w:pPr>
              <w:pStyle w:val="16"/>
            </w:pPr>
            <w:r>
              <w:t>3.</w:t>
            </w:r>
            <w:r>
              <w:rPr>
                <w:rFonts w:hint="eastAsia"/>
              </w:rPr>
              <w:t>社保局网络维护及软件升级费</w:t>
            </w:r>
            <w:r>
              <w:tab/>
            </w:r>
            <w:r>
              <w:tab/>
            </w:r>
          </w:p>
          <w:p>
            <w:pPr>
              <w:pStyle w:val="16"/>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支出完成率</w:t>
            </w:r>
          </w:p>
        </w:tc>
        <w:tc>
          <w:tcPr>
            <w:tcW w:w="2835" w:type="dxa"/>
            <w:vAlign w:val="center"/>
          </w:tcPr>
          <w:p>
            <w:pPr>
              <w:pStyle w:val="16"/>
            </w:pPr>
            <w:r>
              <w:rPr>
                <w:rFonts w:hint="eastAsia"/>
              </w:rPr>
              <w:t>按时有序支付</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资金到位率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成本控制率</w:t>
            </w:r>
          </w:p>
        </w:tc>
        <w:tc>
          <w:tcPr>
            <w:tcW w:w="2835" w:type="dxa"/>
            <w:vAlign w:val="center"/>
          </w:tcPr>
          <w:p>
            <w:pPr>
              <w:pStyle w:val="16"/>
            </w:pPr>
            <w:r>
              <w:rPr>
                <w:rFonts w:hint="eastAsia"/>
              </w:rPr>
              <w:t>成本控制率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t>100</w:t>
            </w:r>
          </w:p>
        </w:tc>
        <w:tc>
          <w:tcPr>
            <w:tcW w:w="2268" w:type="dxa"/>
            <w:vAlign w:val="center"/>
          </w:tcPr>
          <w:p>
            <w:pPr>
              <w:pStyle w:val="16"/>
            </w:pPr>
            <w:r>
              <w:rPr>
                <w:rFonts w:hint="eastAsia"/>
              </w:rPr>
              <w:t>根据年初预算安排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、社保局指纹认证绩效目标表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社保局指纹认证</w:t>
            </w:r>
          </w:p>
          <w:p>
            <w:pPr>
              <w:pStyle w:val="16"/>
            </w:pPr>
            <w:r>
              <w:t>2.</w:t>
            </w:r>
            <w:r>
              <w:rPr>
                <w:rFonts w:hint="eastAsia"/>
              </w:rPr>
              <w:t>社保局指纹认证</w:t>
            </w:r>
          </w:p>
          <w:p>
            <w:pPr>
              <w:pStyle w:val="16"/>
            </w:pPr>
            <w:r>
              <w:t>3.</w:t>
            </w:r>
            <w:r>
              <w:rPr>
                <w:rFonts w:hint="eastAsia"/>
              </w:rPr>
              <w:t>社保局指纹认证</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pPr>
            <w:r>
              <w:rPr>
                <w:rFonts w:hint="eastAsia"/>
              </w:rPr>
              <w:t>支出完成率</w:t>
            </w:r>
          </w:p>
        </w:tc>
        <w:tc>
          <w:tcPr>
            <w:tcW w:w="2835" w:type="dxa"/>
            <w:vAlign w:val="center"/>
          </w:tcPr>
          <w:p>
            <w:pPr>
              <w:pStyle w:val="16"/>
            </w:pPr>
            <w:r>
              <w:rPr>
                <w:rFonts w:hint="eastAsia"/>
              </w:rPr>
              <w:t>按时有序支付</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rPr>
              <w:t>资金到位率</w:t>
            </w:r>
          </w:p>
        </w:tc>
        <w:tc>
          <w:tcPr>
            <w:tcW w:w="2835" w:type="dxa"/>
            <w:vAlign w:val="center"/>
          </w:tcPr>
          <w:p>
            <w:pPr>
              <w:pStyle w:val="16"/>
            </w:pPr>
            <w:r>
              <w:rPr>
                <w:rFonts w:hint="eastAsia"/>
              </w:rPr>
              <w:t>资金到位率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center"/>
          </w:tcPr>
          <w:p>
            <w:pPr>
              <w:pStyle w:val="16"/>
            </w:pPr>
            <w:r>
              <w:rPr>
                <w:rFonts w:hint="eastAsia"/>
              </w:rPr>
              <w:t>及时性</w:t>
            </w:r>
          </w:p>
        </w:tc>
        <w:tc>
          <w:tcPr>
            <w:tcW w:w="2835" w:type="dxa"/>
            <w:vAlign w:val="center"/>
          </w:tcPr>
          <w:p>
            <w:pPr>
              <w:pStyle w:val="16"/>
            </w:pPr>
            <w:r>
              <w:rPr>
                <w:rFonts w:hint="eastAsia"/>
              </w:rPr>
              <w:t>及时性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成本指标</w:t>
            </w:r>
          </w:p>
        </w:tc>
        <w:tc>
          <w:tcPr>
            <w:tcW w:w="2835" w:type="dxa"/>
            <w:vAlign w:val="center"/>
          </w:tcPr>
          <w:p>
            <w:pPr>
              <w:pStyle w:val="16"/>
            </w:pPr>
            <w:r>
              <w:rPr>
                <w:rFonts w:hint="eastAsia"/>
              </w:rPr>
              <w:t>成本控制率</w:t>
            </w:r>
          </w:p>
        </w:tc>
        <w:tc>
          <w:tcPr>
            <w:tcW w:w="2835" w:type="dxa"/>
            <w:vAlign w:val="center"/>
          </w:tcPr>
          <w:p>
            <w:pPr>
              <w:pStyle w:val="16"/>
            </w:pPr>
            <w:r>
              <w:rPr>
                <w:rFonts w:hint="eastAsia"/>
              </w:rPr>
              <w:t>成本控制率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835" w:type="dxa"/>
            <w:vAlign w:val="center"/>
          </w:tcPr>
          <w:p>
            <w:pPr>
              <w:pStyle w:val="16"/>
            </w:pPr>
            <w:r>
              <w:rPr>
                <w:rFonts w:hint="eastAsia"/>
              </w:rPr>
              <w:t>经济效益指标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835" w:type="dxa"/>
            <w:vAlign w:val="center"/>
          </w:tcPr>
          <w:p>
            <w:pPr>
              <w:pStyle w:val="16"/>
            </w:pPr>
            <w:r>
              <w:rPr>
                <w:rFonts w:hint="eastAsia"/>
              </w:rPr>
              <w:t>社会效益指标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835" w:type="dxa"/>
            <w:vAlign w:val="center"/>
          </w:tcPr>
          <w:p>
            <w:pPr>
              <w:pStyle w:val="16"/>
            </w:pPr>
            <w:r>
              <w:rPr>
                <w:rFonts w:hint="eastAsia"/>
              </w:rPr>
              <w:t>生态效益指标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center"/>
          </w:tcPr>
          <w:p>
            <w:pPr>
              <w:pStyle w:val="16"/>
            </w:pPr>
            <w:r>
              <w:rPr>
                <w:rFonts w:hint="eastAsia"/>
              </w:rPr>
              <w:t>可持续性</w:t>
            </w:r>
          </w:p>
        </w:tc>
        <w:tc>
          <w:tcPr>
            <w:tcW w:w="2835" w:type="dxa"/>
            <w:vAlign w:val="center"/>
          </w:tcPr>
          <w:p>
            <w:pPr>
              <w:pStyle w:val="16"/>
            </w:pPr>
            <w:r>
              <w:rPr>
                <w:rFonts w:hint="eastAsia"/>
              </w:rPr>
              <w:t>可持续性</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rPr>
              <w:t>满意率</w:t>
            </w:r>
          </w:p>
        </w:tc>
        <w:tc>
          <w:tcPr>
            <w:tcW w:w="2835" w:type="dxa"/>
            <w:vAlign w:val="center"/>
          </w:tcPr>
          <w:p>
            <w:pPr>
              <w:pStyle w:val="16"/>
            </w:pPr>
            <w:r>
              <w:rPr>
                <w:rFonts w:hint="eastAsia"/>
              </w:rPr>
              <w:t>满意率</w:t>
            </w:r>
          </w:p>
        </w:tc>
        <w:tc>
          <w:tcPr>
            <w:tcW w:w="2551" w:type="dxa"/>
            <w:vAlign w:val="center"/>
          </w:tcPr>
          <w:p>
            <w:pPr>
              <w:pStyle w:val="16"/>
            </w:pPr>
            <w:r>
              <w:t>100</w:t>
            </w:r>
          </w:p>
        </w:tc>
        <w:tc>
          <w:tcPr>
            <w:tcW w:w="2268" w:type="dxa"/>
            <w:vAlign w:val="center"/>
          </w:tcPr>
          <w:p>
            <w:pPr>
              <w:pStyle w:val="16"/>
            </w:pPr>
            <w:r>
              <w:rPr>
                <w:rFonts w:hint="eastAsia"/>
              </w:rPr>
              <w:t>根据财政年初预算安排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年，涞源县社会保险事业管理局安排政府采购预算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5"/>
        <w:gridCol w:w="1025"/>
        <w:gridCol w:w="825"/>
        <w:gridCol w:w="1013"/>
        <w:gridCol w:w="900"/>
        <w:gridCol w:w="875"/>
        <w:gridCol w:w="695"/>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958" w:type="dxa"/>
            <w:gridSpan w:val="7"/>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8316"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50" w:type="dxa"/>
            <w:gridSpan w:val="2"/>
            <w:vAlign w:val="center"/>
          </w:tcPr>
          <w:p>
            <w:pPr>
              <w:pStyle w:val="14"/>
            </w:pPr>
            <w:r>
              <w:rPr>
                <w:rFonts w:hint="eastAsia"/>
              </w:rPr>
              <w:t>政府采购项目来源</w:t>
            </w:r>
          </w:p>
        </w:tc>
        <w:tc>
          <w:tcPr>
            <w:tcW w:w="825" w:type="dxa"/>
            <w:vMerge w:val="restart"/>
            <w:vAlign w:val="center"/>
          </w:tcPr>
          <w:p>
            <w:pPr>
              <w:pStyle w:val="14"/>
            </w:pPr>
            <w:r>
              <w:rPr>
                <w:rFonts w:hint="eastAsia"/>
              </w:rPr>
              <w:t>采购物品名称</w:t>
            </w:r>
          </w:p>
        </w:tc>
        <w:tc>
          <w:tcPr>
            <w:tcW w:w="1013" w:type="dxa"/>
            <w:vMerge w:val="restart"/>
            <w:vAlign w:val="center"/>
          </w:tcPr>
          <w:p>
            <w:pPr>
              <w:pStyle w:val="14"/>
            </w:pPr>
            <w:r>
              <w:rPr>
                <w:rFonts w:hint="eastAsia"/>
              </w:rPr>
              <w:t>政府采购目录序号</w:t>
            </w:r>
          </w:p>
        </w:tc>
        <w:tc>
          <w:tcPr>
            <w:tcW w:w="900" w:type="dxa"/>
            <w:vMerge w:val="restart"/>
            <w:vAlign w:val="center"/>
          </w:tcPr>
          <w:p>
            <w:pPr>
              <w:pStyle w:val="14"/>
            </w:pPr>
            <w:r>
              <w:rPr>
                <w:rFonts w:hint="eastAsia"/>
              </w:rPr>
              <w:t>计量单位</w:t>
            </w:r>
          </w:p>
        </w:tc>
        <w:tc>
          <w:tcPr>
            <w:tcW w:w="875" w:type="dxa"/>
            <w:vMerge w:val="restart"/>
            <w:vAlign w:val="center"/>
          </w:tcPr>
          <w:p>
            <w:pPr>
              <w:pStyle w:val="14"/>
            </w:pPr>
            <w:r>
              <w:rPr>
                <w:rFonts w:hint="eastAsia"/>
              </w:rPr>
              <w:t>数量</w:t>
            </w:r>
          </w:p>
        </w:tc>
        <w:tc>
          <w:tcPr>
            <w:tcW w:w="695" w:type="dxa"/>
            <w:vMerge w:val="restart"/>
            <w:vAlign w:val="center"/>
          </w:tcPr>
          <w:p>
            <w:pPr>
              <w:pStyle w:val="14"/>
            </w:pPr>
            <w:r>
              <w:rPr>
                <w:rFonts w:hint="eastAsia"/>
              </w:rPr>
              <w:t>单价</w:t>
            </w:r>
          </w:p>
        </w:tc>
        <w:tc>
          <w:tcPr>
            <w:tcW w:w="7392" w:type="dxa"/>
            <w:gridSpan w:val="8"/>
            <w:vAlign w:val="center"/>
          </w:tcPr>
          <w:p>
            <w:pPr>
              <w:pStyle w:val="14"/>
            </w:pPr>
            <w:r>
              <w:rPr>
                <w:rFonts w:hint="eastAsia"/>
              </w:rPr>
              <w:t>政府采购金额（当年部门预算安排资金）</w:t>
            </w:r>
          </w:p>
        </w:tc>
        <w:tc>
          <w:tcPr>
            <w:tcW w:w="924" w:type="dxa"/>
            <w:vMerge w:val="restart"/>
            <w:vAlign w:val="center"/>
          </w:tcPr>
          <w:p>
            <w:pPr>
              <w:pStyle w:val="14"/>
            </w:pPr>
            <w:r>
              <w:t>2022</w:t>
            </w:r>
            <w:r>
              <w:rPr>
                <w:rFonts w:hint="eastAsia"/>
              </w:rP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5" w:type="dxa"/>
            <w:vAlign w:val="center"/>
          </w:tcPr>
          <w:p>
            <w:pPr>
              <w:pStyle w:val="14"/>
            </w:pPr>
            <w:r>
              <w:rPr>
                <w:rFonts w:hint="eastAsia"/>
              </w:rPr>
              <w:t>项目名称</w:t>
            </w:r>
          </w:p>
        </w:tc>
        <w:tc>
          <w:tcPr>
            <w:tcW w:w="1025" w:type="dxa"/>
            <w:vAlign w:val="center"/>
          </w:tcPr>
          <w:p>
            <w:pPr>
              <w:pStyle w:val="14"/>
            </w:pPr>
            <w:r>
              <w:rPr>
                <w:rFonts w:hint="eastAsia"/>
              </w:rPr>
              <w:t>预算资金</w:t>
            </w:r>
          </w:p>
        </w:tc>
        <w:tc>
          <w:tcPr>
            <w:tcW w:w="825" w:type="dxa"/>
            <w:vMerge w:val="continue"/>
          </w:tcPr>
          <w:p/>
        </w:tc>
        <w:tc>
          <w:tcPr>
            <w:tcW w:w="1013" w:type="dxa"/>
            <w:vMerge w:val="continue"/>
          </w:tcPr>
          <w:p/>
        </w:tc>
        <w:tc>
          <w:tcPr>
            <w:tcW w:w="900" w:type="dxa"/>
            <w:vMerge w:val="continue"/>
          </w:tcPr>
          <w:p/>
        </w:tc>
        <w:tc>
          <w:tcPr>
            <w:tcW w:w="875" w:type="dxa"/>
            <w:vMerge w:val="continue"/>
          </w:tcPr>
          <w:p/>
        </w:tc>
        <w:tc>
          <w:tcPr>
            <w:tcW w:w="695" w:type="dxa"/>
            <w:vMerge w:val="continue"/>
          </w:tcPr>
          <w:p/>
        </w:tc>
        <w:tc>
          <w:tcPr>
            <w:tcW w:w="924" w:type="dxa"/>
            <w:vAlign w:val="center"/>
          </w:tcPr>
          <w:p>
            <w:pPr>
              <w:pStyle w:val="14"/>
            </w:pPr>
            <w:r>
              <w:rPr>
                <w:rFonts w:hint="eastAsia"/>
              </w:rPr>
              <w:t>合计</w:t>
            </w:r>
          </w:p>
        </w:tc>
        <w:tc>
          <w:tcPr>
            <w:tcW w:w="924" w:type="dxa"/>
            <w:vAlign w:val="center"/>
          </w:tcPr>
          <w:p>
            <w:pPr>
              <w:pStyle w:val="14"/>
            </w:pPr>
            <w:r>
              <w:rPr>
                <w:rFonts w:hint="eastAsia"/>
              </w:rPr>
              <w:t>一般公共预算拨款</w:t>
            </w:r>
          </w:p>
        </w:tc>
        <w:tc>
          <w:tcPr>
            <w:tcW w:w="924" w:type="dxa"/>
            <w:vAlign w:val="center"/>
          </w:tcPr>
          <w:p>
            <w:pPr>
              <w:pStyle w:val="14"/>
            </w:pPr>
            <w:r>
              <w:rPr>
                <w:rFonts w:hint="eastAsia"/>
              </w:rPr>
              <w:t>基金预算拨款</w:t>
            </w:r>
          </w:p>
        </w:tc>
        <w:tc>
          <w:tcPr>
            <w:tcW w:w="924" w:type="dxa"/>
            <w:vAlign w:val="center"/>
          </w:tcPr>
          <w:p>
            <w:pPr>
              <w:pStyle w:val="14"/>
            </w:pPr>
            <w:r>
              <w:rPr>
                <w:rFonts w:hint="eastAsia"/>
              </w:rPr>
              <w:t>国有资本经营预算拨款</w:t>
            </w:r>
          </w:p>
        </w:tc>
        <w:tc>
          <w:tcPr>
            <w:tcW w:w="924" w:type="dxa"/>
            <w:vAlign w:val="center"/>
          </w:tcPr>
          <w:p>
            <w:pPr>
              <w:pStyle w:val="14"/>
            </w:pPr>
            <w:r>
              <w:rPr>
                <w:rFonts w:hint="eastAsia"/>
              </w:rPr>
              <w:t>财政专户核拨</w:t>
            </w:r>
          </w:p>
        </w:tc>
        <w:tc>
          <w:tcPr>
            <w:tcW w:w="924" w:type="dxa"/>
            <w:vAlign w:val="center"/>
          </w:tcPr>
          <w:p>
            <w:pPr>
              <w:pStyle w:val="14"/>
            </w:pPr>
            <w:r>
              <w:rPr>
                <w:rFonts w:hint="eastAsia"/>
              </w:rPr>
              <w:t>单位资金</w:t>
            </w:r>
          </w:p>
        </w:tc>
        <w:tc>
          <w:tcPr>
            <w:tcW w:w="924" w:type="dxa"/>
            <w:vAlign w:val="center"/>
          </w:tcPr>
          <w:p>
            <w:pPr>
              <w:pStyle w:val="14"/>
            </w:pPr>
            <w:r>
              <w:rPr>
                <w:rFonts w:hint="eastAsia"/>
              </w:rPr>
              <w:t>财政拨款结转</w:t>
            </w:r>
          </w:p>
        </w:tc>
        <w:tc>
          <w:tcPr>
            <w:tcW w:w="924" w:type="dxa"/>
            <w:vAlign w:val="center"/>
          </w:tcPr>
          <w:p>
            <w:pPr>
              <w:pStyle w:val="14"/>
            </w:pPr>
            <w:r>
              <w:rPr>
                <w:rFonts w:hint="eastAsia"/>
              </w:rPr>
              <w:t>非财政拨款结转结余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625" w:type="dxa"/>
            <w:vAlign w:val="center"/>
          </w:tcPr>
          <w:p>
            <w:pPr>
              <w:pStyle w:val="16"/>
            </w:pPr>
          </w:p>
        </w:tc>
        <w:tc>
          <w:tcPr>
            <w:tcW w:w="1025" w:type="dxa"/>
            <w:vAlign w:val="center"/>
          </w:tcPr>
          <w:p>
            <w:pPr>
              <w:pStyle w:val="15"/>
            </w:pPr>
          </w:p>
        </w:tc>
        <w:tc>
          <w:tcPr>
            <w:tcW w:w="825" w:type="dxa"/>
            <w:vAlign w:val="center"/>
          </w:tcPr>
          <w:p>
            <w:pPr>
              <w:pStyle w:val="16"/>
            </w:pPr>
          </w:p>
        </w:tc>
        <w:tc>
          <w:tcPr>
            <w:tcW w:w="1013" w:type="dxa"/>
            <w:vAlign w:val="center"/>
          </w:tcPr>
          <w:p>
            <w:pPr>
              <w:pStyle w:val="16"/>
            </w:pPr>
          </w:p>
        </w:tc>
        <w:tc>
          <w:tcPr>
            <w:tcW w:w="900" w:type="dxa"/>
            <w:vAlign w:val="center"/>
          </w:tcPr>
          <w:p>
            <w:pPr>
              <w:pStyle w:val="17"/>
            </w:pPr>
          </w:p>
        </w:tc>
        <w:tc>
          <w:tcPr>
            <w:tcW w:w="875" w:type="dxa"/>
            <w:vAlign w:val="center"/>
          </w:tcPr>
          <w:p>
            <w:pPr>
              <w:pStyle w:val="15"/>
            </w:pPr>
          </w:p>
        </w:tc>
        <w:tc>
          <w:tcPr>
            <w:tcW w:w="695"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rPr>
          <w:lang w:eastAsia="zh-CN"/>
        </w:rPr>
      </w:pPr>
      <w:r>
        <w:rPr>
          <w:rFonts w:hint="eastAsia" w:ascii="方正书宋_GBK" w:hAnsi="方正书宋_GBK" w:eastAsia="方正书宋_GBK" w:cs="方正书宋_GBK"/>
          <w:color w:val="000000"/>
          <w:sz w:val="21"/>
        </w:rPr>
        <w:t>注：无政府采购预算，空表列示。</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rPr>
          <w:color w:val="000000"/>
          <w:sz w:val="28"/>
          <w:lang w:eastAsia="zh-CN"/>
        </w:rPr>
      </w:pPr>
      <w:r>
        <w:rPr>
          <w:rFonts w:hint="eastAsia" w:eastAsia="方正仿宋_GBK"/>
          <w:color w:val="000000"/>
          <w:sz w:val="28"/>
        </w:rPr>
        <w:t>涞源县社会保险事业管理局（含所属单位）上年末固定资产金额为</w:t>
      </w:r>
      <w:r>
        <w:rPr>
          <w:rFonts w:eastAsia="方正仿宋_GBK"/>
          <w:color w:val="000000"/>
          <w:sz w:val="28"/>
          <w:lang w:eastAsia="zh-CN"/>
        </w:rPr>
        <w:t>260.51</w:t>
      </w:r>
      <w:r>
        <w:rPr>
          <w:rFonts w:hint="eastAsia" w:eastAsia="方正仿宋_GBK"/>
          <w:color w:val="000000"/>
          <w:sz w:val="28"/>
        </w:rPr>
        <w:t>万元（详见下表）。本年度拟购置固定资产总额为</w:t>
      </w:r>
      <w:r>
        <w:rPr>
          <w:rFonts w:eastAsia="方正仿宋_GBK"/>
          <w:color w:val="000000"/>
          <w:sz w:val="28"/>
          <w:lang w:eastAsia="zh-CN"/>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323</w:t>
            </w:r>
            <w:r>
              <w:rPr>
                <w:rFonts w:hint="eastAsia"/>
              </w:rPr>
              <w:t>涞源县社会保险事业管理局</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rPr>
                <w:lang w:eastAsia="zh-CN"/>
              </w:rPr>
            </w:pPr>
            <w:r>
              <w:rPr>
                <w:lang w:eastAsia="zh-CN"/>
              </w:rPr>
              <w:t>260.51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w:t>
            </w:r>
            <w:r>
              <w:rPr>
                <w:rFonts w:hint="eastAsia"/>
              </w:rPr>
              <w:t>、房屋（平方米）</w:t>
            </w:r>
          </w:p>
        </w:tc>
        <w:tc>
          <w:tcPr>
            <w:tcW w:w="2835" w:type="dxa"/>
            <w:vAlign w:val="center"/>
          </w:tcPr>
          <w:p>
            <w:pPr>
              <w:pStyle w:val="17"/>
              <w:rPr>
                <w:lang w:eastAsia="zh-CN"/>
              </w:rPr>
            </w:pPr>
            <w:r>
              <w:rPr>
                <w:lang w:eastAsia="zh-CN"/>
              </w:rPr>
              <w:t>1426</w:t>
            </w:r>
          </w:p>
        </w:tc>
        <w:tc>
          <w:tcPr>
            <w:tcW w:w="2835" w:type="dxa"/>
            <w:vAlign w:val="center"/>
          </w:tcPr>
          <w:p>
            <w:pPr>
              <w:pStyle w:val="15"/>
              <w:rPr>
                <w:lang w:eastAsia="zh-CN"/>
              </w:rPr>
            </w:pPr>
            <w:r>
              <w:rPr>
                <w:lang w:eastAsia="zh-CN"/>
              </w:rPr>
              <w:t>103.89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rPr>
                <w:lang w:eastAsia="zh-CN"/>
              </w:rPr>
            </w:pPr>
            <w:r>
              <w:rPr>
                <w:lang w:eastAsia="zh-CN"/>
              </w:rPr>
              <w:t>1</w:t>
            </w:r>
          </w:p>
        </w:tc>
        <w:tc>
          <w:tcPr>
            <w:tcW w:w="2835" w:type="dxa"/>
            <w:vAlign w:val="center"/>
          </w:tcPr>
          <w:p>
            <w:pPr>
              <w:pStyle w:val="15"/>
              <w:rPr>
                <w:lang w:eastAsia="zh-CN"/>
              </w:rPr>
            </w:pPr>
            <w:r>
              <w:rPr>
                <w:lang w:eastAsia="zh-CN"/>
              </w:rPr>
              <w:t>18.79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p>
        </w:tc>
        <w:tc>
          <w:tcPr>
            <w:tcW w:w="2835" w:type="dxa"/>
            <w:vAlign w:val="center"/>
          </w:tcPr>
          <w:p>
            <w:pPr>
              <w:pStyle w:val="15"/>
              <w:rPr>
                <w:lang w:eastAsia="zh-CN"/>
              </w:rPr>
            </w:pPr>
            <w:r>
              <w:rPr>
                <w:lang w:eastAsia="zh-CN"/>
              </w:rPr>
              <w:t>137.83</w:t>
            </w:r>
          </w:p>
        </w:tc>
      </w:tr>
    </w:tbl>
    <w:p>
      <w:pPr>
        <w:ind w:firstLine="640"/>
      </w:pP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EB2323"/>
    <w:multiLevelType w:val="singleLevel"/>
    <w:tmpl w:val="19EB2323"/>
    <w:lvl w:ilvl="0" w:tentative="0">
      <w:start w:val="2"/>
      <w:numFmt w:val="chineseCounting"/>
      <w:suff w:val="space"/>
      <w:lvlText w:val="第%1部分"/>
      <w:lvlJc w:val="left"/>
      <w:rPr>
        <w:rFonts w:hint="eastAsia" w:cs="Times New Roman"/>
      </w:rPr>
    </w:lvl>
  </w:abstractNum>
  <w:abstractNum w:abstractNumId="1">
    <w:nsid w:val="1B627A21"/>
    <w:multiLevelType w:val="singleLevel"/>
    <w:tmpl w:val="1B627A21"/>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5E"/>
    <w:rsid w:val="00057C0F"/>
    <w:rsid w:val="001C21F9"/>
    <w:rsid w:val="00285991"/>
    <w:rsid w:val="00326B5E"/>
    <w:rsid w:val="00337637"/>
    <w:rsid w:val="004C4D7D"/>
    <w:rsid w:val="004E5147"/>
    <w:rsid w:val="004F2E4E"/>
    <w:rsid w:val="004F5763"/>
    <w:rsid w:val="005E3DE5"/>
    <w:rsid w:val="005F0C8B"/>
    <w:rsid w:val="006E785E"/>
    <w:rsid w:val="007B5506"/>
    <w:rsid w:val="007C7B84"/>
    <w:rsid w:val="0081463A"/>
    <w:rsid w:val="008E1389"/>
    <w:rsid w:val="009062E4"/>
    <w:rsid w:val="00994DE1"/>
    <w:rsid w:val="00AD7D1F"/>
    <w:rsid w:val="00B31B5B"/>
    <w:rsid w:val="00B55316"/>
    <w:rsid w:val="00BD57C4"/>
    <w:rsid w:val="00D21016"/>
    <w:rsid w:val="00D2277B"/>
    <w:rsid w:val="00DE5726"/>
    <w:rsid w:val="00E8339B"/>
    <w:rsid w:val="00EE214E"/>
    <w:rsid w:val="00EE5490"/>
    <w:rsid w:val="00F14C92"/>
    <w:rsid w:val="00FF0FB2"/>
    <w:rsid w:val="04354167"/>
    <w:rsid w:val="0606606F"/>
    <w:rsid w:val="065C0CEF"/>
    <w:rsid w:val="07FA696F"/>
    <w:rsid w:val="0A6B449D"/>
    <w:rsid w:val="0D1E1B0A"/>
    <w:rsid w:val="0D397D88"/>
    <w:rsid w:val="10280789"/>
    <w:rsid w:val="18081DF1"/>
    <w:rsid w:val="19BD1740"/>
    <w:rsid w:val="1A3B6A15"/>
    <w:rsid w:val="1B6075DC"/>
    <w:rsid w:val="1F664E2A"/>
    <w:rsid w:val="22CF2270"/>
    <w:rsid w:val="22CF727E"/>
    <w:rsid w:val="24B23D76"/>
    <w:rsid w:val="251B67D9"/>
    <w:rsid w:val="26B45625"/>
    <w:rsid w:val="29125700"/>
    <w:rsid w:val="2C0207EE"/>
    <w:rsid w:val="2D9E1960"/>
    <w:rsid w:val="311E5564"/>
    <w:rsid w:val="31683013"/>
    <w:rsid w:val="32635954"/>
    <w:rsid w:val="35370868"/>
    <w:rsid w:val="3C904499"/>
    <w:rsid w:val="3DFD6B48"/>
    <w:rsid w:val="4116520B"/>
    <w:rsid w:val="443235E5"/>
    <w:rsid w:val="44953938"/>
    <w:rsid w:val="47BD3387"/>
    <w:rsid w:val="481F58D5"/>
    <w:rsid w:val="48983BB3"/>
    <w:rsid w:val="4A3B6470"/>
    <w:rsid w:val="4C8670D9"/>
    <w:rsid w:val="50917BAD"/>
    <w:rsid w:val="51AC198A"/>
    <w:rsid w:val="552865AE"/>
    <w:rsid w:val="552F65F3"/>
    <w:rsid w:val="595F34BE"/>
    <w:rsid w:val="5EBB0EA8"/>
    <w:rsid w:val="62627579"/>
    <w:rsid w:val="62BE3C02"/>
    <w:rsid w:val="62E660B1"/>
    <w:rsid w:val="636668B6"/>
    <w:rsid w:val="64542A70"/>
    <w:rsid w:val="65136487"/>
    <w:rsid w:val="6587477F"/>
    <w:rsid w:val="663366B5"/>
    <w:rsid w:val="68292528"/>
    <w:rsid w:val="6E4512D6"/>
    <w:rsid w:val="725A3947"/>
    <w:rsid w:val="72A5093A"/>
    <w:rsid w:val="73025471"/>
    <w:rsid w:val="741B2C62"/>
    <w:rsid w:val="749A41EF"/>
    <w:rsid w:val="76B4739E"/>
    <w:rsid w:val="77C44A53"/>
    <w:rsid w:val="78E51F32"/>
    <w:rsid w:val="7D9D003A"/>
    <w:rsid w:val="7E450127"/>
    <w:rsid w:val="7E6D2359"/>
    <w:rsid w:val="7F6A2F8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locked/>
    <w:uiPriority w:val="99"/>
    <w:rPr>
      <w:rFonts w:ascii="Times New Roman" w:hAnsi="Times New Roman" w:cs="Times New Roman"/>
      <w:kern w:val="0"/>
      <w:sz w:val="18"/>
      <w:szCs w:val="18"/>
      <w:lang w:eastAsia="uk-UA"/>
    </w:rPr>
  </w:style>
  <w:style w:type="character" w:customStyle="1" w:styleId="34">
    <w:name w:val="Footer Char"/>
    <w:basedOn w:val="10"/>
    <w:link w:val="3"/>
    <w:semiHidden/>
    <w:qFormat/>
    <w:locked/>
    <w:uiPriority w:val="99"/>
    <w:rPr>
      <w:rFonts w:ascii="Times New Roman" w:hAnsi="Times New Roman" w:cs="Times New Roman"/>
      <w:kern w:val="0"/>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1879</Words>
  <Characters>10712</Characters>
  <Lines>0</Lines>
  <Paragraphs>0</Paragraphs>
  <TotalTime>19</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2022-04-14T16:06:00Z</dcterms:created>
  <dc:creator>Administrator</dc:creator>
  <cp:lastModifiedBy>！</cp:lastModifiedBy>
  <dcterms:modified xsi:type="dcterms:W3CDTF">2022-06-26T13:46:33Z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eyJoZGlkIjoiYjQxZjg5MDQ4Y2U4MDNmMjIzYmJmOTk0ZTM1NWYwMjMifQ==</vt:lpwstr>
  </property>
  <property fmtid="{D5CDD505-2E9C-101B-9397-08002B2CF9AE}" pid="3" name="KSOProductBuildVer">
    <vt:lpwstr>2052-11.1.0.11294</vt:lpwstr>
  </property>
  <property fmtid="{D5CDD505-2E9C-101B-9397-08002B2CF9AE}" pid="4" name="ICV">
    <vt:lpwstr>6F1B996B9DF049CDB0AD33067AF3390F</vt:lpwstr>
  </property>
</Properties>
</file>