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14562"/>
        </w:tabs>
        <w:ind w:firstLine="1546" w:firstLineChars="350"/>
        <w:rPr>
          <w:rFonts w:hint="eastAsia" w:ascii="黑体" w:hAnsi="黑体" w:eastAsia="黑体" w:cs="黑体"/>
          <w:b/>
          <w:sz w:val="44"/>
          <w:lang w:eastAsia="zh-CN"/>
        </w:rPr>
      </w:pPr>
      <w:bookmarkStart w:id="0" w:name="_Toc_4_4_0000000019"/>
      <w:r>
        <w:rPr>
          <w:rFonts w:hint="eastAsia" w:ascii="黑体" w:hAnsi="黑体" w:eastAsia="黑体" w:cs="黑体"/>
          <w:b/>
          <w:sz w:val="44"/>
          <w:lang w:eastAsia="zh-CN"/>
        </w:rPr>
        <w:t>涞源县社会保险事业管理局所属单位</w:t>
      </w:r>
      <w:r>
        <w:rPr>
          <w:rFonts w:ascii="黑体" w:hAnsi="黑体" w:eastAsia="黑体" w:cs="黑体"/>
          <w:b/>
          <w:sz w:val="44"/>
        </w:rPr>
        <w:t>2022年</w:t>
      </w:r>
      <w:r>
        <w:rPr>
          <w:rFonts w:hint="eastAsia" w:ascii="黑体" w:hAnsi="黑体" w:eastAsia="黑体" w:cs="黑体"/>
          <w:b/>
          <w:sz w:val="44"/>
          <w:lang w:eastAsia="zh-CN"/>
        </w:rPr>
        <w:t>单位</w:t>
      </w:r>
      <w:r>
        <w:rPr>
          <w:rFonts w:ascii="黑体" w:hAnsi="黑体" w:eastAsia="黑体" w:cs="黑体"/>
          <w:b/>
          <w:sz w:val="44"/>
        </w:rPr>
        <w:t>预算信息公开</w:t>
      </w:r>
    </w:p>
    <w:p>
      <w:pPr>
        <w:pStyle w:val="3"/>
        <w:tabs>
          <w:tab w:val="right" w:leader="dot" w:pos="14562"/>
        </w:tabs>
        <w:ind w:firstLine="980" w:firstLineChars="350"/>
        <w:rPr>
          <w:rFonts w:hint="eastAsia" w:eastAsiaTheme="minorEastAsia"/>
          <w:lang w:eastAsia="zh-CN"/>
        </w:rPr>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一、涞源县社会保险事业管理局本级收支预算</w:t>
      </w:r>
      <w:r>
        <w:tab/>
      </w:r>
      <w:r>
        <w:rPr>
          <w:rFonts w:hint="eastAsia" w:eastAsiaTheme="minorEastAsia"/>
          <w:lang w:eastAsia="zh-CN"/>
        </w:rPr>
        <w:t>2</w:t>
      </w:r>
      <w:r>
        <w:rPr>
          <w:rFonts w:hint="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rPr>
          <w:rFonts w:hint="eastAsia" w:ascii="方正小标宋_GBK" w:hAnsi="方正小标宋_GBK" w:cs="方正小标宋_GBK" w:eastAsiaTheme="minorEastAsia"/>
          <w:color w:val="000000"/>
          <w:sz w:val="44"/>
          <w:lang w:eastAsia="zh-CN"/>
        </w:rPr>
      </w:pPr>
    </w:p>
    <w:p>
      <w:pPr>
        <w:jc w:val="center"/>
        <w:outlineLvl w:val="3"/>
      </w:pPr>
      <w:r>
        <w:rPr>
          <w:rFonts w:ascii="方正小标宋_GBK" w:hAnsi="方正小标宋_GBK" w:eastAsia="方正小标宋_GBK" w:cs="方正小标宋_GBK"/>
          <w:color w:val="000000"/>
          <w:sz w:val="44"/>
        </w:rPr>
        <w:t>一、涞源县社会保险事业管理局本级收支预算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3624.11</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3615.11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3624.11</w:t>
            </w:r>
          </w:p>
        </w:tc>
        <w:tc>
          <w:tcPr>
            <w:tcW w:w="4535" w:type="dxa"/>
            <w:vAlign w:val="center"/>
          </w:tcPr>
          <w:p>
            <w:pPr>
              <w:pStyle w:val="16"/>
            </w:pPr>
            <w:r>
              <w:t>本年支出合计</w:t>
            </w:r>
          </w:p>
        </w:tc>
        <w:tc>
          <w:tcPr>
            <w:tcW w:w="2126" w:type="dxa"/>
            <w:vAlign w:val="center"/>
          </w:tcPr>
          <w:p>
            <w:pPr>
              <w:pStyle w:val="17"/>
            </w:pPr>
            <w:r>
              <w:t>3624.11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3624.11</w:t>
            </w:r>
          </w:p>
        </w:tc>
        <w:tc>
          <w:tcPr>
            <w:tcW w:w="4535" w:type="dxa"/>
            <w:vAlign w:val="center"/>
          </w:tcPr>
          <w:p>
            <w:pPr>
              <w:pStyle w:val="16"/>
            </w:pPr>
            <w:r>
              <w:t>支出总计</w:t>
            </w:r>
          </w:p>
        </w:tc>
        <w:tc>
          <w:tcPr>
            <w:tcW w:w="2126" w:type="dxa"/>
            <w:vAlign w:val="center"/>
          </w:tcPr>
          <w:p>
            <w:pPr>
              <w:pStyle w:val="17"/>
            </w:pPr>
            <w:r>
              <w:t>3624.11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3624.11</w:t>
            </w:r>
          </w:p>
        </w:tc>
        <w:tc>
          <w:tcPr>
            <w:tcW w:w="1134" w:type="dxa"/>
            <w:vAlign w:val="center"/>
          </w:tcPr>
          <w:p>
            <w:pPr>
              <w:pStyle w:val="17"/>
            </w:pPr>
            <w:r>
              <w:t>3624.11</w:t>
            </w:r>
          </w:p>
        </w:tc>
        <w:tc>
          <w:tcPr>
            <w:tcW w:w="1134" w:type="dxa"/>
            <w:vAlign w:val="center"/>
          </w:tcPr>
          <w:p>
            <w:pPr>
              <w:pStyle w:val="17"/>
            </w:pPr>
            <w:r>
              <w:t>3624.11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3615.11</w:t>
            </w:r>
          </w:p>
        </w:tc>
        <w:tc>
          <w:tcPr>
            <w:tcW w:w="1134" w:type="dxa"/>
            <w:vAlign w:val="center"/>
          </w:tcPr>
          <w:p>
            <w:pPr>
              <w:pStyle w:val="13"/>
            </w:pPr>
            <w:r>
              <w:t>3615.11</w:t>
            </w:r>
          </w:p>
        </w:tc>
        <w:tc>
          <w:tcPr>
            <w:tcW w:w="1134" w:type="dxa"/>
            <w:vAlign w:val="center"/>
          </w:tcPr>
          <w:p>
            <w:pPr>
              <w:pStyle w:val="13"/>
            </w:pPr>
            <w:r>
              <w:t>3615.11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255.05</w:t>
            </w:r>
          </w:p>
        </w:tc>
        <w:tc>
          <w:tcPr>
            <w:tcW w:w="1134" w:type="dxa"/>
            <w:vAlign w:val="center"/>
          </w:tcPr>
          <w:p>
            <w:pPr>
              <w:pStyle w:val="13"/>
            </w:pPr>
            <w:r>
              <w:t>255.05</w:t>
            </w:r>
          </w:p>
        </w:tc>
        <w:tc>
          <w:tcPr>
            <w:tcW w:w="1134" w:type="dxa"/>
            <w:vAlign w:val="center"/>
          </w:tcPr>
          <w:p>
            <w:pPr>
              <w:pStyle w:val="13"/>
            </w:pPr>
            <w:r>
              <w:t>255.05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2080107</w:t>
            </w:r>
          </w:p>
        </w:tc>
        <w:tc>
          <w:tcPr>
            <w:tcW w:w="1559" w:type="dxa"/>
            <w:vAlign w:val="center"/>
          </w:tcPr>
          <w:p>
            <w:pPr>
              <w:pStyle w:val="14"/>
            </w:pPr>
            <w:r>
              <w:t>社会保险业务管理事务</w:t>
            </w:r>
          </w:p>
        </w:tc>
        <w:tc>
          <w:tcPr>
            <w:tcW w:w="1134" w:type="dxa"/>
            <w:vAlign w:val="center"/>
          </w:tcPr>
          <w:p>
            <w:pPr>
              <w:pStyle w:val="13"/>
            </w:pPr>
            <w:r>
              <w:t>10.50</w:t>
            </w:r>
          </w:p>
        </w:tc>
        <w:tc>
          <w:tcPr>
            <w:tcW w:w="1134" w:type="dxa"/>
            <w:vAlign w:val="center"/>
          </w:tcPr>
          <w:p>
            <w:pPr>
              <w:pStyle w:val="13"/>
            </w:pPr>
            <w:r>
              <w:t>10.50</w:t>
            </w:r>
          </w:p>
        </w:tc>
        <w:tc>
          <w:tcPr>
            <w:tcW w:w="1134" w:type="dxa"/>
            <w:vAlign w:val="center"/>
          </w:tcPr>
          <w:p>
            <w:pPr>
              <w:pStyle w:val="13"/>
            </w:pPr>
            <w:r>
              <w:t>10.50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2080109</w:t>
            </w:r>
          </w:p>
        </w:tc>
        <w:tc>
          <w:tcPr>
            <w:tcW w:w="1559" w:type="dxa"/>
            <w:vAlign w:val="center"/>
          </w:tcPr>
          <w:p>
            <w:pPr>
              <w:pStyle w:val="14"/>
            </w:pPr>
            <w:r>
              <w:t>社会保险经办机构</w:t>
            </w:r>
          </w:p>
        </w:tc>
        <w:tc>
          <w:tcPr>
            <w:tcW w:w="1134" w:type="dxa"/>
            <w:vAlign w:val="center"/>
          </w:tcPr>
          <w:p>
            <w:pPr>
              <w:pStyle w:val="13"/>
            </w:pPr>
            <w:r>
              <w:t>244.55</w:t>
            </w:r>
          </w:p>
        </w:tc>
        <w:tc>
          <w:tcPr>
            <w:tcW w:w="1134" w:type="dxa"/>
            <w:vAlign w:val="center"/>
          </w:tcPr>
          <w:p>
            <w:pPr>
              <w:pStyle w:val="13"/>
            </w:pPr>
            <w:r>
              <w:t>244.55</w:t>
            </w:r>
          </w:p>
        </w:tc>
        <w:tc>
          <w:tcPr>
            <w:tcW w:w="1134" w:type="dxa"/>
            <w:vAlign w:val="center"/>
          </w:tcPr>
          <w:p>
            <w:pPr>
              <w:pStyle w:val="13"/>
            </w:pPr>
            <w:r>
              <w:t>244.55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3330.75</w:t>
            </w:r>
          </w:p>
        </w:tc>
        <w:tc>
          <w:tcPr>
            <w:tcW w:w="1134" w:type="dxa"/>
            <w:vAlign w:val="center"/>
          </w:tcPr>
          <w:p>
            <w:pPr>
              <w:pStyle w:val="13"/>
            </w:pPr>
            <w:r>
              <w:t>3330.75</w:t>
            </w:r>
          </w:p>
        </w:tc>
        <w:tc>
          <w:tcPr>
            <w:tcW w:w="1134" w:type="dxa"/>
            <w:vAlign w:val="center"/>
          </w:tcPr>
          <w:p>
            <w:pPr>
              <w:pStyle w:val="13"/>
            </w:pPr>
            <w:r>
              <w:t>3330.75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3297.70</w:t>
            </w:r>
          </w:p>
        </w:tc>
        <w:tc>
          <w:tcPr>
            <w:tcW w:w="1134" w:type="dxa"/>
            <w:vAlign w:val="center"/>
          </w:tcPr>
          <w:p>
            <w:pPr>
              <w:pStyle w:val="13"/>
            </w:pPr>
            <w:r>
              <w:t>3297.70</w:t>
            </w:r>
          </w:p>
        </w:tc>
        <w:tc>
          <w:tcPr>
            <w:tcW w:w="1134" w:type="dxa"/>
            <w:vAlign w:val="center"/>
          </w:tcPr>
          <w:p>
            <w:pPr>
              <w:pStyle w:val="13"/>
            </w:pPr>
            <w:r>
              <w:t>3297.70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21.80</w:t>
            </w:r>
          </w:p>
        </w:tc>
        <w:tc>
          <w:tcPr>
            <w:tcW w:w="1134" w:type="dxa"/>
            <w:vAlign w:val="center"/>
          </w:tcPr>
          <w:p>
            <w:pPr>
              <w:pStyle w:val="13"/>
            </w:pPr>
            <w:r>
              <w:t>21.80</w:t>
            </w:r>
          </w:p>
        </w:tc>
        <w:tc>
          <w:tcPr>
            <w:tcW w:w="1134" w:type="dxa"/>
            <w:vAlign w:val="center"/>
          </w:tcPr>
          <w:p>
            <w:pPr>
              <w:pStyle w:val="13"/>
            </w:pPr>
            <w:r>
              <w:t>21.80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11.25</w:t>
            </w:r>
          </w:p>
        </w:tc>
        <w:tc>
          <w:tcPr>
            <w:tcW w:w="1134" w:type="dxa"/>
            <w:vAlign w:val="center"/>
          </w:tcPr>
          <w:p>
            <w:pPr>
              <w:pStyle w:val="13"/>
            </w:pPr>
            <w:r>
              <w:t>11.25</w:t>
            </w:r>
          </w:p>
        </w:tc>
        <w:tc>
          <w:tcPr>
            <w:tcW w:w="1134" w:type="dxa"/>
            <w:vAlign w:val="center"/>
          </w:tcPr>
          <w:p>
            <w:pPr>
              <w:pStyle w:val="13"/>
            </w:pPr>
            <w:r>
              <w:t>11.25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20899</w:t>
            </w:r>
          </w:p>
        </w:tc>
        <w:tc>
          <w:tcPr>
            <w:tcW w:w="1559" w:type="dxa"/>
            <w:vAlign w:val="center"/>
          </w:tcPr>
          <w:p>
            <w:pPr>
              <w:pStyle w:val="14"/>
            </w:pPr>
            <w:r>
              <w:t>其他社会保障和就业支出</w:t>
            </w:r>
          </w:p>
        </w:tc>
        <w:tc>
          <w:tcPr>
            <w:tcW w:w="1134" w:type="dxa"/>
            <w:vAlign w:val="center"/>
          </w:tcPr>
          <w:p>
            <w:pPr>
              <w:pStyle w:val="13"/>
            </w:pPr>
            <w:r>
              <w:t>29.31</w:t>
            </w:r>
          </w:p>
        </w:tc>
        <w:tc>
          <w:tcPr>
            <w:tcW w:w="1134" w:type="dxa"/>
            <w:vAlign w:val="center"/>
          </w:tcPr>
          <w:p>
            <w:pPr>
              <w:pStyle w:val="13"/>
            </w:pPr>
            <w:r>
              <w:t>29.31</w:t>
            </w:r>
          </w:p>
        </w:tc>
        <w:tc>
          <w:tcPr>
            <w:tcW w:w="1134" w:type="dxa"/>
            <w:vAlign w:val="center"/>
          </w:tcPr>
          <w:p>
            <w:pPr>
              <w:pStyle w:val="13"/>
            </w:pPr>
            <w:r>
              <w:t>29.31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2089999</w:t>
            </w:r>
          </w:p>
        </w:tc>
        <w:tc>
          <w:tcPr>
            <w:tcW w:w="1559" w:type="dxa"/>
            <w:vAlign w:val="center"/>
          </w:tcPr>
          <w:p>
            <w:pPr>
              <w:pStyle w:val="14"/>
            </w:pPr>
            <w:r>
              <w:t>其他社会保障和就业支出</w:t>
            </w:r>
          </w:p>
        </w:tc>
        <w:tc>
          <w:tcPr>
            <w:tcW w:w="1134" w:type="dxa"/>
            <w:vAlign w:val="center"/>
          </w:tcPr>
          <w:p>
            <w:pPr>
              <w:pStyle w:val="13"/>
            </w:pPr>
            <w:r>
              <w:t>29.31</w:t>
            </w:r>
          </w:p>
        </w:tc>
        <w:tc>
          <w:tcPr>
            <w:tcW w:w="1134" w:type="dxa"/>
            <w:vAlign w:val="center"/>
          </w:tcPr>
          <w:p>
            <w:pPr>
              <w:pStyle w:val="13"/>
            </w:pPr>
            <w:r>
              <w:t>29.31</w:t>
            </w:r>
          </w:p>
        </w:tc>
        <w:tc>
          <w:tcPr>
            <w:tcW w:w="1134" w:type="dxa"/>
            <w:vAlign w:val="center"/>
          </w:tcPr>
          <w:p>
            <w:pPr>
              <w:pStyle w:val="13"/>
            </w:pPr>
            <w:r>
              <w:t>29.31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r>
              <w:t>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3624.11</w:t>
            </w:r>
          </w:p>
        </w:tc>
        <w:tc>
          <w:tcPr>
            <w:tcW w:w="1361" w:type="dxa"/>
            <w:vAlign w:val="center"/>
          </w:tcPr>
          <w:p>
            <w:pPr>
              <w:pStyle w:val="17"/>
            </w:pPr>
            <w:r>
              <w:t>3574.30</w:t>
            </w:r>
          </w:p>
        </w:tc>
        <w:tc>
          <w:tcPr>
            <w:tcW w:w="1361" w:type="dxa"/>
            <w:vAlign w:val="center"/>
          </w:tcPr>
          <w:p>
            <w:pPr>
              <w:pStyle w:val="17"/>
            </w:pPr>
            <w:r>
              <w:t>49.81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3615.11</w:t>
            </w:r>
          </w:p>
        </w:tc>
        <w:tc>
          <w:tcPr>
            <w:tcW w:w="1361" w:type="dxa"/>
            <w:vAlign w:val="center"/>
          </w:tcPr>
          <w:p>
            <w:pPr>
              <w:pStyle w:val="13"/>
            </w:pPr>
            <w:r>
              <w:t>3565.30</w:t>
            </w:r>
          </w:p>
        </w:tc>
        <w:tc>
          <w:tcPr>
            <w:tcW w:w="1361" w:type="dxa"/>
            <w:vAlign w:val="center"/>
          </w:tcPr>
          <w:p>
            <w:pPr>
              <w:pStyle w:val="13"/>
            </w:pPr>
            <w:r>
              <w:t>49.81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255.05</w:t>
            </w:r>
          </w:p>
        </w:tc>
        <w:tc>
          <w:tcPr>
            <w:tcW w:w="1361" w:type="dxa"/>
            <w:vAlign w:val="center"/>
          </w:tcPr>
          <w:p>
            <w:pPr>
              <w:pStyle w:val="13"/>
            </w:pPr>
            <w:r>
              <w:t>234.55</w:t>
            </w:r>
          </w:p>
        </w:tc>
        <w:tc>
          <w:tcPr>
            <w:tcW w:w="1361" w:type="dxa"/>
            <w:vAlign w:val="center"/>
          </w:tcPr>
          <w:p>
            <w:pPr>
              <w:pStyle w:val="13"/>
            </w:pPr>
            <w:r>
              <w:t>20.50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2080107</w:t>
            </w:r>
          </w:p>
        </w:tc>
        <w:tc>
          <w:tcPr>
            <w:tcW w:w="4535" w:type="dxa"/>
            <w:vAlign w:val="center"/>
          </w:tcPr>
          <w:p>
            <w:pPr>
              <w:pStyle w:val="14"/>
            </w:pPr>
            <w:r>
              <w:t>社会保险业务管理事务</w:t>
            </w:r>
          </w:p>
        </w:tc>
        <w:tc>
          <w:tcPr>
            <w:tcW w:w="1361" w:type="dxa"/>
            <w:vAlign w:val="center"/>
          </w:tcPr>
          <w:p>
            <w:pPr>
              <w:pStyle w:val="13"/>
            </w:pPr>
            <w:r>
              <w:t>10.50</w:t>
            </w:r>
          </w:p>
        </w:tc>
        <w:tc>
          <w:tcPr>
            <w:tcW w:w="1361" w:type="dxa"/>
            <w:vAlign w:val="center"/>
          </w:tcPr>
          <w:p>
            <w:pPr>
              <w:pStyle w:val="13"/>
            </w:pPr>
          </w:p>
        </w:tc>
        <w:tc>
          <w:tcPr>
            <w:tcW w:w="1361" w:type="dxa"/>
            <w:vAlign w:val="center"/>
          </w:tcPr>
          <w:p>
            <w:pPr>
              <w:pStyle w:val="13"/>
            </w:pPr>
            <w:r>
              <w:t>10.50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2080109</w:t>
            </w:r>
          </w:p>
        </w:tc>
        <w:tc>
          <w:tcPr>
            <w:tcW w:w="4535" w:type="dxa"/>
            <w:vAlign w:val="center"/>
          </w:tcPr>
          <w:p>
            <w:pPr>
              <w:pStyle w:val="14"/>
            </w:pPr>
            <w:r>
              <w:t>社会保险经办机构</w:t>
            </w:r>
          </w:p>
        </w:tc>
        <w:tc>
          <w:tcPr>
            <w:tcW w:w="1361" w:type="dxa"/>
            <w:vAlign w:val="center"/>
          </w:tcPr>
          <w:p>
            <w:pPr>
              <w:pStyle w:val="13"/>
            </w:pPr>
            <w:r>
              <w:t>244.55</w:t>
            </w:r>
          </w:p>
        </w:tc>
        <w:tc>
          <w:tcPr>
            <w:tcW w:w="1361" w:type="dxa"/>
            <w:vAlign w:val="center"/>
          </w:tcPr>
          <w:p>
            <w:pPr>
              <w:pStyle w:val="13"/>
            </w:pPr>
            <w:r>
              <w:t>234.55</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3330.75</w:t>
            </w:r>
          </w:p>
        </w:tc>
        <w:tc>
          <w:tcPr>
            <w:tcW w:w="1361" w:type="dxa"/>
            <w:vAlign w:val="center"/>
          </w:tcPr>
          <w:p>
            <w:pPr>
              <w:pStyle w:val="13"/>
            </w:pPr>
            <w:r>
              <w:t>3330.75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3297.70</w:t>
            </w:r>
          </w:p>
        </w:tc>
        <w:tc>
          <w:tcPr>
            <w:tcW w:w="1361" w:type="dxa"/>
            <w:vAlign w:val="center"/>
          </w:tcPr>
          <w:p>
            <w:pPr>
              <w:pStyle w:val="13"/>
            </w:pPr>
            <w:r>
              <w:t>3297.70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21.80</w:t>
            </w:r>
          </w:p>
        </w:tc>
        <w:tc>
          <w:tcPr>
            <w:tcW w:w="1361" w:type="dxa"/>
            <w:vAlign w:val="center"/>
          </w:tcPr>
          <w:p>
            <w:pPr>
              <w:pStyle w:val="13"/>
            </w:pPr>
            <w:r>
              <w:t>21.80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11.25</w:t>
            </w:r>
          </w:p>
        </w:tc>
        <w:tc>
          <w:tcPr>
            <w:tcW w:w="1361" w:type="dxa"/>
            <w:vAlign w:val="center"/>
          </w:tcPr>
          <w:p>
            <w:pPr>
              <w:pStyle w:val="13"/>
            </w:pPr>
            <w:r>
              <w:t>11.25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20899</w:t>
            </w:r>
          </w:p>
        </w:tc>
        <w:tc>
          <w:tcPr>
            <w:tcW w:w="4535" w:type="dxa"/>
            <w:vAlign w:val="center"/>
          </w:tcPr>
          <w:p>
            <w:pPr>
              <w:pStyle w:val="14"/>
            </w:pPr>
            <w:r>
              <w:t>其他社会保障和就业支出</w:t>
            </w:r>
          </w:p>
        </w:tc>
        <w:tc>
          <w:tcPr>
            <w:tcW w:w="1361" w:type="dxa"/>
            <w:vAlign w:val="center"/>
          </w:tcPr>
          <w:p>
            <w:pPr>
              <w:pStyle w:val="13"/>
            </w:pPr>
            <w:r>
              <w:t>29.31</w:t>
            </w:r>
          </w:p>
        </w:tc>
        <w:tc>
          <w:tcPr>
            <w:tcW w:w="1361" w:type="dxa"/>
            <w:vAlign w:val="center"/>
          </w:tcPr>
          <w:p>
            <w:pPr>
              <w:pStyle w:val="13"/>
            </w:pPr>
          </w:p>
        </w:tc>
        <w:tc>
          <w:tcPr>
            <w:tcW w:w="1361" w:type="dxa"/>
            <w:vAlign w:val="center"/>
          </w:tcPr>
          <w:p>
            <w:pPr>
              <w:pStyle w:val="13"/>
            </w:pPr>
            <w:r>
              <w:t>29.31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2089999</w:t>
            </w:r>
          </w:p>
        </w:tc>
        <w:tc>
          <w:tcPr>
            <w:tcW w:w="4535" w:type="dxa"/>
            <w:vAlign w:val="center"/>
          </w:tcPr>
          <w:p>
            <w:pPr>
              <w:pStyle w:val="14"/>
            </w:pPr>
            <w:r>
              <w:t>其他社会保障和就业支出</w:t>
            </w:r>
          </w:p>
        </w:tc>
        <w:tc>
          <w:tcPr>
            <w:tcW w:w="1361" w:type="dxa"/>
            <w:vAlign w:val="center"/>
          </w:tcPr>
          <w:p>
            <w:pPr>
              <w:pStyle w:val="13"/>
            </w:pPr>
            <w:r>
              <w:t>29.31</w:t>
            </w:r>
          </w:p>
        </w:tc>
        <w:tc>
          <w:tcPr>
            <w:tcW w:w="1361" w:type="dxa"/>
            <w:vAlign w:val="center"/>
          </w:tcPr>
          <w:p>
            <w:pPr>
              <w:pStyle w:val="13"/>
            </w:pPr>
          </w:p>
        </w:tc>
        <w:tc>
          <w:tcPr>
            <w:tcW w:w="1361" w:type="dxa"/>
            <w:vAlign w:val="center"/>
          </w:tcPr>
          <w:p>
            <w:pPr>
              <w:pStyle w:val="13"/>
            </w:pPr>
            <w:r>
              <w:t>29.31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9.00</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9.00</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9.00</w:t>
            </w:r>
          </w:p>
        </w:tc>
        <w:tc>
          <w:tcPr>
            <w:tcW w:w="1361" w:type="dxa"/>
            <w:vAlign w:val="center"/>
          </w:tcPr>
          <w:p>
            <w:pPr>
              <w:pStyle w:val="13"/>
            </w:pPr>
            <w:r>
              <w:t>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3624.11</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3615.11</w:t>
            </w:r>
          </w:p>
        </w:tc>
        <w:tc>
          <w:tcPr>
            <w:tcW w:w="1474" w:type="dxa"/>
            <w:vAlign w:val="center"/>
          </w:tcPr>
          <w:p>
            <w:pPr>
              <w:pStyle w:val="13"/>
            </w:pPr>
            <w:r>
              <w:t>3615.11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9.00</w:t>
            </w:r>
          </w:p>
        </w:tc>
        <w:tc>
          <w:tcPr>
            <w:tcW w:w="1474" w:type="dxa"/>
            <w:vAlign w:val="center"/>
          </w:tcPr>
          <w:p>
            <w:pPr>
              <w:pStyle w:val="13"/>
            </w:pPr>
            <w:r>
              <w:t>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3624.11</w:t>
            </w:r>
          </w:p>
        </w:tc>
        <w:tc>
          <w:tcPr>
            <w:tcW w:w="3402" w:type="dxa"/>
            <w:vAlign w:val="center"/>
          </w:tcPr>
          <w:p>
            <w:pPr>
              <w:pStyle w:val="16"/>
            </w:pPr>
            <w:r>
              <w:t>本年支出合计</w:t>
            </w:r>
          </w:p>
        </w:tc>
        <w:tc>
          <w:tcPr>
            <w:tcW w:w="1474" w:type="dxa"/>
            <w:vAlign w:val="center"/>
          </w:tcPr>
          <w:p>
            <w:pPr>
              <w:pStyle w:val="17"/>
            </w:pPr>
            <w:r>
              <w:t>3624.11</w:t>
            </w:r>
          </w:p>
        </w:tc>
        <w:tc>
          <w:tcPr>
            <w:tcW w:w="1474" w:type="dxa"/>
            <w:vAlign w:val="center"/>
          </w:tcPr>
          <w:p>
            <w:pPr>
              <w:pStyle w:val="17"/>
            </w:pPr>
            <w:r>
              <w:t>3624.11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3624.11</w:t>
            </w:r>
          </w:p>
        </w:tc>
        <w:tc>
          <w:tcPr>
            <w:tcW w:w="3402" w:type="dxa"/>
            <w:vAlign w:val="center"/>
          </w:tcPr>
          <w:p>
            <w:pPr>
              <w:pStyle w:val="16"/>
            </w:pPr>
            <w:r>
              <w:t>支出总计</w:t>
            </w:r>
          </w:p>
        </w:tc>
        <w:tc>
          <w:tcPr>
            <w:tcW w:w="1474" w:type="dxa"/>
            <w:vAlign w:val="center"/>
          </w:tcPr>
          <w:p>
            <w:pPr>
              <w:pStyle w:val="17"/>
            </w:pPr>
            <w:r>
              <w:t>3624.11</w:t>
            </w:r>
          </w:p>
        </w:tc>
        <w:tc>
          <w:tcPr>
            <w:tcW w:w="1474" w:type="dxa"/>
            <w:vAlign w:val="center"/>
          </w:tcPr>
          <w:p>
            <w:pPr>
              <w:pStyle w:val="17"/>
            </w:pPr>
            <w:r>
              <w:t>3624.11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3624.11</w:t>
            </w:r>
          </w:p>
        </w:tc>
        <w:tc>
          <w:tcPr>
            <w:tcW w:w="2551" w:type="dxa"/>
            <w:vAlign w:val="center"/>
          </w:tcPr>
          <w:p>
            <w:pPr>
              <w:pStyle w:val="17"/>
            </w:pPr>
            <w:r>
              <w:t>3574.30</w:t>
            </w:r>
          </w:p>
        </w:tc>
        <w:tc>
          <w:tcPr>
            <w:tcW w:w="2551" w:type="dxa"/>
            <w:vAlign w:val="center"/>
          </w:tcPr>
          <w:p>
            <w:pPr>
              <w:pStyle w:val="17"/>
            </w:pPr>
            <w:r>
              <w:t>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3615.11</w:t>
            </w:r>
          </w:p>
        </w:tc>
        <w:tc>
          <w:tcPr>
            <w:tcW w:w="2551" w:type="dxa"/>
            <w:vAlign w:val="center"/>
          </w:tcPr>
          <w:p>
            <w:pPr>
              <w:pStyle w:val="13"/>
            </w:pPr>
            <w:r>
              <w:t>3565.30</w:t>
            </w:r>
          </w:p>
        </w:tc>
        <w:tc>
          <w:tcPr>
            <w:tcW w:w="2551" w:type="dxa"/>
            <w:vAlign w:val="center"/>
          </w:tcPr>
          <w:p>
            <w:pPr>
              <w:pStyle w:val="13"/>
            </w:pPr>
            <w:r>
              <w:t>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255.05</w:t>
            </w:r>
          </w:p>
        </w:tc>
        <w:tc>
          <w:tcPr>
            <w:tcW w:w="2551" w:type="dxa"/>
            <w:vAlign w:val="center"/>
          </w:tcPr>
          <w:p>
            <w:pPr>
              <w:pStyle w:val="13"/>
            </w:pPr>
            <w:r>
              <w:t>234.55</w:t>
            </w:r>
          </w:p>
        </w:tc>
        <w:tc>
          <w:tcPr>
            <w:tcW w:w="2551" w:type="dxa"/>
            <w:vAlign w:val="center"/>
          </w:tcPr>
          <w:p>
            <w:pPr>
              <w:pStyle w:val="13"/>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2080107</w:t>
            </w:r>
          </w:p>
        </w:tc>
        <w:tc>
          <w:tcPr>
            <w:tcW w:w="4535" w:type="dxa"/>
            <w:vAlign w:val="center"/>
          </w:tcPr>
          <w:p>
            <w:pPr>
              <w:pStyle w:val="14"/>
            </w:pPr>
            <w:r>
              <w:t>社会保险业务管理事务</w:t>
            </w:r>
          </w:p>
        </w:tc>
        <w:tc>
          <w:tcPr>
            <w:tcW w:w="2551" w:type="dxa"/>
            <w:vAlign w:val="center"/>
          </w:tcPr>
          <w:p>
            <w:pPr>
              <w:pStyle w:val="13"/>
            </w:pPr>
            <w:r>
              <w:t>10.50</w:t>
            </w:r>
          </w:p>
        </w:tc>
        <w:tc>
          <w:tcPr>
            <w:tcW w:w="2551" w:type="dxa"/>
            <w:vAlign w:val="center"/>
          </w:tcPr>
          <w:p>
            <w:pPr>
              <w:pStyle w:val="13"/>
            </w:pPr>
          </w:p>
        </w:tc>
        <w:tc>
          <w:tcPr>
            <w:tcW w:w="2551" w:type="dxa"/>
            <w:vAlign w:val="center"/>
          </w:tcPr>
          <w:p>
            <w:pPr>
              <w:pStyle w:val="13"/>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2080109</w:t>
            </w:r>
          </w:p>
        </w:tc>
        <w:tc>
          <w:tcPr>
            <w:tcW w:w="4535" w:type="dxa"/>
            <w:vAlign w:val="center"/>
          </w:tcPr>
          <w:p>
            <w:pPr>
              <w:pStyle w:val="14"/>
            </w:pPr>
            <w:r>
              <w:t>社会保险经办机构</w:t>
            </w:r>
          </w:p>
        </w:tc>
        <w:tc>
          <w:tcPr>
            <w:tcW w:w="2551" w:type="dxa"/>
            <w:vAlign w:val="center"/>
          </w:tcPr>
          <w:p>
            <w:pPr>
              <w:pStyle w:val="13"/>
            </w:pPr>
            <w:r>
              <w:t>244.55</w:t>
            </w:r>
          </w:p>
        </w:tc>
        <w:tc>
          <w:tcPr>
            <w:tcW w:w="2551" w:type="dxa"/>
            <w:vAlign w:val="center"/>
          </w:tcPr>
          <w:p>
            <w:pPr>
              <w:pStyle w:val="13"/>
            </w:pPr>
            <w:r>
              <w:t>234.55</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3330.75</w:t>
            </w:r>
          </w:p>
        </w:tc>
        <w:tc>
          <w:tcPr>
            <w:tcW w:w="2551" w:type="dxa"/>
            <w:vAlign w:val="center"/>
          </w:tcPr>
          <w:p>
            <w:pPr>
              <w:pStyle w:val="13"/>
            </w:pPr>
            <w:r>
              <w:t>3330.75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3297.70</w:t>
            </w:r>
          </w:p>
        </w:tc>
        <w:tc>
          <w:tcPr>
            <w:tcW w:w="2551" w:type="dxa"/>
            <w:vAlign w:val="center"/>
          </w:tcPr>
          <w:p>
            <w:pPr>
              <w:pStyle w:val="13"/>
            </w:pPr>
            <w:r>
              <w:t>3297.70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21.80</w:t>
            </w:r>
          </w:p>
        </w:tc>
        <w:tc>
          <w:tcPr>
            <w:tcW w:w="2551" w:type="dxa"/>
            <w:vAlign w:val="center"/>
          </w:tcPr>
          <w:p>
            <w:pPr>
              <w:pStyle w:val="13"/>
            </w:pPr>
            <w:r>
              <w:t>21.80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11.25</w:t>
            </w:r>
          </w:p>
        </w:tc>
        <w:tc>
          <w:tcPr>
            <w:tcW w:w="2551" w:type="dxa"/>
            <w:vAlign w:val="center"/>
          </w:tcPr>
          <w:p>
            <w:pPr>
              <w:pStyle w:val="13"/>
            </w:pPr>
            <w:r>
              <w:t>11.25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20899</w:t>
            </w:r>
          </w:p>
        </w:tc>
        <w:tc>
          <w:tcPr>
            <w:tcW w:w="4535" w:type="dxa"/>
            <w:vAlign w:val="center"/>
          </w:tcPr>
          <w:p>
            <w:pPr>
              <w:pStyle w:val="14"/>
            </w:pPr>
            <w:r>
              <w:t>其他社会保障和就业支出</w:t>
            </w:r>
          </w:p>
        </w:tc>
        <w:tc>
          <w:tcPr>
            <w:tcW w:w="2551" w:type="dxa"/>
            <w:vAlign w:val="center"/>
          </w:tcPr>
          <w:p>
            <w:pPr>
              <w:pStyle w:val="13"/>
            </w:pPr>
            <w:r>
              <w:t>29.31</w:t>
            </w:r>
          </w:p>
        </w:tc>
        <w:tc>
          <w:tcPr>
            <w:tcW w:w="2551" w:type="dxa"/>
            <w:vAlign w:val="center"/>
          </w:tcPr>
          <w:p>
            <w:pPr>
              <w:pStyle w:val="13"/>
            </w:pPr>
          </w:p>
        </w:tc>
        <w:tc>
          <w:tcPr>
            <w:tcW w:w="2551" w:type="dxa"/>
            <w:vAlign w:val="center"/>
          </w:tcPr>
          <w:p>
            <w:pPr>
              <w:pStyle w:val="13"/>
            </w:pPr>
            <w:r>
              <w:t>29.31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2089999</w:t>
            </w:r>
          </w:p>
        </w:tc>
        <w:tc>
          <w:tcPr>
            <w:tcW w:w="4535" w:type="dxa"/>
            <w:vAlign w:val="center"/>
          </w:tcPr>
          <w:p>
            <w:pPr>
              <w:pStyle w:val="14"/>
            </w:pPr>
            <w:r>
              <w:t>其他社会保障和就业支出</w:t>
            </w:r>
          </w:p>
        </w:tc>
        <w:tc>
          <w:tcPr>
            <w:tcW w:w="2551" w:type="dxa"/>
            <w:vAlign w:val="center"/>
          </w:tcPr>
          <w:p>
            <w:pPr>
              <w:pStyle w:val="13"/>
            </w:pPr>
            <w:r>
              <w:t>29.31</w:t>
            </w:r>
          </w:p>
        </w:tc>
        <w:tc>
          <w:tcPr>
            <w:tcW w:w="2551" w:type="dxa"/>
            <w:vAlign w:val="center"/>
          </w:tcPr>
          <w:p>
            <w:pPr>
              <w:pStyle w:val="13"/>
            </w:pPr>
          </w:p>
        </w:tc>
        <w:tc>
          <w:tcPr>
            <w:tcW w:w="2551" w:type="dxa"/>
            <w:vAlign w:val="center"/>
          </w:tcPr>
          <w:p>
            <w:pPr>
              <w:pStyle w:val="13"/>
            </w:pPr>
            <w:r>
              <w:t>29.31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3574.30</w:t>
            </w:r>
          </w:p>
        </w:tc>
        <w:tc>
          <w:tcPr>
            <w:tcW w:w="2551" w:type="dxa"/>
            <w:vAlign w:val="center"/>
          </w:tcPr>
          <w:p>
            <w:pPr>
              <w:pStyle w:val="17"/>
            </w:pPr>
            <w:r>
              <w:t>3559.38</w:t>
            </w:r>
          </w:p>
        </w:tc>
        <w:tc>
          <w:tcPr>
            <w:tcW w:w="2551" w:type="dxa"/>
            <w:vAlign w:val="center"/>
          </w:tcPr>
          <w:p>
            <w:pPr>
              <w:pStyle w:val="17"/>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232.91</w:t>
            </w:r>
          </w:p>
        </w:tc>
        <w:tc>
          <w:tcPr>
            <w:tcW w:w="2551" w:type="dxa"/>
            <w:vAlign w:val="center"/>
          </w:tcPr>
          <w:p>
            <w:pPr>
              <w:pStyle w:val="13"/>
            </w:pPr>
            <w:r>
              <w:t>232.91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80.32</w:t>
            </w:r>
          </w:p>
        </w:tc>
        <w:tc>
          <w:tcPr>
            <w:tcW w:w="2551" w:type="dxa"/>
            <w:vAlign w:val="center"/>
          </w:tcPr>
          <w:p>
            <w:pPr>
              <w:pStyle w:val="13"/>
            </w:pPr>
            <w:r>
              <w:t>80.32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50.31</w:t>
            </w:r>
          </w:p>
        </w:tc>
        <w:tc>
          <w:tcPr>
            <w:tcW w:w="2551" w:type="dxa"/>
            <w:vAlign w:val="center"/>
          </w:tcPr>
          <w:p>
            <w:pPr>
              <w:pStyle w:val="13"/>
            </w:pPr>
            <w:r>
              <w:t>50.31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25.33</w:t>
            </w:r>
          </w:p>
        </w:tc>
        <w:tc>
          <w:tcPr>
            <w:tcW w:w="2551" w:type="dxa"/>
            <w:vAlign w:val="center"/>
          </w:tcPr>
          <w:p>
            <w:pPr>
              <w:pStyle w:val="13"/>
            </w:pPr>
            <w:r>
              <w:t>25.33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15.42</w:t>
            </w:r>
          </w:p>
        </w:tc>
        <w:tc>
          <w:tcPr>
            <w:tcW w:w="2551" w:type="dxa"/>
            <w:vAlign w:val="center"/>
          </w:tcPr>
          <w:p>
            <w:pPr>
              <w:pStyle w:val="13"/>
            </w:pPr>
            <w:r>
              <w:t>15.42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21.80</w:t>
            </w:r>
          </w:p>
        </w:tc>
        <w:tc>
          <w:tcPr>
            <w:tcW w:w="2551" w:type="dxa"/>
            <w:vAlign w:val="center"/>
          </w:tcPr>
          <w:p>
            <w:pPr>
              <w:pStyle w:val="13"/>
            </w:pPr>
            <w:r>
              <w:t>21.80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11.25</w:t>
            </w:r>
          </w:p>
        </w:tc>
        <w:tc>
          <w:tcPr>
            <w:tcW w:w="2551" w:type="dxa"/>
            <w:vAlign w:val="center"/>
          </w:tcPr>
          <w:p>
            <w:pPr>
              <w:pStyle w:val="13"/>
            </w:pPr>
            <w:r>
              <w:t>11.25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9.43</w:t>
            </w:r>
          </w:p>
        </w:tc>
        <w:tc>
          <w:tcPr>
            <w:tcW w:w="2551" w:type="dxa"/>
            <w:vAlign w:val="center"/>
          </w:tcPr>
          <w:p>
            <w:pPr>
              <w:pStyle w:val="13"/>
            </w:pPr>
            <w:r>
              <w:t>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1.62</w:t>
            </w:r>
          </w:p>
        </w:tc>
        <w:tc>
          <w:tcPr>
            <w:tcW w:w="2551" w:type="dxa"/>
            <w:vAlign w:val="center"/>
          </w:tcPr>
          <w:p>
            <w:pPr>
              <w:pStyle w:val="13"/>
            </w:pPr>
            <w:r>
              <w:t>1.62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9.00</w:t>
            </w:r>
          </w:p>
        </w:tc>
        <w:tc>
          <w:tcPr>
            <w:tcW w:w="2551" w:type="dxa"/>
            <w:vAlign w:val="center"/>
          </w:tcPr>
          <w:p>
            <w:pPr>
              <w:pStyle w:val="13"/>
            </w:pPr>
            <w:r>
              <w:t>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8.43</w:t>
            </w:r>
          </w:p>
        </w:tc>
        <w:tc>
          <w:tcPr>
            <w:tcW w:w="2551" w:type="dxa"/>
            <w:vAlign w:val="center"/>
          </w:tcPr>
          <w:p>
            <w:pPr>
              <w:pStyle w:val="13"/>
            </w:pPr>
            <w:r>
              <w:t>8.43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43.69</w:t>
            </w:r>
          </w:p>
        </w:tc>
        <w:tc>
          <w:tcPr>
            <w:tcW w:w="2551" w:type="dxa"/>
            <w:vAlign w:val="center"/>
          </w:tcPr>
          <w:p>
            <w:pPr>
              <w:pStyle w:val="13"/>
            </w:pPr>
            <w:r>
              <w:t>28.77</w:t>
            </w:r>
          </w:p>
        </w:tc>
        <w:tc>
          <w:tcPr>
            <w:tcW w:w="2551" w:type="dxa"/>
            <w:vAlign w:val="center"/>
          </w:tcPr>
          <w:p>
            <w:pPr>
              <w:pStyle w:val="13"/>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2.82</w:t>
            </w:r>
          </w:p>
        </w:tc>
        <w:tc>
          <w:tcPr>
            <w:tcW w:w="2551" w:type="dxa"/>
            <w:vAlign w:val="center"/>
          </w:tcPr>
          <w:p>
            <w:pPr>
              <w:pStyle w:val="13"/>
            </w:pPr>
          </w:p>
        </w:tc>
        <w:tc>
          <w:tcPr>
            <w:tcW w:w="2551" w:type="dxa"/>
            <w:vAlign w:val="center"/>
          </w:tcPr>
          <w:p>
            <w:pPr>
              <w:pStyle w:val="13"/>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2.20</w:t>
            </w:r>
          </w:p>
        </w:tc>
        <w:tc>
          <w:tcPr>
            <w:tcW w:w="2551" w:type="dxa"/>
            <w:vAlign w:val="center"/>
          </w:tcPr>
          <w:p>
            <w:pPr>
              <w:pStyle w:val="13"/>
            </w:pPr>
          </w:p>
        </w:tc>
        <w:tc>
          <w:tcPr>
            <w:tcW w:w="2551"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0.90</w:t>
            </w:r>
          </w:p>
        </w:tc>
        <w:tc>
          <w:tcPr>
            <w:tcW w:w="2551" w:type="dxa"/>
            <w:vAlign w:val="center"/>
          </w:tcPr>
          <w:p>
            <w:pPr>
              <w:pStyle w:val="13"/>
            </w:pPr>
          </w:p>
        </w:tc>
        <w:tc>
          <w:tcPr>
            <w:tcW w:w="2551"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13.87</w:t>
            </w:r>
          </w:p>
        </w:tc>
        <w:tc>
          <w:tcPr>
            <w:tcW w:w="2551" w:type="dxa"/>
            <w:vAlign w:val="center"/>
          </w:tcPr>
          <w:p>
            <w:pPr>
              <w:pStyle w:val="13"/>
            </w:pPr>
            <w:r>
              <w:t>13.87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4.40</w:t>
            </w:r>
          </w:p>
        </w:tc>
        <w:tc>
          <w:tcPr>
            <w:tcW w:w="2551" w:type="dxa"/>
            <w:vAlign w:val="center"/>
          </w:tcPr>
          <w:p>
            <w:pPr>
              <w:pStyle w:val="13"/>
            </w:pPr>
          </w:p>
        </w:tc>
        <w:tc>
          <w:tcPr>
            <w:tcW w:w="2551"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14.90</w:t>
            </w:r>
          </w:p>
        </w:tc>
        <w:tc>
          <w:tcPr>
            <w:tcW w:w="2551" w:type="dxa"/>
            <w:vAlign w:val="center"/>
          </w:tcPr>
          <w:p>
            <w:pPr>
              <w:pStyle w:val="13"/>
            </w:pPr>
            <w:r>
              <w:t>14.90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3297.70</w:t>
            </w:r>
          </w:p>
        </w:tc>
        <w:tc>
          <w:tcPr>
            <w:tcW w:w="2551" w:type="dxa"/>
            <w:vAlign w:val="center"/>
          </w:tcPr>
          <w:p>
            <w:pPr>
              <w:pStyle w:val="13"/>
            </w:pPr>
            <w:r>
              <w:t>3297.70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2936.57</w:t>
            </w:r>
          </w:p>
        </w:tc>
        <w:tc>
          <w:tcPr>
            <w:tcW w:w="2551" w:type="dxa"/>
            <w:vAlign w:val="center"/>
          </w:tcPr>
          <w:p>
            <w:pPr>
              <w:pStyle w:val="13"/>
            </w:pPr>
            <w:r>
              <w:t>2936.57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361.13</w:t>
            </w:r>
          </w:p>
        </w:tc>
        <w:tc>
          <w:tcPr>
            <w:tcW w:w="2551" w:type="dxa"/>
            <w:vAlign w:val="center"/>
          </w:tcPr>
          <w:p>
            <w:pPr>
              <w:pStyle w:val="13"/>
            </w:pPr>
            <w:r>
              <w:t>361.13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方正书宋_GBK" w:hAnsi="方正书宋_GBK" w:eastAsia="方正书宋_GBK" w:cs="方正书宋_GBK"/>
                <w:kern w:val="0"/>
                <w:sz w:val="21"/>
                <w:szCs w:val="24"/>
                <w:lang w:val="en-US" w:eastAsia="zh-CN" w:bidi="ar-SA"/>
              </w:rPr>
            </w:pPr>
            <w:r>
              <w:rPr>
                <w:lang w:eastAsia="zh-CN"/>
              </w:rPr>
              <w:t>1</w:t>
            </w:r>
          </w:p>
        </w:tc>
        <w:tc>
          <w:tcPr>
            <w:tcW w:w="3798" w:type="dxa"/>
            <w:vAlign w:val="center"/>
          </w:tcPr>
          <w:p>
            <w:pPr>
              <w:pStyle w:val="14"/>
              <w:rPr>
                <w:rFonts w:ascii="方正书宋_GBK" w:hAnsi="方正书宋_GBK" w:eastAsia="方正书宋_GBK" w:cs="方正书宋_GBK"/>
                <w:kern w:val="0"/>
                <w:sz w:val="21"/>
                <w:szCs w:val="24"/>
                <w:lang w:val="en-US" w:eastAsia="uk-UA" w:bidi="ar-SA"/>
              </w:rPr>
            </w:pPr>
            <w:r>
              <w:rPr>
                <w:rFonts w:hint="eastAsia"/>
                <w:lang w:eastAsia="zh-CN"/>
              </w:rPr>
              <w:t>一</w:t>
            </w:r>
            <w:r>
              <w:rPr>
                <w:rFonts w:hint="eastAsia"/>
              </w:rPr>
              <w:t>、公务用车购置及运维费</w:t>
            </w:r>
          </w:p>
        </w:tc>
        <w:tc>
          <w:tcPr>
            <w:tcW w:w="2382" w:type="dxa"/>
            <w:vAlign w:val="center"/>
          </w:tcPr>
          <w:p>
            <w:pPr>
              <w:pStyle w:val="13"/>
              <w:rPr>
                <w:rFonts w:ascii="方正书宋_GBK" w:hAnsi="方正书宋_GBK" w:eastAsia="方正书宋_GBK" w:cs="方正书宋_GBK"/>
                <w:kern w:val="0"/>
                <w:sz w:val="21"/>
                <w:szCs w:val="24"/>
                <w:lang w:val="en-US" w:eastAsia="zh-CN" w:bidi="ar-SA"/>
              </w:rPr>
            </w:pPr>
            <w:r>
              <w:rPr>
                <w:lang w:eastAsia="zh-CN"/>
              </w:rPr>
              <w:t>3</w:t>
            </w:r>
          </w:p>
        </w:tc>
        <w:tc>
          <w:tcPr>
            <w:tcW w:w="2381" w:type="dxa"/>
            <w:vAlign w:val="center"/>
          </w:tcPr>
          <w:p>
            <w:pPr>
              <w:pStyle w:val="13"/>
              <w:rPr>
                <w:rFonts w:ascii="方正书宋_GBK" w:hAnsi="方正书宋_GBK" w:eastAsia="方正书宋_GBK" w:cs="方正书宋_GBK"/>
                <w:kern w:val="0"/>
                <w:sz w:val="21"/>
                <w:szCs w:val="24"/>
                <w:lang w:val="en-US" w:eastAsia="zh-CN" w:bidi="ar-SA"/>
              </w:rPr>
            </w:pPr>
            <w:r>
              <w:rPr>
                <w:lang w:eastAsia="zh-CN"/>
              </w:rPr>
              <w:t>3</w:t>
            </w:r>
          </w:p>
        </w:tc>
        <w:tc>
          <w:tcPr>
            <w:tcW w:w="2381" w:type="dxa"/>
            <w:vAlign w:val="center"/>
          </w:tcPr>
          <w:p>
            <w:pPr>
              <w:pStyle w:val="13"/>
              <w:rPr>
                <w:rFonts w:ascii="方正书宋_GBK" w:hAnsi="方正书宋_GBK" w:eastAsia="方正书宋_GBK" w:cs="方正书宋_GBK"/>
                <w:kern w:val="0"/>
                <w:sz w:val="21"/>
                <w:szCs w:val="24"/>
                <w:lang w:val="en-US" w:eastAsia="uk-UA" w:bidi="ar-SA"/>
              </w:rPr>
            </w:pPr>
          </w:p>
        </w:tc>
        <w:tc>
          <w:tcPr>
            <w:tcW w:w="2381" w:type="dxa"/>
            <w:vAlign w:val="center"/>
          </w:tcPr>
          <w:p>
            <w:pPr>
              <w:pStyle w:val="13"/>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kern w:val="0"/>
                <w:sz w:val="21"/>
                <w:szCs w:val="24"/>
                <w:lang w:val="en-US" w:eastAsia="zh-CN" w:bidi="ar-SA"/>
              </w:rPr>
            </w:pPr>
            <w:r>
              <w:rPr>
                <w:lang w:eastAsia="zh-CN"/>
              </w:rPr>
              <w:t>2</w:t>
            </w:r>
          </w:p>
        </w:tc>
        <w:tc>
          <w:tcPr>
            <w:tcW w:w="0" w:type="auto"/>
            <w:vAlign w:val="center"/>
          </w:tcPr>
          <w:p>
            <w:pPr>
              <w:pStyle w:val="14"/>
              <w:rPr>
                <w:rFonts w:ascii="方正书宋_GBK" w:hAnsi="方正书宋_GBK" w:eastAsia="方正书宋_GBK" w:cs="方正书宋_GBK"/>
                <w:kern w:val="0"/>
                <w:sz w:val="21"/>
                <w:szCs w:val="24"/>
                <w:lang w:val="en-US" w:eastAsia="uk-UA" w:bidi="ar-SA"/>
              </w:rPr>
            </w:pPr>
            <w:r>
              <w:t xml:space="preserve"> </w:t>
            </w:r>
            <w:r>
              <w:rPr>
                <w:rFonts w:hint="eastAsia"/>
              </w:rPr>
              <w:t>其中：公务用车购置费</w:t>
            </w:r>
          </w:p>
        </w:tc>
        <w:tc>
          <w:tcPr>
            <w:tcW w:w="0" w:type="auto"/>
            <w:vAlign w:val="center"/>
          </w:tcPr>
          <w:p>
            <w:pPr>
              <w:pStyle w:val="13"/>
              <w:rPr>
                <w:rFonts w:ascii="方正书宋_GBK" w:hAnsi="方正书宋_GBK" w:eastAsia="方正书宋_GBK" w:cs="方正书宋_GBK"/>
                <w:kern w:val="0"/>
                <w:sz w:val="21"/>
                <w:szCs w:val="24"/>
                <w:lang w:val="en-US" w:eastAsia="uk-UA" w:bidi="ar-SA"/>
              </w:rPr>
            </w:pPr>
          </w:p>
        </w:tc>
        <w:tc>
          <w:tcPr>
            <w:tcW w:w="0" w:type="auto"/>
            <w:vAlign w:val="center"/>
          </w:tcPr>
          <w:p>
            <w:pPr>
              <w:pStyle w:val="13"/>
              <w:rPr>
                <w:rFonts w:ascii="方正书宋_GBK" w:hAnsi="方正书宋_GBK" w:eastAsia="方正书宋_GBK" w:cs="方正书宋_GBK"/>
                <w:kern w:val="0"/>
                <w:sz w:val="21"/>
                <w:szCs w:val="24"/>
                <w:lang w:val="en-US" w:eastAsia="uk-UA" w:bidi="ar-SA"/>
              </w:rPr>
            </w:pPr>
          </w:p>
        </w:tc>
        <w:tc>
          <w:tcPr>
            <w:tcW w:w="0" w:type="auto"/>
            <w:vAlign w:val="center"/>
          </w:tcPr>
          <w:p>
            <w:pPr>
              <w:pStyle w:val="13"/>
              <w:rPr>
                <w:rFonts w:ascii="方正书宋_GBK" w:hAnsi="方正书宋_GBK" w:eastAsia="方正书宋_GBK" w:cs="方正书宋_GBK"/>
                <w:kern w:val="0"/>
                <w:sz w:val="21"/>
                <w:szCs w:val="24"/>
                <w:lang w:val="en-US" w:eastAsia="uk-UA" w:bidi="ar-SA"/>
              </w:rPr>
            </w:pPr>
          </w:p>
        </w:tc>
        <w:tc>
          <w:tcPr>
            <w:tcW w:w="0" w:type="auto"/>
            <w:vAlign w:val="center"/>
          </w:tcPr>
          <w:p>
            <w:pPr>
              <w:pStyle w:val="13"/>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ascii="方正书宋_GBK" w:hAnsi="方正书宋_GBK" w:eastAsia="方正书宋_GBK" w:cs="方正书宋_GBK"/>
                <w:kern w:val="0"/>
                <w:sz w:val="21"/>
                <w:szCs w:val="24"/>
                <w:lang w:val="en-US" w:eastAsia="zh-CN" w:bidi="ar-SA"/>
              </w:rPr>
            </w:pPr>
            <w:r>
              <w:rPr>
                <w:lang w:eastAsia="zh-CN"/>
              </w:rPr>
              <w:t>3</w:t>
            </w:r>
          </w:p>
        </w:tc>
        <w:tc>
          <w:tcPr>
            <w:tcW w:w="0" w:type="auto"/>
            <w:vAlign w:val="center"/>
          </w:tcPr>
          <w:p>
            <w:pPr>
              <w:pStyle w:val="14"/>
              <w:rPr>
                <w:rFonts w:ascii="方正书宋_GBK" w:hAnsi="方正书宋_GBK" w:eastAsia="方正书宋_GBK" w:cs="方正书宋_GBK"/>
                <w:kern w:val="0"/>
                <w:sz w:val="21"/>
                <w:szCs w:val="24"/>
                <w:lang w:val="en-US" w:eastAsia="uk-UA" w:bidi="ar-SA"/>
              </w:rPr>
            </w:pPr>
            <w:r>
              <w:t xml:space="preserve"> </w:t>
            </w:r>
            <w:r>
              <w:rPr>
                <w:rFonts w:hint="eastAsia"/>
              </w:rPr>
              <w:t>公务用车运行维护费</w:t>
            </w:r>
          </w:p>
        </w:tc>
        <w:tc>
          <w:tcPr>
            <w:tcW w:w="0" w:type="auto"/>
            <w:vAlign w:val="center"/>
          </w:tcPr>
          <w:p>
            <w:pPr>
              <w:pStyle w:val="13"/>
              <w:rPr>
                <w:rFonts w:ascii="方正书宋_GBK" w:hAnsi="方正书宋_GBK" w:eastAsia="方正书宋_GBK" w:cs="方正书宋_GBK"/>
                <w:kern w:val="0"/>
                <w:sz w:val="21"/>
                <w:szCs w:val="24"/>
                <w:lang w:val="en-US" w:eastAsia="zh-CN" w:bidi="ar-SA"/>
              </w:rPr>
            </w:pPr>
            <w:r>
              <w:rPr>
                <w:lang w:eastAsia="zh-CN"/>
              </w:rPr>
              <w:t>3</w:t>
            </w:r>
          </w:p>
        </w:tc>
        <w:tc>
          <w:tcPr>
            <w:tcW w:w="0" w:type="auto"/>
            <w:vAlign w:val="center"/>
          </w:tcPr>
          <w:p>
            <w:pPr>
              <w:pStyle w:val="13"/>
              <w:rPr>
                <w:rFonts w:ascii="方正书宋_GBK" w:hAnsi="方正书宋_GBK" w:eastAsia="方正书宋_GBK" w:cs="方正书宋_GBK"/>
                <w:kern w:val="0"/>
                <w:sz w:val="21"/>
                <w:szCs w:val="24"/>
                <w:lang w:val="en-US" w:eastAsia="zh-CN" w:bidi="ar-SA"/>
              </w:rPr>
            </w:pPr>
            <w:r>
              <w:rPr>
                <w:lang w:eastAsia="zh-CN"/>
              </w:rPr>
              <w:t>3</w:t>
            </w:r>
          </w:p>
        </w:tc>
        <w:tc>
          <w:tcPr>
            <w:tcW w:w="0" w:type="auto"/>
            <w:vAlign w:val="center"/>
          </w:tcPr>
          <w:p>
            <w:pPr>
              <w:pStyle w:val="13"/>
              <w:rPr>
                <w:rFonts w:ascii="方正书宋_GBK" w:hAnsi="方正书宋_GBK" w:eastAsia="方正书宋_GBK" w:cs="方正书宋_GBK"/>
                <w:kern w:val="0"/>
                <w:sz w:val="21"/>
                <w:szCs w:val="24"/>
                <w:lang w:val="en-US" w:eastAsia="uk-UA" w:bidi="ar-SA"/>
              </w:rPr>
            </w:pPr>
          </w:p>
        </w:tc>
        <w:tc>
          <w:tcPr>
            <w:tcW w:w="0" w:type="auto"/>
            <w:vAlign w:val="center"/>
          </w:tcPr>
          <w:p>
            <w:pPr>
              <w:pStyle w:val="13"/>
              <w:rPr>
                <w:rFonts w:ascii="方正书宋_GBK" w:hAnsi="方正书宋_GBK" w:eastAsia="方正书宋_GBK" w:cs="方正书宋_GBK"/>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7" w:hRule="atLeast"/>
          <w:jc w:val="center"/>
        </w:trPr>
        <w:tc>
          <w:tcPr>
            <w:tcW w:w="0" w:type="auto"/>
            <w:vAlign w:val="center"/>
          </w:tcPr>
          <w:p>
            <w:pPr>
              <w:pStyle w:val="15"/>
              <w:rPr>
                <w:rFonts w:ascii="方正书宋_GBK" w:hAnsi="方正书宋_GBK" w:eastAsia="方正书宋_GBK" w:cs="方正书宋_GBK"/>
                <w:kern w:val="0"/>
                <w:sz w:val="21"/>
                <w:szCs w:val="24"/>
                <w:lang w:val="en-US" w:eastAsia="zh-CN" w:bidi="ar-SA"/>
              </w:rPr>
            </w:pPr>
            <w:r>
              <w:rPr>
                <w:lang w:eastAsia="zh-CN"/>
              </w:rPr>
              <w:t>4</w:t>
            </w:r>
          </w:p>
        </w:tc>
        <w:tc>
          <w:tcPr>
            <w:tcW w:w="0" w:type="auto"/>
            <w:vAlign w:val="center"/>
          </w:tcPr>
          <w:p>
            <w:pPr>
              <w:pStyle w:val="14"/>
              <w:rPr>
                <w:rFonts w:ascii="方正书宋_GBK" w:hAnsi="方正书宋_GBK" w:eastAsia="方正书宋_GBK" w:cs="方正书宋_GBK"/>
                <w:kern w:val="0"/>
                <w:sz w:val="21"/>
                <w:szCs w:val="24"/>
                <w:lang w:val="en-US" w:eastAsia="uk-UA" w:bidi="ar-SA"/>
              </w:rPr>
            </w:pPr>
            <w:r>
              <w:rPr>
                <w:rFonts w:hint="eastAsia"/>
                <w:lang w:eastAsia="zh-CN"/>
              </w:rPr>
              <w:t>二</w:t>
            </w:r>
            <w:r>
              <w:rPr>
                <w:rFonts w:hint="eastAsia"/>
              </w:rPr>
              <w:t>、公务接待费</w:t>
            </w:r>
          </w:p>
        </w:tc>
        <w:tc>
          <w:tcPr>
            <w:tcW w:w="0" w:type="auto"/>
            <w:vAlign w:val="center"/>
          </w:tcPr>
          <w:p>
            <w:pPr>
              <w:pStyle w:val="13"/>
              <w:rPr>
                <w:rFonts w:ascii="方正书宋_GBK" w:hAnsi="方正书宋_GBK" w:eastAsia="方正书宋_GBK" w:cs="方正书宋_GBK"/>
                <w:kern w:val="0"/>
                <w:sz w:val="21"/>
                <w:szCs w:val="24"/>
                <w:lang w:val="en-US" w:eastAsia="zh-CN" w:bidi="ar-SA"/>
              </w:rPr>
            </w:pPr>
            <w:r>
              <w:rPr>
                <w:lang w:eastAsia="zh-CN"/>
              </w:rPr>
              <w:t>1.6</w:t>
            </w:r>
          </w:p>
        </w:tc>
        <w:tc>
          <w:tcPr>
            <w:tcW w:w="0" w:type="auto"/>
            <w:vAlign w:val="center"/>
          </w:tcPr>
          <w:p>
            <w:pPr>
              <w:pStyle w:val="13"/>
              <w:rPr>
                <w:rFonts w:ascii="方正书宋_GBK" w:hAnsi="方正书宋_GBK" w:eastAsia="方正书宋_GBK" w:cs="方正书宋_GBK"/>
                <w:kern w:val="0"/>
                <w:sz w:val="21"/>
                <w:szCs w:val="24"/>
                <w:lang w:val="en-US" w:eastAsia="zh-CN" w:bidi="ar-SA"/>
              </w:rPr>
            </w:pPr>
            <w:r>
              <w:rPr>
                <w:lang w:eastAsia="zh-CN"/>
              </w:rPr>
              <w:t>1.6</w:t>
            </w:r>
          </w:p>
        </w:tc>
        <w:tc>
          <w:tcPr>
            <w:tcW w:w="0" w:type="auto"/>
            <w:vAlign w:val="center"/>
          </w:tcPr>
          <w:p>
            <w:pPr>
              <w:rPr>
                <w:rFonts w:ascii="Times New Roman" w:hAnsi="Times New Roman" w:eastAsia="Times New Roman" w:cs="Times New Roman"/>
                <w:kern w:val="0"/>
                <w:sz w:val="24"/>
                <w:szCs w:val="24"/>
                <w:lang w:val="en-US" w:eastAsia="uk-UA" w:bidi="ar-SA"/>
              </w:rPr>
            </w:pPr>
          </w:p>
        </w:tc>
        <w:tc>
          <w:tcPr>
            <w:tcW w:w="0" w:type="auto"/>
            <w:vAlign w:val="center"/>
          </w:tcPr>
          <w:p>
            <w:pPr>
              <w:rPr>
                <w:rFonts w:ascii="Times New Roman" w:hAnsi="Times New Roman" w:eastAsia="Times New Roman" w:cs="Times New Roman"/>
                <w:kern w:val="0"/>
                <w:sz w:val="24"/>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5"/>
              <w:rPr>
                <w:rFonts w:hint="default"/>
                <w:lang w:val="en-US" w:eastAsia="zh-CN"/>
              </w:rPr>
            </w:pPr>
            <w:r>
              <w:rPr>
                <w:rFonts w:hint="eastAsia"/>
                <w:lang w:val="en-US" w:eastAsia="zh-CN"/>
              </w:rPr>
              <w:t>5</w:t>
            </w:r>
          </w:p>
        </w:tc>
        <w:tc>
          <w:tcPr>
            <w:tcW w:w="0" w:type="auto"/>
            <w:vAlign w:val="center"/>
          </w:tcPr>
          <w:p>
            <w:pPr>
              <w:pStyle w:val="14"/>
              <w:rPr>
                <w:rFonts w:hint="eastAsia"/>
                <w:lang w:eastAsia="zh-CN"/>
              </w:rPr>
            </w:pPr>
            <w:r>
              <w:rPr>
                <w:rFonts w:hint="eastAsia"/>
                <w:lang w:eastAsia="zh-CN"/>
              </w:rPr>
              <w:t>总计</w:t>
            </w:r>
          </w:p>
        </w:tc>
        <w:tc>
          <w:tcPr>
            <w:tcW w:w="0" w:type="auto"/>
            <w:vAlign w:val="center"/>
          </w:tcPr>
          <w:p>
            <w:pPr>
              <w:pStyle w:val="13"/>
              <w:rPr>
                <w:rFonts w:hint="default"/>
                <w:lang w:val="en-US" w:eastAsia="zh-CN"/>
              </w:rPr>
            </w:pPr>
            <w:r>
              <w:rPr>
                <w:rFonts w:hint="eastAsia"/>
                <w:lang w:val="en-US" w:eastAsia="zh-CN"/>
              </w:rPr>
              <w:t>4.6</w:t>
            </w:r>
          </w:p>
        </w:tc>
        <w:tc>
          <w:tcPr>
            <w:tcW w:w="0" w:type="auto"/>
            <w:vAlign w:val="center"/>
          </w:tcPr>
          <w:p>
            <w:pPr>
              <w:pStyle w:val="13"/>
              <w:rPr>
                <w:rFonts w:hint="default"/>
                <w:lang w:val="en-US" w:eastAsia="zh-CN"/>
              </w:rPr>
            </w:pPr>
            <w:r>
              <w:rPr>
                <w:rFonts w:hint="eastAsia"/>
                <w:lang w:val="en-US" w:eastAsia="zh-CN"/>
              </w:rPr>
              <w:t>4.6</w:t>
            </w:r>
            <w:bookmarkStart w:id="1" w:name="_GoBack"/>
            <w:bookmarkEnd w:id="1"/>
          </w:p>
        </w:tc>
        <w:tc>
          <w:tcPr>
            <w:tcW w:w="0" w:type="auto"/>
            <w:vAlign w:val="center"/>
          </w:tcPr>
          <w:p>
            <w:pPr>
              <w:rPr>
                <w:rFonts w:ascii="Times New Roman" w:hAnsi="Times New Roman" w:eastAsia="Times New Roman" w:cs="Times New Roman"/>
                <w:kern w:val="0"/>
                <w:sz w:val="24"/>
                <w:szCs w:val="24"/>
                <w:lang w:val="en-US" w:eastAsia="uk-UA" w:bidi="ar-SA"/>
              </w:rPr>
            </w:pPr>
          </w:p>
        </w:tc>
        <w:tc>
          <w:tcPr>
            <w:tcW w:w="0" w:type="auto"/>
            <w:vAlign w:val="center"/>
          </w:tcPr>
          <w:p>
            <w:pPr>
              <w:rPr>
                <w:rFonts w:ascii="Times New Roman" w:hAnsi="Times New Roman" w:eastAsia="Times New Roman" w:cs="Times New Roman"/>
                <w:kern w:val="0"/>
                <w:sz w:val="24"/>
                <w:szCs w:val="24"/>
                <w:lang w:val="en-US" w:eastAsia="uk-UA" w:bidi="ar-SA"/>
              </w:rPr>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涞源县社会保险事业管理局本级2022年单位预算信息公开情况说明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按照《预算法》、《地方预决算公开操作规程》和《关于进一步推进预算公开工作的实施意见》规定，现将涞源县社会保险事业管理局本级2022年单位预算公开如下：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7"/>
      </w:pPr>
      <w:r>
        <w:t>社会保险负责全县机关事业单位职工养老保险、企业职工基本养老保险的参保、变更、核定征缴、个人账户及缴费记录、待遇支付工作、保障基本生活，基金管理及核算、业务统计、稽核内控、档案管理等业务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涞源县社会保险事业管理局本级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28"/>
      </w:pPr>
      <w:r>
        <w:t>按照预算管理有关规定，目前我单位预算胡编制实行综合预算制度，即全部收入肯支出灰反映在预算中。本单位胡收支包含在部门预算中。</w:t>
      </w:r>
    </w:p>
    <w:p>
      <w:pPr>
        <w:pStyle w:val="28"/>
      </w:pPr>
      <w:r>
        <w:t>1、收入说明</w:t>
      </w:r>
    </w:p>
    <w:p>
      <w:pPr>
        <w:pStyle w:val="28"/>
      </w:pPr>
      <w:r>
        <w:t>反映本单位当年全部收入。2022年预算收入3624.11万元；其中：一般公共预算收入3624.11万元，基金预算收入0万元，国有资本经营预算收入0万元，财政专户核拨收入0万元，单位资金收入0万元。上年结转结余0万元。</w:t>
      </w:r>
    </w:p>
    <w:p>
      <w:pPr>
        <w:pStyle w:val="28"/>
      </w:pPr>
    </w:p>
    <w:p>
      <w:pPr>
        <w:pStyle w:val="28"/>
      </w:pPr>
    </w:p>
    <w:p>
      <w:pPr>
        <w:pStyle w:val="28"/>
      </w:pPr>
      <w:r>
        <w:t>2、支出说明</w:t>
      </w:r>
    </w:p>
    <w:p>
      <w:pPr>
        <w:pStyle w:val="28"/>
      </w:pPr>
      <w:r>
        <w:t>收支预算总表支出栏、基本支出表、项目支出表按经济分类和支出功能分类科目编制，反映涞源县社会保险事业管理局年度单位预算中支出预算的总体情况。2022年支出预算3624.11万元，其中基本支出3574.3万元，包括人员经费3559.38万元和日常公用经费14.92万元；项目支出49.81万元，主要为扩面等工作。</w:t>
      </w:r>
    </w:p>
    <w:p>
      <w:pPr>
        <w:pStyle w:val="28"/>
      </w:pPr>
      <w:r>
        <w:t>3、比上年增减情况</w:t>
      </w:r>
    </w:p>
    <w:p>
      <w:pPr>
        <w:pStyle w:val="28"/>
      </w:pPr>
      <w:r>
        <w:t>2022年预算收支安排3624.11万元，较上年增加3308.4万元，其中：基本支出增加3308.40万元（人员经费增加3307万元，日常公用经费比上年增加1.21万元），项目支出与上年持平。</w:t>
      </w:r>
    </w:p>
    <w:p>
      <w:pPr>
        <w:spacing w:before="10" w:after="10"/>
        <w:ind w:firstLine="640"/>
        <w:outlineLvl w:val="5"/>
      </w:pPr>
      <w:r>
        <w:rPr>
          <w:rFonts w:ascii="黑体" w:hAnsi="黑体" w:eastAsia="黑体" w:cs="黑体"/>
          <w:color w:val="000000"/>
          <w:sz w:val="32"/>
        </w:rPr>
        <w:t>三、机关运行经费安排情况</w:t>
      </w:r>
    </w:p>
    <w:p>
      <w:pPr>
        <w:pStyle w:val="29"/>
      </w:pPr>
      <w:r>
        <w:t>2022年，我单位运行经费共计14.71万元，主要用于日常维修、办公用房水电费、差旅费、邮电费等日常运行支出。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4.6万元，其中因公出国（境）费0万元；公务用车购置及运维费3万元（其中:公务用车购置为0万元，公务用车运维费3万元）；公务接待费1.6万元，与2021年相比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1、国企退休教师生活补贴补差绩效目标表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1.国企退休教师生活补贴补差</w:t>
            </w:r>
          </w:p>
          <w:p>
            <w:pPr>
              <w:pStyle w:val="14"/>
            </w:pPr>
            <w:r>
              <w:t>2.国企退休教师生活补贴补差</w:t>
            </w:r>
          </w:p>
          <w:p>
            <w:pPr>
              <w:pStyle w:val="14"/>
            </w:pPr>
            <w:r>
              <w:t>3.国企退休教师生活补贴补差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100</w:t>
            </w:r>
          </w:p>
        </w:tc>
        <w:tc>
          <w:tcPr>
            <w:tcW w:w="2268" w:type="dxa"/>
            <w:vAlign w:val="center"/>
          </w:tcPr>
          <w:p>
            <w:pPr>
              <w:pStyle w:val="14"/>
            </w:pPr>
            <w:r>
              <w:t>根据财政预算安排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2、社保局企业养老扩面补贴绩效目标表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1.社保局企业养老扩面补贴</w:t>
            </w:r>
          </w:p>
          <w:p>
            <w:pPr>
              <w:pStyle w:val="14"/>
            </w:pPr>
            <w:r>
              <w:t>"</w:t>
            </w:r>
            <w:r>
              <w:tab/>
            </w:r>
            <w:r>
              <w:tab/>
            </w:r>
            <w:r>
              <w:tab/>
            </w:r>
            <w:r>
              <w:tab/>
            </w:r>
            <w:r>
              <w:tab/>
            </w:r>
            <w:r>
              <w:tab/>
            </w:r>
            <w:r>
              <w:tab/>
            </w:r>
          </w:p>
          <w:p>
            <w:pPr>
              <w:pStyle w:val="14"/>
            </w:pPr>
          </w:p>
          <w:p>
            <w:pPr>
              <w:pStyle w:val="14"/>
            </w:pPr>
            <w:r>
              <w:t>2.社保局企业养老扩面补贴</w:t>
            </w:r>
          </w:p>
          <w:p>
            <w:pPr>
              <w:pStyle w:val="14"/>
            </w:pPr>
            <w:r>
              <w:t>3.社保局企业养老扩面补贴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根据财政年初预算安排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3、社保局社会保险经办机构专项工作经费绩效目标表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1.社保局社会保险经办机构专项工作经费</w:t>
            </w:r>
          </w:p>
          <w:p>
            <w:pPr>
              <w:pStyle w:val="14"/>
            </w:pPr>
            <w:r>
              <w:t>2.社保局社会保险经办机构专项工作经费</w:t>
            </w:r>
          </w:p>
          <w:p>
            <w:pPr>
              <w:pStyle w:val="14"/>
            </w:pPr>
            <w:r>
              <w:t>3.社保局社会保险经办机构专项工作经费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w:t>
            </w:r>
          </w:p>
        </w:tc>
        <w:tc>
          <w:tcPr>
            <w:tcW w:w="2268" w:type="dxa"/>
            <w:vAlign w:val="center"/>
          </w:tcPr>
          <w:p>
            <w:pPr>
              <w:pStyle w:val="14"/>
            </w:pPr>
            <w:r>
              <w:t>根据财政年初预算安排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4、社保局网络维护及软件升级费绩效目标表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1035"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rPr>
                <w:rFonts w:hint="eastAsia" w:eastAsiaTheme="minorEastAsia"/>
                <w:lang w:eastAsia="zh-CN"/>
              </w:rPr>
            </w:pPr>
            <w:r>
              <w:t>1.社保局网络维护及软件升级费</w:t>
            </w:r>
            <w:r>
              <w:tab/>
            </w:r>
            <w:r>
              <w:tab/>
            </w:r>
          </w:p>
          <w:p>
            <w:pPr>
              <w:pStyle w:val="14"/>
              <w:rPr>
                <w:rFonts w:hint="eastAsia" w:eastAsiaTheme="minorEastAsia"/>
                <w:lang w:eastAsia="zh-CN"/>
              </w:rPr>
            </w:pPr>
            <w:r>
              <w:t>2.社保局网络维护及软件升级费</w:t>
            </w:r>
            <w:r>
              <w:tab/>
            </w:r>
            <w:r>
              <w:tab/>
            </w:r>
          </w:p>
          <w:p>
            <w:pPr>
              <w:pStyle w:val="14"/>
              <w:rPr>
                <w:rFonts w:hint="eastAsia" w:eastAsiaTheme="minorEastAsia"/>
                <w:lang w:eastAsia="zh-CN"/>
              </w:rPr>
            </w:pPr>
            <w:r>
              <w:t>3.社保局网络维护及软件升级费</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9"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5、社保局指纹认证绩效目标表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1.社保局指纹认证</w:t>
            </w:r>
          </w:p>
          <w:p>
            <w:pPr>
              <w:pStyle w:val="14"/>
            </w:pPr>
            <w:r>
              <w:t>2.社保局指纹认证</w:t>
            </w:r>
          </w:p>
          <w:p>
            <w:pPr>
              <w:pStyle w:val="14"/>
            </w:pPr>
            <w:r>
              <w:t>3.社保局指纹认证</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社会效益指标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100</w:t>
            </w:r>
          </w:p>
        </w:tc>
        <w:tc>
          <w:tcPr>
            <w:tcW w:w="2268" w:type="dxa"/>
            <w:vAlign w:val="center"/>
          </w:tcPr>
          <w:p>
            <w:pPr>
              <w:pStyle w:val="14"/>
            </w:pPr>
            <w: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w:t>
            </w:r>
          </w:p>
        </w:tc>
        <w:tc>
          <w:tcPr>
            <w:tcW w:w="2268" w:type="dxa"/>
            <w:vAlign w:val="center"/>
          </w:tcPr>
          <w:p>
            <w:pPr>
              <w:pStyle w:val="14"/>
            </w:pPr>
            <w:r>
              <w:t>根据财政年初预算安排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2022年，涞源县社会保险事业管理局本级安排政府采购预算0.00万元。具体内容见下表。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155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3"/>
        <w:gridCol w:w="1056"/>
        <w:gridCol w:w="1042"/>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854" w:type="dxa"/>
            <w:gridSpan w:val="7"/>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9" w:type="dxa"/>
            <w:gridSpan w:val="2"/>
            <w:vAlign w:val="center"/>
          </w:tcPr>
          <w:p>
            <w:pPr>
              <w:pStyle w:val="12"/>
            </w:pPr>
            <w:r>
              <w:t>政府采购项目来源</w:t>
            </w:r>
          </w:p>
        </w:tc>
        <w:tc>
          <w:tcPr>
            <w:tcW w:w="1042"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213" w:type="dxa"/>
            <w:vAlign w:val="center"/>
          </w:tcPr>
          <w:p>
            <w:pPr>
              <w:pStyle w:val="12"/>
            </w:pPr>
            <w:r>
              <w:t>项目名称</w:t>
            </w:r>
          </w:p>
        </w:tc>
        <w:tc>
          <w:tcPr>
            <w:tcW w:w="1056" w:type="dxa"/>
            <w:vAlign w:val="center"/>
          </w:tcPr>
          <w:p>
            <w:pPr>
              <w:pStyle w:val="12"/>
            </w:pPr>
            <w:r>
              <w:t>预算    资金</w:t>
            </w:r>
          </w:p>
        </w:tc>
        <w:tc>
          <w:tcPr>
            <w:tcW w:w="1042"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13" w:type="dxa"/>
            <w:vAlign w:val="center"/>
          </w:tcPr>
          <w:p>
            <w:pPr>
              <w:pStyle w:val="14"/>
            </w:pPr>
          </w:p>
        </w:tc>
        <w:tc>
          <w:tcPr>
            <w:tcW w:w="1056" w:type="dxa"/>
            <w:vAlign w:val="center"/>
          </w:tcPr>
          <w:p>
            <w:pPr>
              <w:pStyle w:val="13"/>
            </w:pPr>
          </w:p>
        </w:tc>
        <w:tc>
          <w:tcPr>
            <w:tcW w:w="1042"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涞源县社会保险事业管理局本级上年末固定资产金额为</w:t>
      </w:r>
      <w:r>
        <w:rPr>
          <w:rFonts w:hint="eastAsia" w:eastAsiaTheme="minorEastAsia"/>
          <w:color w:val="000000"/>
          <w:sz w:val="28"/>
          <w:lang w:eastAsia="zh-CN"/>
        </w:rPr>
        <w:t>260.51</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323001涞源县社会保险事业管理局本级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eastAsia" w:eastAsiaTheme="minorEastAsia"/>
                <w:lang w:eastAsia="zh-CN"/>
              </w:rPr>
            </w:pPr>
            <w:r>
              <w:rPr>
                <w:rFonts w:hint="eastAsia" w:eastAsiaTheme="minorEastAsia"/>
                <w:lang w:eastAsia="zh-CN"/>
              </w:rPr>
              <w:t>260.51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eastAsia" w:eastAsiaTheme="minorEastAsia"/>
                <w:lang w:eastAsia="zh-CN"/>
              </w:rPr>
            </w:pPr>
            <w:r>
              <w:rPr>
                <w:rFonts w:hint="eastAsia" w:eastAsiaTheme="minorEastAsia"/>
                <w:lang w:eastAsia="zh-CN"/>
              </w:rPr>
              <w:t>1426</w:t>
            </w:r>
          </w:p>
        </w:tc>
        <w:tc>
          <w:tcPr>
            <w:tcW w:w="2835" w:type="dxa"/>
            <w:vAlign w:val="center"/>
          </w:tcPr>
          <w:p>
            <w:pPr>
              <w:pStyle w:val="13"/>
              <w:rPr>
                <w:rFonts w:hint="eastAsia" w:eastAsiaTheme="minorEastAsia"/>
                <w:lang w:eastAsia="zh-CN"/>
              </w:rPr>
            </w:pPr>
            <w:r>
              <w:rPr>
                <w:rFonts w:hint="eastAsia" w:eastAsiaTheme="minorEastAsia"/>
                <w:lang w:eastAsia="zh-CN"/>
              </w:rPr>
              <w:t>103.89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rPr>
                <w:rFonts w:hint="eastAsia" w:eastAsiaTheme="minorEastAsia"/>
                <w:lang w:eastAsia="zh-CN"/>
              </w:rPr>
            </w:pPr>
            <w:r>
              <w:rPr>
                <w:rFonts w:hint="eastAsia" w:eastAsiaTheme="minorEastAsia"/>
                <w:lang w:eastAsia="zh-CN"/>
              </w:rPr>
              <w:t>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eastAsia" w:eastAsiaTheme="minorEastAsia"/>
                <w:lang w:eastAsia="zh-CN"/>
              </w:rPr>
            </w:pPr>
            <w:r>
              <w:rPr>
                <w:rFonts w:hint="eastAsia" w:eastAsiaTheme="minorEastAsia"/>
                <w:lang w:eastAsia="zh-CN"/>
              </w:rPr>
              <w:t>137.83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Theme="minorEastAsia"/>
          <w:lang w:eastAsia="zh-CN"/>
        </w:rPr>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g5MDQ4Y2U4MDNmMjIzYmJmOTk0ZTM1NWYwMjMifQ=="/>
  </w:docVars>
  <w:rsids>
    <w:rsidRoot w:val="00C93DE0"/>
    <w:rsid w:val="00091370"/>
    <w:rsid w:val="004B18DA"/>
    <w:rsid w:val="004F64F3"/>
    <w:rsid w:val="005922C8"/>
    <w:rsid w:val="007B3245"/>
    <w:rsid w:val="007C7C28"/>
    <w:rsid w:val="00AF2721"/>
    <w:rsid w:val="00C210C2"/>
    <w:rsid w:val="00C93DE0"/>
    <w:rsid w:val="00D75FB8"/>
    <w:rsid w:val="02054F52"/>
    <w:rsid w:val="0FB1278E"/>
    <w:rsid w:val="412B7F13"/>
    <w:rsid w:val="540B28F3"/>
    <w:rsid w:val="66422488"/>
    <w:rsid w:val="6F04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6192</Words>
  <Characters>7648</Characters>
  <Lines>69</Lines>
  <Paragraphs>19</Paragraphs>
  <TotalTime>1</TotalTime>
  <ScaleCrop>false</ScaleCrop>
  <LinksUpToDate>false</LinksUpToDate>
  <CharactersWithSpaces>7780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2022-04-26T01:21:00Z</dcterms:created>
  <dc:creator>xb21cn</dc:creator>
  <cp:lastModifiedBy>！</cp:lastModifiedBy>
  <dcterms:modified xsi:type="dcterms:W3CDTF">2022-06-26T13:47:28Z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384AD9F28AF94F6E8C2AC17452E81305</vt:lpwstr>
  </property>
</Properties>
</file>