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楷体_GB2312" w:hAnsi="华文仿宋" w:eastAsia="楷体_GB2312"/>
          <w:color w:val="000000"/>
          <w:sz w:val="28"/>
        </w:rPr>
      </w:pPr>
      <w:r>
        <w:rPr>
          <w:rFonts w:hint="eastAsia" w:ascii="楷体_GB2312" w:hAnsi="华文仿宋" w:eastAsia="楷体_GB2312"/>
          <w:color w:val="000000"/>
          <w:sz w:val="28"/>
        </w:rPr>
        <w:t>涞源县十七届人大</w:t>
      </w:r>
    </w:p>
    <w:p>
      <w:pPr>
        <w:textAlignment w:val="baseline"/>
        <w:rPr>
          <w:rFonts w:hint="default" w:ascii="楷体_GB2312" w:hAnsi="华文仿宋" w:eastAsia="楷体_GB2312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华文仿宋" w:eastAsia="楷体_GB2312"/>
          <w:color w:val="000000"/>
          <w:sz w:val="28"/>
          <w:lang w:val="en-US" w:eastAsia="zh-CN"/>
        </w:rPr>
        <w:t>三</w:t>
      </w:r>
      <w:r>
        <w:rPr>
          <w:rFonts w:hint="eastAsia" w:ascii="楷体_GB2312" w:hAnsi="华文仿宋" w:eastAsia="楷体_GB2312"/>
          <w:color w:val="000000"/>
          <w:sz w:val="28"/>
        </w:rPr>
        <w:t>次会议文件(</w:t>
      </w:r>
      <w:r>
        <w:rPr>
          <w:rFonts w:hint="eastAsia" w:ascii="楷体_GB2312" w:hAnsi="华文仿宋" w:eastAsia="楷体_GB2312"/>
          <w:color w:val="000000"/>
          <w:sz w:val="28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color w:val="000000"/>
          <w:sz w:val="28"/>
        </w:rPr>
        <w:t>)</w:t>
      </w:r>
    </w:p>
    <w:p>
      <w:pPr>
        <w:snapToGrid w:val="0"/>
        <w:spacing w:line="360" w:lineRule="exact"/>
        <w:jc w:val="center"/>
        <w:textAlignment w:val="baseline"/>
        <w:rPr>
          <w:rFonts w:ascii="楷体_GB2312" w:hAnsi="华文仿宋" w:eastAsia="楷体_GB2312"/>
          <w:sz w:val="44"/>
        </w:rPr>
      </w:pPr>
    </w:p>
    <w:p>
      <w:pPr>
        <w:snapToGrid w:val="0"/>
        <w:spacing w:line="560" w:lineRule="exact"/>
        <w:jc w:val="center"/>
        <w:textAlignment w:val="baseline"/>
        <w:rPr>
          <w:rFonts w:ascii="方正小标宋简体" w:hAnsi="宋体" w:eastAsia="方正小标宋简体"/>
          <w:b w:val="0"/>
          <w:bCs w:val="0"/>
          <w:sz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</w:rPr>
        <w:t>关于涞源县202</w:t>
      </w:r>
      <w:r>
        <w:rPr>
          <w:rFonts w:hint="eastAsia" w:ascii="方正小标宋简体" w:hAnsi="宋体" w:eastAsia="方正小标宋简体"/>
          <w:b w:val="0"/>
          <w:bCs w:val="0"/>
          <w:sz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b w:val="0"/>
          <w:bCs w:val="0"/>
          <w:sz w:val="44"/>
        </w:rPr>
        <w:t>年预算执行情况和</w:t>
      </w:r>
    </w:p>
    <w:p>
      <w:pPr>
        <w:snapToGrid w:val="0"/>
        <w:spacing w:line="560" w:lineRule="exact"/>
        <w:jc w:val="center"/>
        <w:textAlignment w:val="baseline"/>
        <w:outlineLvl w:val="0"/>
        <w:rPr>
          <w:rFonts w:ascii="方正小标宋简体" w:hAnsi="宋体" w:eastAsia="方正小标宋简体"/>
          <w:b w:val="0"/>
          <w:bCs w:val="0"/>
          <w:sz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</w:rPr>
        <w:t xml:space="preserve"> 202</w:t>
      </w:r>
      <w:r>
        <w:rPr>
          <w:rFonts w:hint="eastAsia" w:ascii="方正小标宋简体" w:hAnsi="宋体" w:eastAsia="方正小标宋简体"/>
          <w:b w:val="0"/>
          <w:bCs w:val="0"/>
          <w:sz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 w:val="0"/>
          <w:sz w:val="44"/>
        </w:rPr>
        <w:t>年预算草案的报告（书面）</w:t>
      </w:r>
    </w:p>
    <w:p>
      <w:pPr>
        <w:spacing w:line="560" w:lineRule="exact"/>
        <w:jc w:val="center"/>
        <w:textAlignment w:val="baseline"/>
        <w:outlineLvl w:val="0"/>
        <w:rPr>
          <w:rFonts w:ascii="楷体_GB2312" w:hAnsi="宋体" w:eastAsia="楷体_GB2312"/>
          <w:sz w:val="32"/>
        </w:rPr>
      </w:pPr>
      <w:r>
        <w:rPr>
          <w:rFonts w:hint="eastAsia" w:ascii="楷体_GB2312" w:hAnsi="楷体_GB2312" w:eastAsia="楷体_GB2312"/>
          <w:b/>
          <w:spacing w:val="-32"/>
          <w:sz w:val="32"/>
        </w:rPr>
        <w:t xml:space="preserve">—— </w:t>
      </w:r>
      <w:r>
        <w:rPr>
          <w:rFonts w:hint="eastAsia" w:ascii="楷体_GB2312" w:hAnsi="宋体" w:eastAsia="楷体_GB2312"/>
          <w:sz w:val="32"/>
        </w:rPr>
        <w:t>202</w:t>
      </w:r>
      <w:r>
        <w:rPr>
          <w:rFonts w:hint="eastAsia" w:ascii="楷体_GB2312" w:hAnsi="宋体" w:eastAsia="楷体_GB2312"/>
          <w:sz w:val="32"/>
          <w:lang w:val="en-US" w:eastAsia="zh-CN"/>
        </w:rPr>
        <w:t>3</w:t>
      </w:r>
      <w:r>
        <w:rPr>
          <w:rFonts w:hint="eastAsia" w:ascii="楷体_GB2312" w:hAnsi="宋体" w:eastAsia="楷体_GB2312"/>
          <w:sz w:val="32"/>
        </w:rPr>
        <w:t>年</w:t>
      </w:r>
      <w:r>
        <w:rPr>
          <w:rFonts w:hint="eastAsia" w:ascii="楷体_GB2312" w:hAnsi="宋体" w:eastAsia="楷体_GB2312"/>
          <w:sz w:val="32"/>
          <w:lang w:val="en-US" w:eastAsia="zh-CN"/>
        </w:rPr>
        <w:t>1</w:t>
      </w:r>
      <w:r>
        <w:rPr>
          <w:rFonts w:hint="eastAsia" w:ascii="楷体_GB2312" w:hAnsi="宋体" w:eastAsia="楷体_GB2312"/>
          <w:sz w:val="32"/>
        </w:rPr>
        <w:t>月</w:t>
      </w:r>
      <w:r>
        <w:rPr>
          <w:rFonts w:hint="eastAsia" w:ascii="楷体_GB2312" w:hAnsi="宋体" w:eastAsia="楷体_GB2312"/>
          <w:sz w:val="32"/>
          <w:lang w:val="en-US" w:eastAsia="zh-CN"/>
        </w:rPr>
        <w:t>12</w:t>
      </w:r>
      <w:r>
        <w:rPr>
          <w:rFonts w:hint="eastAsia" w:ascii="楷体_GB2312" w:hAnsi="宋体" w:eastAsia="楷体_GB2312"/>
          <w:sz w:val="32"/>
        </w:rPr>
        <w:t>日在县十七届人民代表大会第</w:t>
      </w:r>
      <w:r>
        <w:rPr>
          <w:rFonts w:hint="eastAsia" w:ascii="楷体_GB2312" w:hAnsi="宋体" w:eastAsia="楷体_GB2312"/>
          <w:sz w:val="32"/>
          <w:lang w:val="en-US" w:eastAsia="zh-CN"/>
        </w:rPr>
        <w:t>三</w:t>
      </w:r>
      <w:r>
        <w:rPr>
          <w:rFonts w:hint="eastAsia" w:ascii="楷体_GB2312" w:hAnsi="宋体" w:eastAsia="楷体_GB2312"/>
          <w:sz w:val="32"/>
        </w:rPr>
        <w:t>次会议上</w:t>
      </w:r>
    </w:p>
    <w:p>
      <w:pPr>
        <w:snapToGrid w:val="0"/>
        <w:spacing w:line="560" w:lineRule="exact"/>
        <w:jc w:val="center"/>
        <w:outlineLvl w:val="0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涞源县财政局局长   李继军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baseline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受县政府委托，现将涞源县202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年预算执行情况和202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年预算草案提请县十七届人大</w:t>
      </w:r>
      <w:r>
        <w:rPr>
          <w:rFonts w:hint="eastAsia" w:ascii="仿宋_GB2312" w:hAnsi="仿宋_GB2312" w:eastAsia="仿宋_GB2312"/>
          <w:sz w:val="32"/>
          <w:lang w:val="en-US" w:eastAsia="zh-CN"/>
        </w:rPr>
        <w:t>三</w:t>
      </w:r>
      <w:r>
        <w:rPr>
          <w:rFonts w:hint="eastAsia" w:ascii="仿宋_GB2312" w:hAnsi="仿宋_GB2312" w:eastAsia="仿宋_GB2312"/>
          <w:sz w:val="32"/>
        </w:rPr>
        <w:t>次会议审议，并请</w:t>
      </w:r>
      <w:r>
        <w:rPr>
          <w:rFonts w:hint="eastAsia" w:ascii="仿宋_GB2312" w:hAnsi="仿宋_GB2312" w:eastAsia="仿宋_GB2312"/>
          <w:sz w:val="32"/>
          <w:lang w:eastAsia="zh-CN"/>
        </w:rPr>
        <w:t>各位</w:t>
      </w:r>
      <w:r>
        <w:rPr>
          <w:rFonts w:hint="eastAsia" w:ascii="仿宋_GB2312" w:hAnsi="仿宋_GB2312" w:eastAsia="仿宋_GB2312"/>
          <w:sz w:val="32"/>
        </w:rPr>
        <w:t>政协委员和列席</w:t>
      </w:r>
      <w:r>
        <w:rPr>
          <w:rFonts w:hint="eastAsia" w:ascii="仿宋_GB2312" w:hAnsi="仿宋_GB2312" w:eastAsia="仿宋_GB2312"/>
          <w:sz w:val="32"/>
          <w:lang w:eastAsia="zh-CN"/>
        </w:rPr>
        <w:t>会议的同志</w:t>
      </w:r>
      <w:r>
        <w:rPr>
          <w:rFonts w:hint="eastAsia" w:ascii="仿宋_GB2312" w:hAnsi="仿宋_GB2312" w:eastAsia="仿宋_GB2312"/>
          <w:sz w:val="32"/>
        </w:rPr>
        <w:t>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一、202</w:t>
      </w:r>
      <w:r>
        <w:rPr>
          <w:rFonts w:hint="eastAsia" w:ascii="黑体" w:hAnsi="黑体" w:eastAsia="黑体"/>
          <w:b/>
          <w:sz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</w:rPr>
        <w:t xml:space="preserve">年预算执行情况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年，在县委的正确领导和县人大的监督指导下，</w:t>
      </w:r>
      <w:r>
        <w:rPr>
          <w:rFonts w:hint="eastAsia" w:ascii="仿宋_GB2312" w:hAnsi="仿宋" w:eastAsia="仿宋_GB2312"/>
          <w:sz w:val="32"/>
        </w:rPr>
        <w:t>财政工作始终</w:t>
      </w:r>
      <w:r>
        <w:rPr>
          <w:rFonts w:hint="eastAsia" w:ascii="仿宋_GB2312" w:hAnsi="仿宋_GB2312" w:eastAsia="仿宋_GB2312"/>
          <w:sz w:val="32"/>
        </w:rPr>
        <w:t>以习近平新时代中国特色社会主义思想为指导，</w:t>
      </w:r>
      <w:r>
        <w:rPr>
          <w:rFonts w:hint="eastAsia" w:ascii="仿宋_GB2312" w:hAnsi="仿宋" w:eastAsia="仿宋_GB2312"/>
          <w:sz w:val="32"/>
        </w:rPr>
        <w:t>按照省市决策部署，紧紧围绕县委工作大局，积极应对经济下行压力持续加大等复杂局面，</w:t>
      </w:r>
      <w:r>
        <w:rPr>
          <w:rFonts w:hint="eastAsia" w:ascii="仿宋_GB2312" w:hAnsi="仿宋" w:eastAsia="仿宋_GB2312"/>
          <w:sz w:val="32"/>
          <w:lang w:val="en-US" w:eastAsia="zh-CN"/>
        </w:rPr>
        <w:t>充分</w:t>
      </w:r>
      <w:r>
        <w:rPr>
          <w:rFonts w:hint="eastAsia" w:ascii="仿宋_GB2312" w:hAnsi="仿宋" w:eastAsia="仿宋_GB2312"/>
          <w:sz w:val="32"/>
        </w:rPr>
        <w:t>发挥财政职能，</w:t>
      </w:r>
      <w:r>
        <w:rPr>
          <w:rFonts w:hint="eastAsia" w:ascii="仿宋_GB2312" w:hAnsi="仿宋" w:eastAsia="仿宋_GB2312"/>
          <w:sz w:val="32"/>
          <w:lang w:val="en-US" w:eastAsia="zh-CN"/>
        </w:rPr>
        <w:t>迎难而上，砥砺前行，统筹疫情防控和经济社会发展大局，</w:t>
      </w:r>
      <w:r>
        <w:rPr>
          <w:rFonts w:hint="eastAsia" w:ascii="仿宋_GB2312" w:hAnsi="仿宋" w:eastAsia="仿宋_GB2312"/>
          <w:sz w:val="32"/>
        </w:rPr>
        <w:t>强化税费征管，优化支出结构，规范财政管理</w:t>
      </w:r>
      <w:r>
        <w:rPr>
          <w:rFonts w:hint="eastAsia" w:ascii="仿宋_GB2312" w:hAnsi="仿宋" w:eastAsia="仿宋_GB2312"/>
          <w:sz w:val="32"/>
          <w:lang w:eastAsia="zh-CN"/>
        </w:rPr>
        <w:t>，</w:t>
      </w:r>
      <w:r>
        <w:rPr>
          <w:rFonts w:hint="eastAsia" w:ascii="仿宋_GB2312" w:hAnsi="仿宋" w:eastAsia="仿宋_GB2312"/>
          <w:sz w:val="32"/>
        </w:rPr>
        <w:t>促进了全县经济社会各项事业的持续健康发展。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outlineLvl w:val="0"/>
        <w:rPr>
          <w:rFonts w:ascii="楷体" w:hAnsi="楷体" w:eastAsia="楷体"/>
          <w:b/>
          <w:kern w:val="1"/>
          <w:sz w:val="32"/>
        </w:rPr>
      </w:pPr>
      <w:r>
        <w:rPr>
          <w:rFonts w:hint="eastAsia" w:ascii="楷体" w:hAnsi="楷体" w:eastAsia="楷体"/>
          <w:b/>
          <w:kern w:val="1"/>
          <w:sz w:val="32"/>
        </w:rPr>
        <w:t>（一）一般公共预算收支情况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0"/>
          <w:sz w:val="32"/>
          <w:lang w:val="en-US" w:eastAsia="zh-CN" w:bidi="ar-SA"/>
        </w:rPr>
        <w:t>2022年全部财政收入完成162545万元，占调整预算（162006万元）的100.3%，同比增长39.7%。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分部门看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Times New Roman"/>
          <w:kern w:val="0"/>
          <w:sz w:val="32"/>
          <w:lang w:val="en-US" w:eastAsia="zh-CN" w:bidi="ar-SA"/>
        </w:rPr>
        <w:t>税务完成43634万元，占调整预算（43466万元）的100.4%，同比下降27.7%；非税完成118911万元，占调整预算（118540万元）的100.3%，同比增长112.4%。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其中：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 xml:space="preserve">一般公共预算收入完成141264万元，占调整预算（140862万元）的100.3%，完成市任务（104323万元）的135.4%，同比增长62.5%。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2022年，一般公共预算支出完成354108万元，占调整预算(416323万元)的85.1%，同比增长15%。其中：一般公共服务支出25105万元，占调整预算的99.8%，同比增长13.4%；公共安全支出13937万元, 占调整预算的86.7%，同比增长24.7%;教育支出62489万元, 占调整预算的89.7%，同比增长32.4%；科学技术支出5636万元, 占调整预算的98.3%,同比增长6%;文化旅游体育与传媒支出6586万元,占调整预算的69.2%，同比增长45.6%;社会保障和就业支出61415万元, 占调整预算的99.1%，同比增长39.9%;卫生健康支出23719万元,占调整预算的83.2%，同比增长9%;节能环保支出21232万元,占调整预算的68.5%，同比增长32.9%;城乡社区事务支出17121万元,占调整预算的96.3%，同比下降27.5%;农林水事务支出74847万元，占调整预算的77.4%，同比下降17.7%；交通运输支出16730万元,占调整预算的75.8%,同比增长127.6%;资源勘探电力信息等事务支出1727万元,占调整预算的99.7%，同比增长25.9%；商业服务业等事务支出613万元, 占调整预算的99.4%,同比增长86.9%;灾害防治及应急管理支出4626万元，占调整预算的82.2%，同比增长27%；自然资源海洋气象等事务支出4366万元, 占调整预算的48.7%,同比增长0.2%;住房保障支出7299万元，占调整预算的95.6%，同比下降23.8%；粮油物质储备事务支出1166万元,占调整预算的85.4%,同比增长124.7%；国债还本付息支出5538万元,占调整预算的100%,同比增长24%；其他支出-44万元 (主要是收回以前年度支出按会计制度冲减了当年支出)。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平衡情况：我县一般公共预算收入累计完成141264万元，加税收返还补助2837万元，加一般性转移支付补助178858万元（含一般转移支付专项化部分92439万元），加专项补助25186万元，加债务（转贷）收入26100万元，加上年结余30734万元，加调入资金18591万元，动用预算稳定调节基金10215万元，收入合计433785万元，减当年一般公共预算支出354108万元，减上解支出3827万元，减债务还本支出3100万元，调出资金4535万元，援助其他地区支出6000万元，结转下年支出62215万元，当年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（二）政府性基金收支</w:t>
      </w:r>
      <w:r>
        <w:rPr>
          <w:rFonts w:hint="eastAsia" w:ascii="楷体" w:hAnsi="楷体" w:eastAsia="楷体"/>
          <w:b/>
          <w:kern w:val="1"/>
          <w:sz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2022年纳入预算管理的政府性基金收入完成30439万元，占调整预算（138334万元）的22%，同比下降55.4%。其中：土地出让价款收入24909万元、其他土地出让收入（耕地占补平衡转让收入）2869万元、国有土地收益基金收入1574万元、农业土地开发资金收入164万元、城市基础设施配套费539万元、彩票公益金收入280万元、污水处理费收入104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政府性基金支出127054万元，占调整预算的60.4%，同比增长42.1%。其中：文化体育与传媒支出3万元，城乡社区事务支出23816万元，彩票公益金支出8927万元，专项债务收入安排支出89329万元，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债务付息及服务费支出4979万元。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平衡情况：我县政府性基金收入累计完成30439万元，加上级专项补助7964万元，加上年结余44375万元，加调入资金4535万元，加债务（转贷）收入145200万元，收入合计232513万元，减当年政府性基金支出127054万元，减调出资金18591万元，减债务还本支出3600万元，结转下年支出83268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（三）社会保险基金收支</w:t>
      </w:r>
      <w:r>
        <w:rPr>
          <w:rFonts w:hint="eastAsia" w:ascii="楷体" w:hAnsi="楷体" w:eastAsia="楷体"/>
          <w:b/>
          <w:kern w:val="1"/>
          <w:sz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jc w:val="both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城乡居民基本养老保险基金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8990</w:t>
      </w:r>
      <w:r>
        <w:rPr>
          <w:rFonts w:hint="eastAsia" w:ascii="仿宋_GB2312" w:hAnsi="仿宋" w:eastAsia="仿宋_GB2312" w:cs="仿宋"/>
          <w:sz w:val="32"/>
          <w:szCs w:val="32"/>
        </w:rPr>
        <w:t>万元，上年结余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22197</w:t>
      </w:r>
      <w:r>
        <w:rPr>
          <w:rFonts w:hint="eastAsia" w:ascii="仿宋_GB2312" w:hAnsi="仿宋" w:eastAsia="仿宋_GB2312" w:cs="仿宋"/>
          <w:sz w:val="32"/>
          <w:szCs w:val="32"/>
        </w:rPr>
        <w:t>万元，全年支出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7718</w:t>
      </w:r>
      <w:r>
        <w:rPr>
          <w:rFonts w:hint="eastAsia" w:ascii="仿宋_GB2312" w:hAnsi="仿宋" w:eastAsia="仿宋_GB2312" w:cs="仿宋"/>
          <w:sz w:val="32"/>
          <w:szCs w:val="32"/>
        </w:rPr>
        <w:t>万元，年末结余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23469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  <w:r>
        <w:rPr>
          <w:rFonts w:hint="eastAsia" w:ascii="仿宋_GB2312" w:hAnsi="仿宋_GB2312" w:eastAsia="仿宋_GB2312"/>
          <w:b/>
          <w:sz w:val="32"/>
        </w:rPr>
        <w:t>机关事业单位基本养老保险基金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24728</w:t>
      </w:r>
      <w:r>
        <w:rPr>
          <w:rFonts w:hint="eastAsia" w:ascii="仿宋_GB2312" w:hAnsi="仿宋" w:eastAsia="仿宋_GB2312" w:cs="仿宋"/>
          <w:sz w:val="32"/>
          <w:szCs w:val="32"/>
        </w:rPr>
        <w:t>万元，上年结余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-6672</w:t>
      </w:r>
      <w:r>
        <w:rPr>
          <w:rFonts w:hint="eastAsia" w:ascii="仿宋_GB2312" w:hAnsi="仿宋" w:eastAsia="仿宋_GB2312" w:cs="仿宋"/>
          <w:sz w:val="32"/>
          <w:szCs w:val="32"/>
        </w:rPr>
        <w:t>万元，全年支出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24928</w:t>
      </w:r>
      <w:r>
        <w:rPr>
          <w:rFonts w:hint="eastAsia" w:ascii="仿宋_GB2312" w:hAnsi="仿宋" w:eastAsia="仿宋_GB2312" w:cs="仿宋"/>
          <w:sz w:val="32"/>
          <w:szCs w:val="32"/>
        </w:rPr>
        <w:t>万元，年末结余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-6872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202</w:t>
      </w:r>
      <w:r>
        <w:rPr>
          <w:rFonts w:hint="eastAsia" w:ascii="黑体" w:hAnsi="黑体" w:eastAsia="黑体"/>
          <w:b/>
          <w:sz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</w:rPr>
        <w:t>年财政主要工作：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坚持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两手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抓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两手硬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在抓好疫情防控的同时，强化征收管理。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</w:rPr>
        <w:t>强化调度，严明责任。县领导亲自调度，深入调研找问题，集思广益想办法，形成合力，共克时艰。明确税务及各征收部门的工作目标，科学分解收入任务，确保层层有目标、人人有担子。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强化纳税服务，优化税收营商环境，全面落实减税降费等政策，全年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新增</w:t>
      </w:r>
      <w:r>
        <w:rPr>
          <w:rFonts w:hint="eastAsia" w:ascii="仿宋_GB2312" w:hAnsi="仿宋" w:eastAsia="仿宋_GB2312" w:cs="仿宋"/>
          <w:sz w:val="32"/>
          <w:szCs w:val="32"/>
        </w:rPr>
        <w:t>减税降费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4947</w:t>
      </w:r>
      <w:r>
        <w:rPr>
          <w:rFonts w:hint="eastAsia" w:ascii="仿宋_GB2312" w:hAnsi="仿宋" w:eastAsia="仿宋_GB2312" w:cs="仿宋"/>
          <w:sz w:val="32"/>
          <w:szCs w:val="32"/>
        </w:rPr>
        <w:t>万元，留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</w:t>
      </w:r>
      <w:r>
        <w:rPr>
          <w:rFonts w:hint="eastAsia" w:ascii="仿宋_GB2312" w:hAnsi="仿宋" w:eastAsia="仿宋_GB2312" w:cs="仿宋"/>
          <w:sz w:val="32"/>
          <w:szCs w:val="32"/>
        </w:rPr>
        <w:t>退税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22558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大力提升市场活力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仿宋"/>
          <w:sz w:val="32"/>
          <w:szCs w:val="32"/>
        </w:rPr>
        <w:t>强化税收征管，堵塞收入漏洞。充分发挥综合治税平台作用，加强部门间协调联动，做到依法征收、应收尽收。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四是</w:t>
      </w:r>
      <w:r>
        <w:rPr>
          <w:rFonts w:hint="eastAsia" w:ascii="仿宋_GB2312" w:hAnsi="仿宋" w:eastAsia="仿宋_GB2312" w:cs="仿宋"/>
          <w:sz w:val="32"/>
          <w:szCs w:val="32"/>
        </w:rPr>
        <w:t>加大耕地占补平衡指标转让力度。面对耕地占补平衡指标交易困难，主动联系自规部门，加快土地治理项目验收，共同跑动，多方联系受让方，想方设法增加财政收入。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坚持硬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预算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保重点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牢固树立过紧日子的思想，按照“保工资、保运转、保基本民生”的原则，严控“三公经费”支出，优化支出结构，合理安排资金，保证了教育、医疗、就业等民生及疫情防控、乡村振兴、大气污染防治、防范重大风险等重点工作支出。全年一般公共服务支出25105万元，占调整预算的99.8%，同比增长13.4%；社会保障和就业支出61415万元，占调整预算的99.1%，同比增长39.9%；教育支出62489万元, 占调整预算的89.7%，同比增长32.4%；卫生健康支出23719万元,占调整预算的83.2%，同比增长9%。拨付防疫资金6111万元。节能环保支出21232万元,占调整预算68.5%;加强资金统筹，全力支持乡村振兴，巩固脱贫攻坚成果。共投入衔接资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43708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  万元，其中县本级预算安排资金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6200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万元，比2021年增加了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万元。加大涉农资金整合力度，2022年共统筹整合财政涉农资金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44537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万元，在全县形成了“多个渠道引水、一个龙头放水”的投入格局。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_GB2312"/>
          <w:b/>
          <w:bCs/>
          <w:sz w:val="32"/>
          <w:szCs w:val="32"/>
          <w:lang w:val="en-US" w:eastAsia="zh-CN"/>
        </w:rPr>
        <w:t>坚持强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改革</w:t>
      </w:r>
      <w:r>
        <w:rPr>
          <w:rFonts w:hint="eastAsia" w:ascii="楷体" w:hAnsi="楷体" w:eastAsia="楷体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提</w:t>
      </w:r>
      <w:r>
        <w:rPr>
          <w:rFonts w:hint="eastAsia" w:ascii="楷体" w:hAnsi="楷体" w:eastAsia="楷体" w:cs="楷体_GB2312"/>
          <w:b/>
          <w:bCs/>
          <w:sz w:val="32"/>
          <w:szCs w:val="32"/>
          <w:lang w:val="en-US" w:eastAsia="zh-CN"/>
        </w:rPr>
        <w:t>效能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扎实推进预算绩效管理工作改革，进一步提高预算编制的完整性、科学性，完善预决算公开机制，广泛接受社会监督，不断提高了预算管理水平。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积极防范政府债务风险。按照上级和县委、县政府工作安排，加强地方政府债务管理，严格落实债务限额管理，积极落实债务化解任务，建立科学完善的风险控制体系，切实防范财政风险。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继续加大对工程项目审核及招标采购的推进力度，坚持“应评尽评”“应采尽采”，最大限度地提高资金的使用效益。共审核项目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278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个，报送价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162571.29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万元，评定价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142417.23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万元，核减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  20154.06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万元。政府采购预算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50585.40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万元，成交金额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49790.52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万元，节约资金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794.88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四是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做好财政直达资金支出工作，基本民生得到保障。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五是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进一步健全财务管理制度，强化财政资金的管理和监督，厉行节约，坚决制止铺张浪费。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六是</w:t>
      </w:r>
      <w:r>
        <w:rPr>
          <w:rFonts w:hint="eastAsia" w:ascii="仿宋_GB2312" w:hAnsi="仿宋" w:eastAsia="仿宋_GB2312" w:cs="仿宋"/>
          <w:sz w:val="32"/>
          <w:szCs w:val="32"/>
        </w:rPr>
        <w:t>进一步加强行政事业单位资产管理，推进各项财政基础管理工作规范化、科学化。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各位代表：通过努力，202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年预算执行情况较好，实现了收支平衡，有力保障了县委、县政府重大决策的执行，促进了全县经济和社会发展。但也存在诸多困难及不利因素，主要表现在：</w:t>
      </w:r>
      <w:r>
        <w:rPr>
          <w:rStyle w:val="9"/>
          <w:rFonts w:hint="eastAsia" w:ascii="仿宋_GB2312" w:hAnsi="Arial" w:eastAsia="仿宋_GB2312"/>
          <w:sz w:val="32"/>
        </w:rPr>
        <w:t>税源结构单一，非税收入在财政收入中占比较高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</w:rPr>
        <w:t>；财政收支矛盾突出，刚性支出逐年增长；过紧日子的思想还不牢固，财务管理还需进一步加强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。我们将高度重视</w:t>
      </w:r>
      <w:r>
        <w:rPr>
          <w:rFonts w:hint="eastAsia" w:ascii="仿宋_GB2312" w:hAnsi="仿宋_GB2312" w:eastAsia="仿宋_GB2312"/>
          <w:sz w:val="32"/>
        </w:rPr>
        <w:t>这些问题，继续采取有效措施，努力加以解决。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二、202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年预算草案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Style w:val="9"/>
          <w:rFonts w:hint="eastAsia" w:ascii="黑体" w:hAnsi="黑体" w:eastAsia="黑体" w:cs="Times New Roman"/>
          <w:b/>
          <w:spacing w:val="-8"/>
          <w:kern w:val="2"/>
          <w:sz w:val="32"/>
          <w:lang w:val="en-US" w:eastAsia="zh-CN" w:bidi="ar-SA"/>
        </w:rPr>
      </w:pPr>
      <w:r>
        <w:rPr>
          <w:rFonts w:hint="eastAsia" w:ascii="黑体" w:hAnsi="黑体" w:eastAsia="黑体"/>
          <w:b/>
          <w:sz w:val="32"/>
        </w:rPr>
        <w:t>202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年全县财政工作的指导思想是：</w:t>
      </w:r>
      <w:r>
        <w:rPr>
          <w:rStyle w:val="9"/>
          <w:rFonts w:hint="eastAsia" w:ascii="黑体" w:hAnsi="黑体" w:eastAsia="黑体" w:cs="Times New Roman"/>
          <w:b/>
          <w:spacing w:val="-8"/>
          <w:kern w:val="2"/>
          <w:sz w:val="32"/>
          <w:lang w:val="en-US" w:eastAsia="zh-CN" w:bidi="ar-SA"/>
        </w:rPr>
        <w:t>坚持以习近平新时代中国特色社会主义思想为指导，全面贯彻落实党的二十大精神，认真落实中央、省、市重大决策部署，坚持稳中求进工作总基调，完整、准确、全面贯彻新发展理念，统筹疫情防控和经济社会发展，以政领财、以财辅政，进一步深化预算管理制度改革，坚决落实过“紧日子”要求，优化支出结构、创新资源配置、防范财政风险，推动财政高质量发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b/>
          <w:sz w:val="32"/>
        </w:rPr>
        <w:t>202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年预算安排坚持的原则：</w:t>
      </w:r>
      <w:r>
        <w:rPr>
          <w:rFonts w:hint="eastAsia" w:ascii="楷体" w:hAnsi="楷体" w:eastAsia="楷体"/>
          <w:sz w:val="32"/>
        </w:rPr>
        <w:t>一是保重点。</w:t>
      </w:r>
      <w:r>
        <w:rPr>
          <w:rFonts w:hint="eastAsia" w:ascii="仿宋_GB2312" w:hAnsi="仿宋_GB2312" w:eastAsia="仿宋_GB2312" w:cs="Times New Roman"/>
          <w:kern w:val="2"/>
          <w:sz w:val="32"/>
          <w:lang w:val="en-US" w:eastAsia="zh-CN" w:bidi="ar-SA"/>
        </w:rPr>
        <w:t>优先保工资、保运转、保基本民生，保障重点需求。</w:t>
      </w:r>
      <w:r>
        <w:rPr>
          <w:rFonts w:hint="eastAsia" w:ascii="楷体" w:hAnsi="楷体" w:eastAsia="楷体"/>
          <w:sz w:val="32"/>
        </w:rPr>
        <w:t>二是重绩效。</w:t>
      </w:r>
      <w:r>
        <w:rPr>
          <w:rFonts w:hint="eastAsia" w:ascii="仿宋_GB2312" w:eastAsia="仿宋_GB2312"/>
          <w:sz w:val="32"/>
        </w:rPr>
        <w:t>全面实行预算绩效，改进预算审核方式，完善绩效预算目标体系，提高资金使用效益。</w:t>
      </w:r>
      <w:r>
        <w:rPr>
          <w:rFonts w:hint="eastAsia" w:ascii="楷体" w:hAnsi="楷体" w:eastAsia="楷体"/>
          <w:sz w:val="32"/>
        </w:rPr>
        <w:t>三是倡节约。</w:t>
      </w:r>
      <w:r>
        <w:rPr>
          <w:rFonts w:hint="eastAsia" w:ascii="仿宋_GB2312" w:hAnsi="仿宋" w:eastAsia="仿宋_GB2312"/>
          <w:sz w:val="32"/>
        </w:rPr>
        <w:t>坚持勤俭办事，</w:t>
      </w:r>
      <w:r>
        <w:rPr>
          <w:rFonts w:hint="eastAsia" w:ascii="仿宋_GB2312" w:hAnsi="仿宋" w:eastAsia="仿宋_GB2312"/>
          <w:sz w:val="32"/>
          <w:lang w:val="en-US" w:eastAsia="zh-CN"/>
        </w:rPr>
        <w:t>树立长期过紧日子思想，</w:t>
      </w:r>
      <w:r>
        <w:rPr>
          <w:rFonts w:hint="eastAsia" w:ascii="仿宋_GB2312" w:hAnsi="仿宋" w:eastAsia="仿宋_GB2312"/>
          <w:sz w:val="32"/>
        </w:rPr>
        <w:t>从严控制“三公”经费、会议费、培训费等一般性支出，确保实现全年收支平衡。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kern w:val="0"/>
          <w:sz w:val="32"/>
        </w:rPr>
        <w:t>（一）一般公共预算安排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根据上述指导思想和原则，2023年全部财政收入安排134595万元,可比增长7.5%，其中：税务部门安排69138万元；财政分管收入安排65457万元（其中：占补平衡指标收益19898万元，“7.21”资产处置收入35000万元、砂</w:t>
      </w:r>
      <w:r>
        <w:rPr>
          <w:rFonts w:hint="eastAsia" w:ascii="仿宋" w:hAnsi="仿宋" w:eastAsia="仿宋" w:cs="仿宋"/>
          <w:kern w:val="0"/>
          <w:sz w:val="32"/>
          <w:lang w:val="en-US" w:eastAsia="zh-CN" w:bidi="ar-SA"/>
        </w:rPr>
        <w:t>石拍卖收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入1000万元、收费罚没收入9559万元）。一般公共预算收入安排100000万元（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lang w:val="en-US" w:eastAsia="zh-CN" w:bidi="ar-SA"/>
        </w:rPr>
        <w:t>其中：税收34543万元，非税65457万元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），可比增长7.5%。2023年当年可用财力522323万元（其中本级可用财力386668万元），其中：一般公共预算收入100000万元，上级财力性转移支付补助61701万元，调入资金225527万元，一般性转移支付（专项化）收入72310万元，上级专项转移支付收入1130万元，上年结转收入62215万元，再融资一般债券收入6700万元，上解支出7260万元。按照收支平衡的原则，一般公共预算支出安排522323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楷体_GB2312" w:eastAsia="仿宋_GB2312"/>
          <w:b/>
          <w:color w:val="auto"/>
          <w:sz w:val="32"/>
        </w:rPr>
        <w:t>1、预算支出按功能分类划分：</w:t>
      </w:r>
      <w:r>
        <w:rPr>
          <w:rFonts w:hint="eastAsia" w:ascii="仿宋_GB2312" w:hAnsi="仿宋_GB2312" w:eastAsia="仿宋_GB2312"/>
          <w:b/>
          <w:color w:val="auto"/>
          <w:sz w:val="32"/>
        </w:rPr>
        <w:t>一般公共服务28149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万元，增长12.1%；</w:t>
      </w:r>
      <w:r>
        <w:rPr>
          <w:rFonts w:hint="eastAsia" w:ascii="仿宋_GB2312" w:hAnsi="仿宋_GB2312" w:eastAsia="仿宋_GB2312"/>
          <w:b/>
          <w:color w:val="auto"/>
          <w:sz w:val="32"/>
        </w:rPr>
        <w:t>公共安全13193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万元，下降5.3%；</w:t>
      </w:r>
      <w:r>
        <w:rPr>
          <w:rFonts w:hint="eastAsia" w:ascii="仿宋_GB2312" w:hAnsi="仿宋_GB2312" w:eastAsia="仿宋_GB2312"/>
          <w:b/>
          <w:color w:val="auto"/>
          <w:sz w:val="32"/>
        </w:rPr>
        <w:t>教育69668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万元，增长11.5%；</w:t>
      </w:r>
      <w:r>
        <w:rPr>
          <w:rFonts w:hint="eastAsia" w:ascii="仿宋_GB2312" w:hAnsi="仿宋_GB2312" w:eastAsia="仿宋_GB2312"/>
          <w:b/>
          <w:color w:val="auto"/>
          <w:sz w:val="32"/>
        </w:rPr>
        <w:t>科学技术6292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万元，增长11.6%；</w:t>
      </w:r>
      <w:r>
        <w:rPr>
          <w:rFonts w:hint="eastAsia" w:ascii="仿宋_GB2312" w:hAnsi="仿宋_GB2312" w:eastAsia="仿宋_GB2312"/>
          <w:b/>
          <w:color w:val="auto"/>
          <w:sz w:val="32"/>
        </w:rPr>
        <w:t>文化旅游体育与传媒7176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万元，增长9%；</w:t>
      </w:r>
      <w:r>
        <w:rPr>
          <w:rFonts w:hint="eastAsia" w:ascii="仿宋_GB2312" w:hAnsi="仿宋_GB2312" w:eastAsia="仿宋_GB2312"/>
          <w:b/>
          <w:color w:val="auto"/>
          <w:sz w:val="32"/>
        </w:rPr>
        <w:t>社会保障和就业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65842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万元，增长7.2%；</w:t>
      </w:r>
      <w:r>
        <w:rPr>
          <w:rFonts w:hint="eastAsia" w:ascii="仿宋_GB2312" w:hAnsi="仿宋_GB2312" w:eastAsia="仿宋_GB2312"/>
          <w:b/>
          <w:color w:val="auto"/>
          <w:sz w:val="32"/>
        </w:rPr>
        <w:t>卫生健康22831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万元，下降3.7%；</w:t>
      </w:r>
      <w:r>
        <w:rPr>
          <w:rFonts w:hint="eastAsia" w:ascii="仿宋_GB2312" w:hAnsi="仿宋_GB2312" w:eastAsia="仿宋_GB2312"/>
          <w:b/>
          <w:color w:val="auto"/>
          <w:sz w:val="32"/>
        </w:rPr>
        <w:t>节能环保32159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万元，增长51.5%；</w:t>
      </w:r>
      <w:r>
        <w:rPr>
          <w:rFonts w:hint="eastAsia" w:ascii="仿宋_GB2312" w:hAnsi="仿宋_GB2312" w:eastAsia="仿宋_GB2312"/>
          <w:b/>
          <w:color w:val="auto"/>
          <w:sz w:val="32"/>
        </w:rPr>
        <w:t>城乡社区事务13804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万元，下降19.4%；</w:t>
      </w:r>
      <w:r>
        <w:rPr>
          <w:rFonts w:hint="eastAsia" w:ascii="仿宋_GB2312" w:hAnsi="仿宋_GB2312" w:eastAsia="仿宋_GB2312"/>
          <w:b/>
          <w:color w:val="auto"/>
          <w:sz w:val="32"/>
        </w:rPr>
        <w:t>农林水事务80851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万元，增长8%；</w:t>
      </w:r>
      <w:r>
        <w:rPr>
          <w:rFonts w:hint="eastAsia" w:ascii="仿宋_GB2312" w:hAnsi="仿宋_GB2312" w:eastAsia="仿宋_GB2312"/>
          <w:b/>
          <w:color w:val="auto"/>
          <w:sz w:val="32"/>
        </w:rPr>
        <w:t>交通运输8082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万元，下降51.7%；</w:t>
      </w:r>
      <w:r>
        <w:rPr>
          <w:rFonts w:hint="eastAsia" w:ascii="仿宋_GB2312" w:hAnsi="仿宋_GB2312" w:eastAsia="仿宋_GB2312"/>
          <w:b/>
          <w:color w:val="auto"/>
          <w:sz w:val="32"/>
        </w:rPr>
        <w:t>资源勘探电力信息等事务536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万元, 下降69%；</w:t>
      </w:r>
      <w:r>
        <w:rPr>
          <w:rFonts w:hint="eastAsia" w:ascii="仿宋_GB2312" w:hAnsi="仿宋_GB2312" w:eastAsia="仿宋_GB2312"/>
          <w:b/>
          <w:color w:val="auto"/>
          <w:sz w:val="32"/>
        </w:rPr>
        <w:t>商业服务业等事务347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万元,下降43.4%；</w:t>
      </w:r>
      <w:r>
        <w:rPr>
          <w:rFonts w:hint="eastAsia" w:ascii="仿宋_GB2312" w:hAnsi="仿宋_GB2312" w:eastAsia="仿宋_GB2312"/>
          <w:b/>
          <w:color w:val="auto"/>
          <w:sz w:val="32"/>
        </w:rPr>
        <w:t>自然资源海洋气象等事务9310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万元,增长113.2%；</w:t>
      </w:r>
      <w:r>
        <w:rPr>
          <w:rFonts w:hint="eastAsia" w:ascii="仿宋_GB2312" w:hAnsi="仿宋_GB2312" w:eastAsia="仿宋_GB2312"/>
          <w:b/>
          <w:color w:val="auto"/>
          <w:sz w:val="32"/>
        </w:rPr>
        <w:t>住房保障9965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万元，增长36.5%；</w:t>
      </w:r>
      <w:r>
        <w:rPr>
          <w:rFonts w:hint="eastAsia" w:ascii="仿宋_GB2312" w:hAnsi="仿宋_GB2312" w:eastAsia="仿宋_GB2312"/>
          <w:b/>
          <w:color w:val="auto"/>
          <w:sz w:val="32"/>
        </w:rPr>
        <w:t>粮油物资储备1176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万元，增长0.9%；</w:t>
      </w:r>
      <w:r>
        <w:rPr>
          <w:rFonts w:hint="eastAsia" w:ascii="仿宋_GB2312" w:hAnsi="仿宋_GB2312" w:eastAsia="仿宋_GB2312"/>
          <w:b/>
          <w:color w:val="auto"/>
          <w:sz w:val="32"/>
        </w:rPr>
        <w:t>灾害防治及应急管理6298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万元,增长36.1%；</w:t>
      </w:r>
      <w:r>
        <w:rPr>
          <w:rFonts w:hint="eastAsia" w:ascii="仿宋_GB2312" w:hAnsi="仿宋_GB2312" w:eastAsia="仿宋_GB2312"/>
          <w:b/>
          <w:color w:val="auto"/>
          <w:sz w:val="32"/>
        </w:rPr>
        <w:t>预备费2000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万元；</w:t>
      </w:r>
      <w:r>
        <w:rPr>
          <w:rFonts w:hint="eastAsia" w:ascii="仿宋_GB2312" w:hAnsi="仿宋_GB2312" w:eastAsia="仿宋_GB2312"/>
          <w:b/>
          <w:color w:val="auto"/>
          <w:sz w:val="32"/>
        </w:rPr>
        <w:t>债务还本付息及付息服务费40974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万元；</w:t>
      </w:r>
      <w:r>
        <w:rPr>
          <w:rFonts w:hint="eastAsia" w:ascii="仿宋_GB2312" w:hAnsi="仿宋_GB2312" w:eastAsia="仿宋_GB2312"/>
          <w:b/>
          <w:color w:val="auto"/>
          <w:sz w:val="32"/>
        </w:rPr>
        <w:t>其他支出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103670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万元</w:t>
      </w:r>
      <w:r>
        <w:rPr>
          <w:rFonts w:hint="eastAsia" w:ascii="仿宋_GB2312" w:hAnsi="仿宋_GB2312" w:eastAsia="仿宋_GB2312"/>
          <w:color w:val="auto"/>
          <w:sz w:val="28"/>
        </w:rPr>
        <w:t>(主要包括预留调资12634万元，收回额度继续使用</w:t>
      </w:r>
      <w:r>
        <w:rPr>
          <w:rFonts w:hint="eastAsia" w:ascii="仿宋_GB2312" w:hAnsi="仿宋_GB2312" w:eastAsia="仿宋_GB2312"/>
          <w:color w:val="auto"/>
          <w:sz w:val="28"/>
          <w:lang w:val="en-US" w:eastAsia="zh-CN"/>
        </w:rPr>
        <w:t>20270</w:t>
      </w:r>
      <w:r>
        <w:rPr>
          <w:rFonts w:hint="eastAsia" w:ascii="仿宋_GB2312" w:hAnsi="仿宋_GB2312" w:eastAsia="仿宋_GB2312"/>
          <w:color w:val="auto"/>
          <w:sz w:val="28"/>
        </w:rPr>
        <w:t>万元，消化上年度收支缺口挂账66709万元，注入国有企业资本</w:t>
      </w:r>
      <w:r>
        <w:rPr>
          <w:rFonts w:hint="eastAsia" w:ascii="仿宋_GB2312" w:hAnsi="仿宋_GB2312" w:eastAsia="仿宋_GB2312"/>
          <w:color w:val="auto"/>
          <w:sz w:val="28"/>
          <w:lang w:eastAsia="zh-CN"/>
        </w:rPr>
        <w:t>金</w:t>
      </w:r>
      <w:r>
        <w:rPr>
          <w:rFonts w:hint="eastAsia" w:ascii="仿宋_GB2312" w:hAnsi="仿宋_GB2312" w:eastAsia="仿宋_GB2312"/>
          <w:color w:val="auto"/>
          <w:sz w:val="28"/>
        </w:rPr>
        <w:t>20000万元；计划年底盘活存量资金冲减当年支出16935万元）。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楷体_GB2312" w:eastAsia="仿宋_GB2312"/>
          <w:b/>
          <w:color w:val="auto"/>
          <w:sz w:val="32"/>
        </w:rPr>
      </w:pPr>
      <w:r>
        <w:rPr>
          <w:rFonts w:hint="eastAsia" w:ascii="仿宋_GB2312" w:hAnsi="楷体_GB2312" w:eastAsia="仿宋_GB2312"/>
          <w:b/>
          <w:color w:val="auto"/>
          <w:sz w:val="32"/>
        </w:rPr>
        <w:t>2、预算支出分级次划分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黑体" w:hAnsi="黑体" w:eastAsia="黑体"/>
          <w:color w:val="auto"/>
          <w:sz w:val="32"/>
        </w:rPr>
      </w:pPr>
      <w:r>
        <w:rPr>
          <w:rFonts w:hint="eastAsia" w:ascii="仿宋_GB2312" w:hAnsi="楷体_GB2312" w:eastAsia="仿宋_GB2312"/>
          <w:b/>
          <w:color w:val="auto"/>
          <w:sz w:val="32"/>
        </w:rPr>
        <w:t>（1）本级安排支出386668万元，其中：</w:t>
      </w:r>
      <w:r>
        <w:rPr>
          <w:rFonts w:hint="eastAsia" w:ascii="仿宋_GB2312" w:hAnsi="仿宋" w:eastAsia="仿宋_GB2312" w:cs="Times New Roman"/>
          <w:kern w:val="0"/>
          <w:sz w:val="32"/>
          <w:lang w:val="en-US" w:eastAsia="zh-CN" w:bidi="ar-SA"/>
        </w:rPr>
        <w:t>个人部分支出安排128714万元；公用经费安排4762万元；收费罚没补助及国有资源有偿使用收入安排支出6093万元；专项项目安排247099万元。</w:t>
      </w:r>
      <w:r>
        <w:rPr>
          <w:rFonts w:hint="eastAsia" w:ascii="黑体" w:hAnsi="黑体" w:eastAsia="黑体"/>
          <w:color w:val="auto"/>
          <w:sz w:val="32"/>
        </w:rPr>
        <w:t>专项经费安排的重点项目有: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</w:rPr>
        <w:t>　　</w:t>
      </w:r>
      <w:r>
        <w:rPr>
          <w:rFonts w:hint="eastAsia" w:ascii="仿宋_GB2312" w:hAnsi="仿宋_GB2312" w:eastAsia="仿宋_GB2312"/>
          <w:b/>
          <w:color w:val="auto"/>
          <w:sz w:val="32"/>
        </w:rPr>
        <w:t>公共安全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1933万元；</w:t>
      </w:r>
      <w:r>
        <w:rPr>
          <w:rFonts w:hint="eastAsia" w:ascii="仿宋_GB2312" w:hAnsi="仿宋_GB2312" w:eastAsia="仿宋_GB2312"/>
          <w:b/>
          <w:color w:val="auto"/>
          <w:sz w:val="32"/>
        </w:rPr>
        <w:t>教育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11416万元；</w:t>
      </w:r>
      <w:r>
        <w:rPr>
          <w:rFonts w:hint="eastAsia" w:ascii="仿宋_GB2312" w:hAnsi="仿宋_GB2312" w:eastAsia="仿宋_GB2312"/>
          <w:b/>
          <w:color w:val="auto"/>
          <w:sz w:val="32"/>
        </w:rPr>
        <w:t>科学技术5826万元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文化旅游体育与传媒605万元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社会保障和就业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14402</w:t>
      </w:r>
      <w:r>
        <w:rPr>
          <w:rFonts w:hint="eastAsia" w:ascii="仿宋_GB2312" w:hAnsi="仿宋_GB2312" w:eastAsia="仿宋_GB2312"/>
          <w:b/>
          <w:color w:val="auto"/>
          <w:sz w:val="32"/>
        </w:rPr>
        <w:t>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卫生健康9161万元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节能环保20975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万元；</w:t>
      </w:r>
      <w:r>
        <w:rPr>
          <w:rFonts w:hint="eastAsia" w:ascii="仿宋_GB2312" w:hAnsi="仿宋_GB2312" w:eastAsia="仿宋_GB2312"/>
          <w:b/>
          <w:color w:val="auto"/>
          <w:sz w:val="32"/>
        </w:rPr>
        <w:t>城乡社区事务8268万元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农林水事务13721万元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  <w:lang w:eastAsia="zh-CN"/>
        </w:rPr>
        <w:t>乡村振兴</w:t>
      </w:r>
      <w:r>
        <w:rPr>
          <w:rFonts w:hint="eastAsia" w:ascii="仿宋_GB2312" w:hAnsi="仿宋_GB2312" w:eastAsia="仿宋_GB2312"/>
          <w:b/>
          <w:color w:val="auto"/>
          <w:sz w:val="32"/>
        </w:rPr>
        <w:t>7735万元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交通运输2017万元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资源勘探信息408万元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商业服务业184万元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自然资源海洋气象2051万元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住房保障5269万元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粮油物资管理825万元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灾害防治及应急管理2966万元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债务还本付息和付息服务费40974万元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其他专项项目</w:t>
      </w:r>
      <w:r>
        <w:rPr>
          <w:rFonts w:hint="eastAsia" w:ascii="仿宋_GB2312" w:hAnsi="仿宋_GB2312" w:eastAsia="仿宋_GB2312"/>
          <w:b/>
          <w:color w:val="auto"/>
          <w:sz w:val="32"/>
          <w:lang w:val="en-US" w:eastAsia="zh-CN"/>
        </w:rPr>
        <w:t>96363</w:t>
      </w:r>
      <w:r>
        <w:rPr>
          <w:rFonts w:hint="eastAsia" w:ascii="仿宋_GB2312" w:hAnsi="仿宋_GB2312" w:eastAsia="仿宋_GB2312"/>
          <w:b/>
          <w:color w:val="auto"/>
          <w:sz w:val="32"/>
        </w:rPr>
        <w:t>万元</w:t>
      </w:r>
      <w:r>
        <w:rPr>
          <w:rFonts w:hint="eastAsia" w:ascii="仿宋_GB2312" w:hAnsi="仿宋_GB2312" w:eastAsia="仿宋_GB2312"/>
          <w:b/>
          <w:bCs w:val="0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b/>
          <w:color w:val="auto"/>
          <w:sz w:val="28"/>
          <w:szCs w:val="28"/>
        </w:rPr>
        <w:t>主要项目有</w:t>
      </w:r>
      <w:r>
        <w:rPr>
          <w:rFonts w:hint="eastAsia" w:ascii="仿宋_GB2312" w:hAnsi="仿宋_GB2312" w:eastAsia="仿宋_GB2312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消化上年收支缺口挂账66709万元，注入国有企业资本金20000万元，2022年底收回额度需再安排项目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20270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万元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计划年底盘活存量资金冲减当年支出16935万元</w:t>
      </w:r>
      <w:r>
        <w:rPr>
          <w:rFonts w:hint="eastAsia" w:ascii="仿宋_GB2312" w:hAnsi="仿宋_GB2312" w:eastAsia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/>
          <w:b/>
          <w:color w:val="auto"/>
          <w:sz w:val="32"/>
        </w:rPr>
        <w:t>预备费安排2000万元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主要用于预算执行中出台的政策性增支、自然灾害救助及其他不可预见的特殊开支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color w:val="auto"/>
          <w:sz w:val="32"/>
        </w:rPr>
        <w:t>（2）</w:t>
      </w:r>
      <w:r>
        <w:rPr>
          <w:rFonts w:hint="eastAsia" w:ascii="仿宋_GB2312" w:hAnsi="仿宋_GB2312" w:eastAsia="仿宋_GB2312" w:cs="Times New Roman"/>
          <w:b/>
          <w:color w:val="auto"/>
          <w:kern w:val="2"/>
          <w:sz w:val="32"/>
          <w:lang w:val="en-US" w:eastAsia="zh-CN" w:bidi="ar-SA"/>
        </w:rPr>
        <w:t>上级下达一般公共预算专款73440万元。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  <w:t>已下达的上级专款73440万元，按要求全部安排支出。其中：一般公共服务92万元，公共安全874万元，教育11287万元，科学技术277万元，文化旅游体育与传媒1206万元，社会保障和就业    20496万元，卫生健康2963万元，节能环保1359万元，农林水   33324万元，交通运输408万元，住房保障1075万元，灾害防治及应急管理72万元，其他支出7万元。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Times New Roman"/>
          <w:b/>
          <w:color w:val="auto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（3）</w:t>
      </w:r>
      <w:r>
        <w:rPr>
          <w:rFonts w:hint="eastAsia" w:ascii="仿宋_GB2312" w:hAnsi="仿宋_GB2312" w:eastAsia="仿宋_GB2312" w:cs="Times New Roman"/>
          <w:b/>
          <w:color w:val="auto"/>
          <w:kern w:val="2"/>
          <w:sz w:val="32"/>
          <w:lang w:val="en-US" w:eastAsia="zh-CN" w:bidi="ar-SA"/>
        </w:rPr>
        <w:t>上年结转62215万元，按用途全部安排支出。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color w:val="auto"/>
          <w:sz w:val="32"/>
        </w:rPr>
      </w:pPr>
      <w:r>
        <w:rPr>
          <w:rFonts w:hint="eastAsia" w:ascii="楷体" w:hAnsi="楷体" w:eastAsia="楷体"/>
          <w:b/>
          <w:color w:val="auto"/>
          <w:sz w:val="32"/>
        </w:rPr>
        <w:t>（二）政府性基金预算</w:t>
      </w:r>
      <w:r>
        <w:rPr>
          <w:rFonts w:hint="eastAsia" w:ascii="楷体" w:hAnsi="楷体" w:eastAsia="楷体"/>
          <w:b/>
          <w:color w:val="auto"/>
          <w:kern w:val="0"/>
          <w:sz w:val="32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b/>
          <w:bCs/>
          <w:color w:val="auto"/>
          <w:sz w:val="32"/>
        </w:rPr>
        <w:t>1、政府性基金收入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both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2023年政府性基金收入安排321110万元，收入项目主要有：城市基础设施配套费1000万元，福彩公益金200万元，体彩公益金96万元，污水处理费90万元，土地出让收入319724万元（其中：国有土地使用权出让收入37240万元，农业土地开发56万元，国有土地收益基金1500万元，其他土地出让收入280928万元）。上级下达政府性基金专款收入179万元。2022年结转至2023年政府性基金专款83268万元。政府性基金收入总计404557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2、政府性基金支出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  <w:t>2023年我县本级政府性基金支出安排95583万元，安排的主要项目有：城市基础设施配套费安排的用于市政工程款1000万元，福彩、体彩公益金安排的用于社会福利、体育事业、文化事业、扶贫济困等方面的支出296万元，污水处理费支出90万元，土地出让收入安排的支出94197万元。当年政府性基金结余225527万元，调出至一般公共预算收入。已下达的政府性基金专款按用途安排支出179万元</w:t>
      </w:r>
      <w:r>
        <w:rPr>
          <w:rFonts w:hint="eastAsia" w:ascii="仿宋" w:hAnsi="仿宋" w:cs="仿宋"/>
          <w:bCs/>
          <w:color w:val="auto"/>
          <w:sz w:val="32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</w:rPr>
        <w:t>具体项目是：国家电影事业发展专项3万元，省级专项福利彩票公益金54万元</w:t>
      </w:r>
      <w:r>
        <w:rPr>
          <w:rFonts w:hint="eastAsia" w:ascii="楷体" w:hAnsi="楷体" w:eastAsia="楷体" w:cs="楷体"/>
          <w:color w:val="auto"/>
          <w:sz w:val="32"/>
        </w:rPr>
        <w:t>，福彩用于养老服务体系建设68万元，用于社会福利事业的彩票公益金7万元，用于教育事业的彩票公益金24万元，用于残疾人事业的彩票公益金23万元</w:t>
      </w:r>
      <w:r>
        <w:rPr>
          <w:rFonts w:hint="eastAsia" w:ascii="仿宋" w:hAnsi="仿宋" w:cs="仿宋"/>
          <w:bCs/>
          <w:color w:val="auto"/>
          <w:sz w:val="32"/>
        </w:rPr>
        <w:t>）</w:t>
      </w:r>
      <w:r>
        <w:rPr>
          <w:rFonts w:hint="eastAsia" w:ascii="仿宋_GB2312" w:eastAsia="仿宋_GB2312"/>
          <w:color w:val="auto"/>
          <w:sz w:val="32"/>
        </w:rPr>
        <w:t>。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  <w:t>2022年结转至2023年基金专款83268万元，按相关用途全部安排支出，安排的项目主要是：专项债券项目75449万元，小型水库移民补助84万元，福利彩票公益金支持儿童等社会福利支出148万元，体彩公益金支持国家跳台滑雪训练基地7461万元，福彩公益金支持残疾人事业7万元，彩票公益金支持城乡医疗救助94万元，体彩公益金支持体育事业25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jc w:val="both"/>
        <w:textAlignment w:val="auto"/>
        <w:outlineLvl w:val="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（三）社会保险基金预算</w:t>
      </w:r>
      <w:r>
        <w:rPr>
          <w:rFonts w:hint="eastAsia" w:ascii="楷体" w:hAnsi="楷体" w:eastAsia="楷体"/>
          <w:b/>
          <w:kern w:val="0"/>
          <w:sz w:val="32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jc w:val="both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城乡居民基本养老保险基金</w:t>
      </w:r>
      <w:r>
        <w:rPr>
          <w:rFonts w:hint="eastAsia" w:ascii="仿宋_GB2312" w:hAnsi="仿宋_GB2312" w:eastAsia="仿宋_GB2312"/>
          <w:color w:val="auto"/>
          <w:sz w:val="32"/>
        </w:rPr>
        <w:t>收入预算安排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11247</w:t>
      </w:r>
      <w:r>
        <w:rPr>
          <w:rFonts w:hint="eastAsia" w:ascii="仿宋_GB2312" w:hAnsi="仿宋_GB2312" w:eastAsia="仿宋_GB2312"/>
          <w:color w:val="auto"/>
          <w:sz w:val="32"/>
        </w:rPr>
        <w:t>万元，上年结余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23469</w:t>
      </w:r>
      <w:r>
        <w:rPr>
          <w:rFonts w:hint="eastAsia" w:ascii="仿宋_GB2312" w:hAnsi="仿宋_GB2312" w:eastAsia="仿宋_GB2312"/>
          <w:color w:val="auto"/>
          <w:sz w:val="32"/>
        </w:rPr>
        <w:t>万元,支出预算安排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8828</w:t>
      </w:r>
      <w:r>
        <w:rPr>
          <w:rFonts w:hint="eastAsia" w:ascii="仿宋_GB2312" w:hAnsi="仿宋_GB2312" w:eastAsia="仿宋_GB2312"/>
          <w:color w:val="auto"/>
          <w:sz w:val="32"/>
        </w:rPr>
        <w:t>万元，年末结余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25888</w:t>
      </w:r>
      <w:r>
        <w:rPr>
          <w:rFonts w:hint="eastAsia" w:ascii="仿宋_GB2312" w:hAnsi="仿宋_GB2312" w:eastAsia="仿宋_GB2312"/>
          <w:color w:val="auto"/>
          <w:sz w:val="32"/>
        </w:rPr>
        <w:t>万元。</w:t>
      </w:r>
      <w:r>
        <w:rPr>
          <w:rFonts w:hint="eastAsia" w:ascii="仿宋_GB2312" w:hAnsi="仿宋_GB2312" w:eastAsia="仿宋_GB2312"/>
          <w:b/>
          <w:sz w:val="32"/>
        </w:rPr>
        <w:t>机关事业单位基本养老保险基金</w:t>
      </w:r>
      <w:r>
        <w:rPr>
          <w:rFonts w:hint="eastAsia" w:ascii="仿宋_GB2312" w:hAnsi="仿宋_GB2312" w:eastAsia="仿宋_GB2312"/>
          <w:color w:val="auto"/>
          <w:sz w:val="32"/>
        </w:rPr>
        <w:t>收入预算安排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27418</w:t>
      </w:r>
      <w:r>
        <w:rPr>
          <w:rFonts w:hint="eastAsia" w:ascii="仿宋_GB2312" w:hAnsi="仿宋_GB2312" w:eastAsia="仿宋_GB2312"/>
          <w:color w:val="auto"/>
          <w:sz w:val="32"/>
        </w:rPr>
        <w:t>万元，上年结余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-6872</w:t>
      </w:r>
      <w:r>
        <w:rPr>
          <w:rFonts w:hint="eastAsia" w:ascii="仿宋_GB2312" w:hAnsi="仿宋_GB2312" w:eastAsia="仿宋_GB2312"/>
          <w:color w:val="auto"/>
          <w:sz w:val="32"/>
        </w:rPr>
        <w:t>万元,支出预算安排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27178</w:t>
      </w:r>
      <w:r>
        <w:rPr>
          <w:rFonts w:hint="eastAsia" w:ascii="仿宋_GB2312" w:hAnsi="仿宋_GB2312" w:eastAsia="仿宋_GB2312"/>
          <w:color w:val="auto"/>
          <w:sz w:val="32"/>
        </w:rPr>
        <w:t>万元，年末结余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-6632</w:t>
      </w:r>
      <w:r>
        <w:rPr>
          <w:rFonts w:hint="eastAsia" w:ascii="仿宋_GB2312" w:hAnsi="仿宋_GB2312" w:eastAsia="仿宋_GB2312"/>
          <w:color w:val="auto"/>
          <w:sz w:val="32"/>
        </w:rPr>
        <w:t>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三、努力完成202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年预算任务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（一）着力加强财源建设，促进经济高质量发展。</w:t>
      </w:r>
      <w:r>
        <w:rPr>
          <w:rFonts w:hint="eastAsia" w:ascii="仿宋_GB2312" w:hAnsi="仿宋_GB2312" w:eastAsia="仿宋_GB2312"/>
          <w:color w:val="auto"/>
          <w:sz w:val="32"/>
        </w:rPr>
        <w:t>一是认真贯彻中央经济工作会议决策部署，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继续落实好</w:t>
      </w:r>
      <w:r>
        <w:rPr>
          <w:rFonts w:hint="eastAsia" w:ascii="仿宋_GB2312" w:hAnsi="仿宋_GB2312" w:eastAsia="仿宋_GB2312"/>
          <w:color w:val="auto"/>
          <w:sz w:val="32"/>
        </w:rPr>
        <w:t>减费降税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等各项惠企</w:t>
      </w:r>
      <w:r>
        <w:rPr>
          <w:rFonts w:hint="eastAsia" w:ascii="仿宋_GB2312" w:hAnsi="仿宋_GB2312" w:eastAsia="仿宋_GB2312"/>
          <w:color w:val="auto"/>
          <w:sz w:val="32"/>
        </w:rPr>
        <w:t>政策，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大力提振市场信心</w:t>
      </w:r>
      <w:r>
        <w:rPr>
          <w:rFonts w:hint="eastAsia" w:ascii="仿宋_GB2312" w:hAnsi="仿宋_GB2312" w:eastAsia="仿宋_GB2312"/>
          <w:color w:val="auto"/>
          <w:sz w:val="32"/>
        </w:rPr>
        <w:t>，进一步优化营商环境，主动为微小企业、民营企业解难题、办实事，推动民营经济发展。二是研究吃透上级出台的生态环保、乡村振兴、基础设施建设等政策和政府债券支持方向，谋划储备一批项目，大力争取上级资金和债券资金，促进重点项目建设。三是加大“招商引资”力度，依托园区建设，加大高科技含量、高附加值等产业招商力度，做大工业税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（二）着力加强税费征管，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努力增加财政收入。</w:t>
      </w:r>
      <w:r>
        <w:rPr>
          <w:rFonts w:hint="eastAsia" w:ascii="仿宋_GB2312" w:hAnsi="仿宋_GB2312" w:eastAsia="仿宋_GB2312"/>
          <w:color w:val="auto"/>
          <w:sz w:val="32"/>
        </w:rPr>
        <w:t>一是定期组织召开财政、税务等征收部门联席会议，集中解决征管中存在的困难和问题，有针对性制定征管措施，破解征收难点。二是充分发挥综合治税平台作用，实现信息共享，确保应收尽收。同时，加强砂石骨料等矿产品交易管理，努力增加税收收入。三是加强土地出让管理，特别是加大土地占补平衡指标验收及转让力度，回笼财政资金，增加可用财力。四是盘活闲置国有资产，增加国有资源（资产）有偿使用收入，特别是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加快</w:t>
      </w:r>
      <w:r>
        <w:rPr>
          <w:rFonts w:hint="eastAsia" w:ascii="仿宋_GB2312" w:hAnsi="仿宋_GB2312" w:eastAsia="仿宋_GB2312"/>
          <w:color w:val="auto"/>
          <w:sz w:val="32"/>
        </w:rPr>
        <w:t>“7.21”灾后迁建片区等国有资产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处置进程</w:t>
      </w:r>
      <w:r>
        <w:rPr>
          <w:rFonts w:hint="eastAsia" w:ascii="仿宋_GB2312" w:hAnsi="仿宋_GB2312" w:eastAsia="仿宋_GB2312"/>
          <w:color w:val="auto"/>
          <w:sz w:val="32"/>
        </w:rPr>
        <w:t>，弥补收支缺口。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（三）着力加强预算管理，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确保年度预算平衡。</w:t>
      </w:r>
      <w:r>
        <w:rPr>
          <w:rFonts w:hint="eastAsia" w:ascii="仿宋_GB2312" w:hAnsi="仿宋_GB2312" w:eastAsia="仿宋_GB2312"/>
          <w:color w:val="auto"/>
          <w:sz w:val="32"/>
        </w:rPr>
        <w:t>一是按照“保工资、保运转、保基本民生”的原则，优化支出结构，合理安排支出。保障疫情防控、乡村振兴、大气污染防治、就业保障等重点支出需求，继续加大对“三农”、教育、卫生、扫黑除恶等工作投入力度，促进各项社会事业协调发展。二是增收节支，从严控制一般性支出，对预算安排的公用及项目经费本着节约原则，支出从紧，努力压减行政运行成本。三是加大存量资金统筹使用力度，缓解支出压力，确保年度预算平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（四）着力深化财政改革，提升财政管理水平。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  <w:t>一是进一步加强预算绩效管理，推行项目全生命周期管理，强化预算执行的严肃性。同时，进一步加大预决算公开力度，广泛接受社会监督。二是继续加大对工程项目评审及招标采购的推进力度，坚持“应评尽评”“应采尽采”，最大限度地提高资金的使用效益。三是加强政府债务风险监测，积极化解存量，严控债务增量，切实防范化解财政风险。四是进一步健全财务管理制度，坚决制止铺张浪费，过好“紧日子”，打好“铁算盘”，全面提高财政资金使用效益。继续强化行政事业单位资产管理，推进各项财政基础管理工作规范化、科学化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lang w:val="en-US" w:eastAsia="zh-CN" w:bidi="ar-SA"/>
        </w:rPr>
        <w:t>各位代表，2023年财政改革和发展任务艰巨，责任重大。我们有信心在县委的正确领导和县人大、县政协的监督支持下，撸起袖子加油干，风雨无阻向前行，以更加饱满的精神状态努力完成全年预算任务，为建设新时代经济强县，品质涞源做出应有贡献！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</w:rPr>
      </w:pPr>
    </w:p>
    <w:p>
      <w:pPr>
        <w:pStyle w:val="2"/>
        <w:rPr>
          <w:rFonts w:ascii="仿宋" w:hAnsi="仿宋" w:eastAsia="仿宋"/>
          <w:kern w:val="0"/>
          <w:sz w:val="32"/>
        </w:rPr>
      </w:pPr>
    </w:p>
    <w:p>
      <w:pPr>
        <w:rPr>
          <w:rFonts w:ascii="仿宋" w:hAnsi="仿宋" w:eastAsia="仿宋"/>
          <w:kern w:val="0"/>
          <w:sz w:val="32"/>
        </w:rPr>
      </w:pPr>
    </w:p>
    <w:p>
      <w:pPr>
        <w:pStyle w:val="2"/>
        <w:rPr>
          <w:rFonts w:ascii="仿宋" w:hAnsi="仿宋" w:eastAsia="仿宋"/>
          <w:kern w:val="0"/>
          <w:sz w:val="32"/>
        </w:rPr>
      </w:pPr>
    </w:p>
    <w:p>
      <w:pPr>
        <w:rPr>
          <w:rFonts w:ascii="仿宋" w:hAnsi="仿宋" w:eastAsia="仿宋"/>
          <w:kern w:val="0"/>
          <w:sz w:val="32"/>
        </w:rPr>
      </w:pPr>
    </w:p>
    <w:p>
      <w:pPr>
        <w:pStyle w:val="2"/>
        <w:rPr>
          <w:rFonts w:ascii="仿宋" w:hAnsi="仿宋" w:eastAsia="仿宋"/>
          <w:kern w:val="0"/>
          <w:sz w:val="32"/>
        </w:rPr>
      </w:pPr>
    </w:p>
    <w:p>
      <w:pPr>
        <w:rPr>
          <w:rFonts w:ascii="仿宋" w:hAnsi="仿宋" w:eastAsia="仿宋"/>
          <w:kern w:val="0"/>
          <w:sz w:val="32"/>
        </w:rPr>
      </w:pPr>
    </w:p>
    <w:p>
      <w:pPr>
        <w:pStyle w:val="2"/>
        <w:rPr>
          <w:rFonts w:ascii="仿宋" w:hAnsi="仿宋" w:eastAsia="仿宋"/>
          <w:kern w:val="0"/>
          <w:sz w:val="32"/>
        </w:rPr>
      </w:pPr>
    </w:p>
    <w:p>
      <w:pPr>
        <w:rPr>
          <w:rFonts w:ascii="仿宋" w:hAnsi="仿宋" w:eastAsia="仿宋"/>
          <w:kern w:val="0"/>
          <w:sz w:val="32"/>
        </w:rPr>
      </w:pPr>
    </w:p>
    <w:p>
      <w:pPr>
        <w:pStyle w:val="2"/>
        <w:rPr>
          <w:rFonts w:ascii="仿宋" w:hAnsi="仿宋" w:eastAsia="仿宋"/>
          <w:kern w:val="0"/>
          <w:sz w:val="32"/>
        </w:rPr>
      </w:pPr>
    </w:p>
    <w:p>
      <w:pPr>
        <w:rPr>
          <w:rFonts w:ascii="仿宋" w:hAnsi="仿宋" w:eastAsia="仿宋"/>
          <w:kern w:val="0"/>
          <w:sz w:val="32"/>
        </w:rPr>
      </w:pPr>
    </w:p>
    <w:p>
      <w:pPr>
        <w:pStyle w:val="2"/>
        <w:rPr>
          <w:rFonts w:ascii="仿宋" w:hAnsi="仿宋" w:eastAsia="仿宋"/>
          <w:kern w:val="0"/>
          <w:sz w:val="32"/>
        </w:rPr>
      </w:pPr>
    </w:p>
    <w:p/>
    <w:p/>
    <w:p>
      <w:pPr>
        <w:pStyle w:val="2"/>
        <w:ind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8709ED-44C3-4C67-BF44-01CEE290DC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7576DC-F01B-4CF8-A8C4-5AC8FD8A5B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5D0E37-B69E-4BD3-8FCF-4E7F17CAF08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111DB75-903D-4F04-B871-27BC3E8F1B0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1FB8991-A0D0-4D0C-BC84-1712190C212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3B1438A3-770A-48CB-A001-443C495818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F16DE72-4EFD-44F7-90D2-84A9EC1958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7B8931D-9BC9-4232-BFEF-4FF22C713B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Fonts w:hint="eastAsia" w:ascii="宋体" w:hAnsi="宋体"/>
        <w:sz w:val="24"/>
      </w:rPr>
      <w:fldChar w:fldCharType="begin"/>
    </w:r>
    <w:r>
      <w:rPr>
        <w:rStyle w:val="8"/>
        <w:rFonts w:hint="eastAsia" w:ascii="宋体" w:hAnsi="宋体"/>
        <w:sz w:val="24"/>
      </w:rPr>
      <w:instrText xml:space="preserve">PAGE  </w:instrText>
    </w:r>
    <w:r>
      <w:rPr>
        <w:rFonts w:hint="eastAsia"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- 18 -</w:t>
    </w:r>
    <w:r>
      <w:rPr>
        <w:rFonts w:hint="eastAsia" w:ascii="宋体" w:hAnsi="宋体"/>
        <w:sz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OWQyMjgzNGJkZTczZTFkNTczNDI3YzViYzAwZWIifQ=="/>
  </w:docVars>
  <w:rsids>
    <w:rsidRoot w:val="124C58C0"/>
    <w:rsid w:val="000A1F79"/>
    <w:rsid w:val="000E5593"/>
    <w:rsid w:val="001737E3"/>
    <w:rsid w:val="002D5360"/>
    <w:rsid w:val="005F656A"/>
    <w:rsid w:val="006050DB"/>
    <w:rsid w:val="00756A02"/>
    <w:rsid w:val="00847182"/>
    <w:rsid w:val="008A3F1F"/>
    <w:rsid w:val="00936939"/>
    <w:rsid w:val="00966938"/>
    <w:rsid w:val="00991B80"/>
    <w:rsid w:val="00AD31AB"/>
    <w:rsid w:val="00B024A9"/>
    <w:rsid w:val="00BB28B1"/>
    <w:rsid w:val="00C45F16"/>
    <w:rsid w:val="00D00526"/>
    <w:rsid w:val="00D62B4D"/>
    <w:rsid w:val="00EA282F"/>
    <w:rsid w:val="011013BA"/>
    <w:rsid w:val="014A55CF"/>
    <w:rsid w:val="01D700EF"/>
    <w:rsid w:val="03127F3A"/>
    <w:rsid w:val="037863DF"/>
    <w:rsid w:val="03D378F7"/>
    <w:rsid w:val="04424DDA"/>
    <w:rsid w:val="04C963E2"/>
    <w:rsid w:val="055C3F65"/>
    <w:rsid w:val="05E252C8"/>
    <w:rsid w:val="05FB4D66"/>
    <w:rsid w:val="061705D8"/>
    <w:rsid w:val="06DE632C"/>
    <w:rsid w:val="0721090B"/>
    <w:rsid w:val="07247418"/>
    <w:rsid w:val="07DB1950"/>
    <w:rsid w:val="084052C5"/>
    <w:rsid w:val="09A82D67"/>
    <w:rsid w:val="0E142D76"/>
    <w:rsid w:val="0E25641E"/>
    <w:rsid w:val="0F5724B6"/>
    <w:rsid w:val="0F6A1500"/>
    <w:rsid w:val="0FA806C0"/>
    <w:rsid w:val="115E2FAD"/>
    <w:rsid w:val="11756343"/>
    <w:rsid w:val="11DB2E32"/>
    <w:rsid w:val="124C58C0"/>
    <w:rsid w:val="12B97FBE"/>
    <w:rsid w:val="149F5087"/>
    <w:rsid w:val="14E96667"/>
    <w:rsid w:val="15021E4B"/>
    <w:rsid w:val="164B3423"/>
    <w:rsid w:val="168F7546"/>
    <w:rsid w:val="17B7056F"/>
    <w:rsid w:val="18A1247E"/>
    <w:rsid w:val="18BA7488"/>
    <w:rsid w:val="18BB2DE9"/>
    <w:rsid w:val="18D076DD"/>
    <w:rsid w:val="19041CBB"/>
    <w:rsid w:val="191235B7"/>
    <w:rsid w:val="195E0CB9"/>
    <w:rsid w:val="1A27153D"/>
    <w:rsid w:val="1A40592B"/>
    <w:rsid w:val="1A671D67"/>
    <w:rsid w:val="1AC62530"/>
    <w:rsid w:val="1C5A362A"/>
    <w:rsid w:val="1CDD438F"/>
    <w:rsid w:val="1D8A6E84"/>
    <w:rsid w:val="1DB124E4"/>
    <w:rsid w:val="1E784880"/>
    <w:rsid w:val="1EBE3A7D"/>
    <w:rsid w:val="2127301A"/>
    <w:rsid w:val="21A55090"/>
    <w:rsid w:val="21F54925"/>
    <w:rsid w:val="226C7E3F"/>
    <w:rsid w:val="229C0DCD"/>
    <w:rsid w:val="22EF235B"/>
    <w:rsid w:val="22F9282C"/>
    <w:rsid w:val="2345150E"/>
    <w:rsid w:val="23B10A1B"/>
    <w:rsid w:val="23F27569"/>
    <w:rsid w:val="2401657C"/>
    <w:rsid w:val="240D7F6A"/>
    <w:rsid w:val="24167DF7"/>
    <w:rsid w:val="25F878AF"/>
    <w:rsid w:val="260777CD"/>
    <w:rsid w:val="26A9597A"/>
    <w:rsid w:val="27D46DB7"/>
    <w:rsid w:val="27EA7B45"/>
    <w:rsid w:val="28217EE9"/>
    <w:rsid w:val="28AC24A6"/>
    <w:rsid w:val="28D74CD5"/>
    <w:rsid w:val="29427BB8"/>
    <w:rsid w:val="29461E8F"/>
    <w:rsid w:val="2A887401"/>
    <w:rsid w:val="2B1254CA"/>
    <w:rsid w:val="2CC654C8"/>
    <w:rsid w:val="2D5E36A1"/>
    <w:rsid w:val="2E751395"/>
    <w:rsid w:val="2EC02926"/>
    <w:rsid w:val="323B5CA2"/>
    <w:rsid w:val="32F028E2"/>
    <w:rsid w:val="33082E52"/>
    <w:rsid w:val="33E72AD7"/>
    <w:rsid w:val="347764F6"/>
    <w:rsid w:val="348357A3"/>
    <w:rsid w:val="361458BC"/>
    <w:rsid w:val="36385155"/>
    <w:rsid w:val="364627BD"/>
    <w:rsid w:val="36FB00F6"/>
    <w:rsid w:val="371A3056"/>
    <w:rsid w:val="37783B81"/>
    <w:rsid w:val="39BC5B9A"/>
    <w:rsid w:val="3A403799"/>
    <w:rsid w:val="3A8B39A6"/>
    <w:rsid w:val="3A9A546D"/>
    <w:rsid w:val="3B0A35D2"/>
    <w:rsid w:val="3B36587E"/>
    <w:rsid w:val="3CAA0376"/>
    <w:rsid w:val="3D262AA3"/>
    <w:rsid w:val="3E1112B0"/>
    <w:rsid w:val="3E356EB6"/>
    <w:rsid w:val="3E3D06CE"/>
    <w:rsid w:val="3EE30717"/>
    <w:rsid w:val="3FA329B3"/>
    <w:rsid w:val="3FED2544"/>
    <w:rsid w:val="400C551E"/>
    <w:rsid w:val="404A50A7"/>
    <w:rsid w:val="40B71061"/>
    <w:rsid w:val="41711F72"/>
    <w:rsid w:val="41B33094"/>
    <w:rsid w:val="42727410"/>
    <w:rsid w:val="427A76EB"/>
    <w:rsid w:val="42E76093"/>
    <w:rsid w:val="43681C5C"/>
    <w:rsid w:val="43E35BFD"/>
    <w:rsid w:val="440C0C1F"/>
    <w:rsid w:val="441F72A6"/>
    <w:rsid w:val="447C2876"/>
    <w:rsid w:val="46052D82"/>
    <w:rsid w:val="46073328"/>
    <w:rsid w:val="4B635EC5"/>
    <w:rsid w:val="4BA0667B"/>
    <w:rsid w:val="4BC63D8A"/>
    <w:rsid w:val="4ECA0B3B"/>
    <w:rsid w:val="4FB91847"/>
    <w:rsid w:val="4FC36AE8"/>
    <w:rsid w:val="4FF758FD"/>
    <w:rsid w:val="50A31048"/>
    <w:rsid w:val="50DB532F"/>
    <w:rsid w:val="51170E09"/>
    <w:rsid w:val="513863F8"/>
    <w:rsid w:val="51E36ACE"/>
    <w:rsid w:val="52092248"/>
    <w:rsid w:val="522F3933"/>
    <w:rsid w:val="526219D7"/>
    <w:rsid w:val="52931FD3"/>
    <w:rsid w:val="52C41033"/>
    <w:rsid w:val="538101E7"/>
    <w:rsid w:val="553B5993"/>
    <w:rsid w:val="553C4BF7"/>
    <w:rsid w:val="56254E31"/>
    <w:rsid w:val="569B73A7"/>
    <w:rsid w:val="56CC3963"/>
    <w:rsid w:val="574537E8"/>
    <w:rsid w:val="58605C38"/>
    <w:rsid w:val="596D414C"/>
    <w:rsid w:val="5A016D73"/>
    <w:rsid w:val="5A4A386A"/>
    <w:rsid w:val="5DED4048"/>
    <w:rsid w:val="5E1B0114"/>
    <w:rsid w:val="5ED71308"/>
    <w:rsid w:val="5EFD49F5"/>
    <w:rsid w:val="5F2002B3"/>
    <w:rsid w:val="60086EBB"/>
    <w:rsid w:val="606875A6"/>
    <w:rsid w:val="6191099A"/>
    <w:rsid w:val="61977724"/>
    <w:rsid w:val="61F3556B"/>
    <w:rsid w:val="62837562"/>
    <w:rsid w:val="63416171"/>
    <w:rsid w:val="65401363"/>
    <w:rsid w:val="65431945"/>
    <w:rsid w:val="659135E0"/>
    <w:rsid w:val="66DE67BD"/>
    <w:rsid w:val="6AC87D14"/>
    <w:rsid w:val="6ADD0488"/>
    <w:rsid w:val="6D5115CA"/>
    <w:rsid w:val="6DE23BE3"/>
    <w:rsid w:val="6E366AFF"/>
    <w:rsid w:val="6F463E68"/>
    <w:rsid w:val="70151D34"/>
    <w:rsid w:val="70E0325A"/>
    <w:rsid w:val="726E03EB"/>
    <w:rsid w:val="72AF789C"/>
    <w:rsid w:val="72F54959"/>
    <w:rsid w:val="74607635"/>
    <w:rsid w:val="7478590C"/>
    <w:rsid w:val="75802B27"/>
    <w:rsid w:val="75C239A1"/>
    <w:rsid w:val="765E5088"/>
    <w:rsid w:val="76CF28F7"/>
    <w:rsid w:val="77491EB1"/>
    <w:rsid w:val="77EC3FC1"/>
    <w:rsid w:val="78772048"/>
    <w:rsid w:val="7A656A71"/>
    <w:rsid w:val="7B195615"/>
    <w:rsid w:val="7B8B2D1D"/>
    <w:rsid w:val="7CC25D7E"/>
    <w:rsid w:val="7D0D477D"/>
    <w:rsid w:val="7D5273B5"/>
    <w:rsid w:val="7DA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eastAsia="仿宋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6258</Words>
  <Characters>7479</Characters>
  <Lines>82</Lines>
  <Paragraphs>23</Paragraphs>
  <TotalTime>23</TotalTime>
  <ScaleCrop>false</ScaleCrop>
  <LinksUpToDate>false</LinksUpToDate>
  <CharactersWithSpaces>7519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2021-12-13T01:28:00Z</dcterms:created>
  <dc:creator>你我他</dc:creator>
  <cp:lastModifiedBy>帅帅 ʚΐɞ</cp:lastModifiedBy>
  <cp:lastPrinted>2023-01-10T01:16:00Z</cp:lastPrinted>
  <dcterms:modified xsi:type="dcterms:W3CDTF">2023-01-10T02:34:56Z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FD9AB9B823FB47DF90B29D4143E3EB88</vt:lpwstr>
  </property>
</Properties>
</file>