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涞源县矿产品交易管理局</w:t>
      </w:r>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w:t>
      </w:r>
    </w:p>
    <w:p>
      <w:pPr>
        <w:jc w:val="center"/>
      </w:pPr>
    </w:p>
    <w:p>
      <w:pPr>
        <w:jc w:val="center"/>
        <w:outlineLvl w:val="3"/>
        <w:rPr>
          <w:rFonts w:ascii="方正小标宋_GBK" w:hAnsi="方正小标宋_GBK" w:eastAsia="方正小标宋_GBK" w:cs="方正小标宋_GBK"/>
          <w:color w:val="000000"/>
          <w:sz w:val="44"/>
        </w:r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一、涞源县矿产品交易管理局本级收支预算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820涞源县矿产品交易管理局</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1937.54</w:t>
            </w:r>
          </w:p>
        </w:tc>
        <w:tc>
          <w:tcPr>
            <w:tcW w:w="2959" w:type="dxa"/>
            <w:vAlign w:val="center"/>
          </w:tcPr>
          <w:p>
            <w:pPr>
              <w:pStyle w:val="16"/>
            </w:pPr>
            <w:r>
              <w:t>一、一般公共服务支出</w:t>
            </w:r>
          </w:p>
        </w:tc>
        <w:tc>
          <w:tcPr>
            <w:tcW w:w="2959" w:type="dxa"/>
            <w:vAlign w:val="center"/>
          </w:tcPr>
          <w:p>
            <w:pPr>
              <w:pStyle w:val="15"/>
            </w:pPr>
            <w:r>
              <w:t>1589.28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348.26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1937.54</w:t>
            </w:r>
          </w:p>
        </w:tc>
        <w:tc>
          <w:tcPr>
            <w:tcW w:w="2959" w:type="dxa"/>
            <w:vAlign w:val="center"/>
          </w:tcPr>
          <w:p>
            <w:pPr>
              <w:pStyle w:val="18"/>
            </w:pPr>
            <w:r>
              <w:t>本年支出合计</w:t>
            </w:r>
          </w:p>
        </w:tc>
        <w:tc>
          <w:tcPr>
            <w:tcW w:w="2959" w:type="dxa"/>
            <w:vAlign w:val="center"/>
          </w:tcPr>
          <w:p>
            <w:pPr>
              <w:pStyle w:val="19"/>
            </w:pPr>
            <w:r>
              <w:t>1937.54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1937.54</w:t>
            </w:r>
          </w:p>
        </w:tc>
        <w:tc>
          <w:tcPr>
            <w:tcW w:w="2959" w:type="dxa"/>
            <w:vAlign w:val="center"/>
          </w:tcPr>
          <w:p>
            <w:pPr>
              <w:pStyle w:val="18"/>
            </w:pPr>
            <w:r>
              <w:t>支出总计</w:t>
            </w:r>
          </w:p>
        </w:tc>
        <w:tc>
          <w:tcPr>
            <w:tcW w:w="2959" w:type="dxa"/>
            <w:vAlign w:val="center"/>
          </w:tcPr>
          <w:p>
            <w:pPr>
              <w:pStyle w:val="19"/>
            </w:pPr>
            <w:r>
              <w:t>1937.54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1937.54</w:t>
            </w:r>
          </w:p>
        </w:tc>
        <w:tc>
          <w:tcPr>
            <w:tcW w:w="758" w:type="dxa"/>
            <w:vAlign w:val="center"/>
          </w:tcPr>
          <w:p>
            <w:pPr>
              <w:pStyle w:val="19"/>
            </w:pPr>
            <w:r>
              <w:t>1937.54</w:t>
            </w:r>
          </w:p>
        </w:tc>
        <w:tc>
          <w:tcPr>
            <w:tcW w:w="758" w:type="dxa"/>
            <w:vAlign w:val="center"/>
          </w:tcPr>
          <w:p>
            <w:pPr>
              <w:pStyle w:val="19"/>
            </w:pPr>
            <w:r>
              <w:t>1937.54</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2010399</w:t>
            </w:r>
          </w:p>
        </w:tc>
        <w:tc>
          <w:tcPr>
            <w:tcW w:w="758" w:type="dxa"/>
            <w:vAlign w:val="center"/>
          </w:tcPr>
          <w:p>
            <w:pPr>
              <w:pStyle w:val="16"/>
            </w:pPr>
            <w:r>
              <w:t>其他政府办公厅（室）及相关机构事务支出</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r>
              <w:t>1589.28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348.26</w:t>
            </w:r>
          </w:p>
        </w:tc>
        <w:tc>
          <w:tcPr>
            <w:tcW w:w="758" w:type="dxa"/>
            <w:vAlign w:val="center"/>
          </w:tcPr>
          <w:p>
            <w:pPr>
              <w:pStyle w:val="15"/>
            </w:pPr>
            <w:r>
              <w:t>348.26</w:t>
            </w:r>
          </w:p>
        </w:tc>
        <w:tc>
          <w:tcPr>
            <w:tcW w:w="758" w:type="dxa"/>
            <w:vAlign w:val="center"/>
          </w:tcPr>
          <w:p>
            <w:pPr>
              <w:pStyle w:val="15"/>
            </w:pPr>
            <w:r>
              <w:t>348.26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348.26</w:t>
            </w:r>
          </w:p>
        </w:tc>
        <w:tc>
          <w:tcPr>
            <w:tcW w:w="758" w:type="dxa"/>
            <w:vAlign w:val="center"/>
          </w:tcPr>
          <w:p>
            <w:pPr>
              <w:pStyle w:val="15"/>
            </w:pPr>
            <w:r>
              <w:t>348.26</w:t>
            </w:r>
          </w:p>
        </w:tc>
        <w:tc>
          <w:tcPr>
            <w:tcW w:w="758" w:type="dxa"/>
            <w:vAlign w:val="center"/>
          </w:tcPr>
          <w:p>
            <w:pPr>
              <w:pStyle w:val="15"/>
            </w:pPr>
            <w:r>
              <w:t>348.26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231.43</w:t>
            </w:r>
          </w:p>
        </w:tc>
        <w:tc>
          <w:tcPr>
            <w:tcW w:w="758" w:type="dxa"/>
            <w:vAlign w:val="center"/>
          </w:tcPr>
          <w:p>
            <w:pPr>
              <w:pStyle w:val="15"/>
            </w:pPr>
            <w:r>
              <w:t>231.43</w:t>
            </w:r>
          </w:p>
        </w:tc>
        <w:tc>
          <w:tcPr>
            <w:tcW w:w="758" w:type="dxa"/>
            <w:vAlign w:val="center"/>
          </w:tcPr>
          <w:p>
            <w:pPr>
              <w:pStyle w:val="15"/>
            </w:pPr>
            <w:r>
              <w:t>231.43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116.83</w:t>
            </w:r>
          </w:p>
        </w:tc>
        <w:tc>
          <w:tcPr>
            <w:tcW w:w="758" w:type="dxa"/>
            <w:vAlign w:val="center"/>
          </w:tcPr>
          <w:p>
            <w:pPr>
              <w:pStyle w:val="15"/>
            </w:pPr>
            <w:r>
              <w:t>116.83</w:t>
            </w:r>
          </w:p>
        </w:tc>
        <w:tc>
          <w:tcPr>
            <w:tcW w:w="758" w:type="dxa"/>
            <w:vAlign w:val="center"/>
          </w:tcPr>
          <w:p>
            <w:pPr>
              <w:pStyle w:val="15"/>
            </w:pPr>
            <w:r>
              <w:t>116.83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1937.54</w:t>
            </w:r>
          </w:p>
        </w:tc>
        <w:tc>
          <w:tcPr>
            <w:tcW w:w="1095" w:type="dxa"/>
            <w:vAlign w:val="center"/>
          </w:tcPr>
          <w:p>
            <w:pPr>
              <w:pStyle w:val="19"/>
            </w:pPr>
            <w:r>
              <w:t>1937.54</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1589.28</w:t>
            </w:r>
          </w:p>
        </w:tc>
        <w:tc>
          <w:tcPr>
            <w:tcW w:w="1095" w:type="dxa"/>
            <w:vAlign w:val="center"/>
          </w:tcPr>
          <w:p>
            <w:pPr>
              <w:pStyle w:val="15"/>
            </w:pPr>
            <w:r>
              <w:t>1589.28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1589.28</w:t>
            </w:r>
          </w:p>
        </w:tc>
        <w:tc>
          <w:tcPr>
            <w:tcW w:w="1095" w:type="dxa"/>
            <w:vAlign w:val="center"/>
          </w:tcPr>
          <w:p>
            <w:pPr>
              <w:pStyle w:val="15"/>
            </w:pPr>
            <w:r>
              <w:t>1589.28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2010399</w:t>
            </w:r>
          </w:p>
        </w:tc>
        <w:tc>
          <w:tcPr>
            <w:tcW w:w="1095" w:type="dxa"/>
            <w:vAlign w:val="center"/>
          </w:tcPr>
          <w:p>
            <w:pPr>
              <w:pStyle w:val="16"/>
            </w:pPr>
            <w:r>
              <w:t>其他政府办公厅（室）及相关机构事务支出</w:t>
            </w:r>
          </w:p>
        </w:tc>
        <w:tc>
          <w:tcPr>
            <w:tcW w:w="1095" w:type="dxa"/>
            <w:vAlign w:val="center"/>
          </w:tcPr>
          <w:p>
            <w:pPr>
              <w:pStyle w:val="15"/>
            </w:pPr>
            <w:r>
              <w:t>1589.28</w:t>
            </w:r>
          </w:p>
        </w:tc>
        <w:tc>
          <w:tcPr>
            <w:tcW w:w="1095" w:type="dxa"/>
            <w:vAlign w:val="center"/>
          </w:tcPr>
          <w:p>
            <w:pPr>
              <w:pStyle w:val="15"/>
            </w:pPr>
            <w:r>
              <w:t>1589.28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348.26</w:t>
            </w:r>
          </w:p>
        </w:tc>
        <w:tc>
          <w:tcPr>
            <w:tcW w:w="1095" w:type="dxa"/>
            <w:vAlign w:val="center"/>
          </w:tcPr>
          <w:p>
            <w:pPr>
              <w:pStyle w:val="15"/>
            </w:pPr>
            <w:r>
              <w:t>348.26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348.26</w:t>
            </w:r>
          </w:p>
        </w:tc>
        <w:tc>
          <w:tcPr>
            <w:tcW w:w="1095" w:type="dxa"/>
            <w:vAlign w:val="center"/>
          </w:tcPr>
          <w:p>
            <w:pPr>
              <w:pStyle w:val="15"/>
            </w:pPr>
            <w:r>
              <w:t>348.26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231.43</w:t>
            </w:r>
          </w:p>
        </w:tc>
        <w:tc>
          <w:tcPr>
            <w:tcW w:w="1095" w:type="dxa"/>
            <w:vAlign w:val="center"/>
          </w:tcPr>
          <w:p>
            <w:pPr>
              <w:pStyle w:val="15"/>
            </w:pPr>
            <w:r>
              <w:t>231.43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116.83</w:t>
            </w:r>
          </w:p>
        </w:tc>
        <w:tc>
          <w:tcPr>
            <w:tcW w:w="1095" w:type="dxa"/>
            <w:vAlign w:val="center"/>
          </w:tcPr>
          <w:p>
            <w:pPr>
              <w:pStyle w:val="15"/>
            </w:pPr>
            <w:r>
              <w:t>116.83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1937.54</w:t>
            </w:r>
          </w:p>
        </w:tc>
        <w:tc>
          <w:tcPr>
            <w:tcW w:w="1232" w:type="dxa"/>
            <w:vAlign w:val="center"/>
          </w:tcPr>
          <w:p>
            <w:pPr>
              <w:pStyle w:val="16"/>
            </w:pPr>
            <w:r>
              <w:t>一、一般公共服务支出</w:t>
            </w:r>
          </w:p>
        </w:tc>
        <w:tc>
          <w:tcPr>
            <w:tcW w:w="1232" w:type="dxa"/>
            <w:vAlign w:val="center"/>
          </w:tcPr>
          <w:p>
            <w:pPr>
              <w:pStyle w:val="15"/>
            </w:pPr>
            <w:r>
              <w:t>1589.28</w:t>
            </w:r>
          </w:p>
        </w:tc>
        <w:tc>
          <w:tcPr>
            <w:tcW w:w="1232" w:type="dxa"/>
            <w:vAlign w:val="center"/>
          </w:tcPr>
          <w:p>
            <w:pPr>
              <w:pStyle w:val="15"/>
            </w:pPr>
            <w:r>
              <w:t>1589.28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348.26</w:t>
            </w:r>
          </w:p>
        </w:tc>
        <w:tc>
          <w:tcPr>
            <w:tcW w:w="1232" w:type="dxa"/>
            <w:vAlign w:val="center"/>
          </w:tcPr>
          <w:p>
            <w:pPr>
              <w:pStyle w:val="15"/>
            </w:pPr>
            <w:r>
              <w:t>348.26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1937.54</w:t>
            </w:r>
          </w:p>
        </w:tc>
        <w:tc>
          <w:tcPr>
            <w:tcW w:w="1232" w:type="dxa"/>
            <w:vAlign w:val="center"/>
          </w:tcPr>
          <w:p>
            <w:pPr>
              <w:pStyle w:val="18"/>
            </w:pPr>
            <w:r>
              <w:t>本年支出合计</w:t>
            </w:r>
          </w:p>
        </w:tc>
        <w:tc>
          <w:tcPr>
            <w:tcW w:w="1232" w:type="dxa"/>
            <w:vAlign w:val="center"/>
          </w:tcPr>
          <w:p>
            <w:pPr>
              <w:pStyle w:val="19"/>
            </w:pPr>
            <w:r>
              <w:t>1937.54</w:t>
            </w:r>
          </w:p>
        </w:tc>
        <w:tc>
          <w:tcPr>
            <w:tcW w:w="1232" w:type="dxa"/>
            <w:vAlign w:val="center"/>
          </w:tcPr>
          <w:p>
            <w:pPr>
              <w:pStyle w:val="19"/>
            </w:pPr>
            <w:r>
              <w:t>1937.54</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1937.54</w:t>
            </w:r>
          </w:p>
        </w:tc>
        <w:tc>
          <w:tcPr>
            <w:tcW w:w="1232" w:type="dxa"/>
            <w:vAlign w:val="center"/>
          </w:tcPr>
          <w:p>
            <w:pPr>
              <w:pStyle w:val="18"/>
            </w:pPr>
            <w:r>
              <w:t>支出总计</w:t>
            </w:r>
          </w:p>
        </w:tc>
        <w:tc>
          <w:tcPr>
            <w:tcW w:w="1232" w:type="dxa"/>
            <w:vAlign w:val="center"/>
          </w:tcPr>
          <w:p>
            <w:pPr>
              <w:pStyle w:val="19"/>
            </w:pPr>
            <w:r>
              <w:t>1937.54</w:t>
            </w:r>
          </w:p>
        </w:tc>
        <w:tc>
          <w:tcPr>
            <w:tcW w:w="1232" w:type="dxa"/>
            <w:vAlign w:val="center"/>
          </w:tcPr>
          <w:p>
            <w:pPr>
              <w:pStyle w:val="19"/>
            </w:pPr>
            <w:r>
              <w:t>1937.54</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1937.54</w:t>
            </w:r>
          </w:p>
        </w:tc>
        <w:tc>
          <w:tcPr>
            <w:tcW w:w="1643" w:type="dxa"/>
            <w:vAlign w:val="center"/>
          </w:tcPr>
          <w:p>
            <w:pPr>
              <w:pStyle w:val="19"/>
            </w:pPr>
            <w:r>
              <w:t>1937.54</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1589.28</w:t>
            </w:r>
          </w:p>
        </w:tc>
        <w:tc>
          <w:tcPr>
            <w:tcW w:w="1643" w:type="dxa"/>
            <w:vAlign w:val="center"/>
          </w:tcPr>
          <w:p>
            <w:pPr>
              <w:pStyle w:val="15"/>
            </w:pPr>
            <w:r>
              <w:t>1589.28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pPr>
            <w:r>
              <w:t>1589.28</w:t>
            </w:r>
          </w:p>
        </w:tc>
        <w:tc>
          <w:tcPr>
            <w:tcW w:w="1643" w:type="dxa"/>
            <w:vAlign w:val="center"/>
          </w:tcPr>
          <w:p>
            <w:pPr>
              <w:pStyle w:val="15"/>
            </w:pPr>
            <w:r>
              <w:t>1589.28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2010399</w:t>
            </w:r>
          </w:p>
        </w:tc>
        <w:tc>
          <w:tcPr>
            <w:tcW w:w="1643" w:type="dxa"/>
            <w:vAlign w:val="center"/>
          </w:tcPr>
          <w:p>
            <w:pPr>
              <w:pStyle w:val="16"/>
            </w:pPr>
            <w:r>
              <w:t>其他政府办公厅（室）及相关机构事务支出</w:t>
            </w:r>
          </w:p>
        </w:tc>
        <w:tc>
          <w:tcPr>
            <w:tcW w:w="1643" w:type="dxa"/>
            <w:vAlign w:val="center"/>
          </w:tcPr>
          <w:p>
            <w:pPr>
              <w:pStyle w:val="15"/>
            </w:pPr>
            <w:r>
              <w:t>1589.28</w:t>
            </w:r>
          </w:p>
        </w:tc>
        <w:tc>
          <w:tcPr>
            <w:tcW w:w="1643" w:type="dxa"/>
            <w:vAlign w:val="center"/>
          </w:tcPr>
          <w:p>
            <w:pPr>
              <w:pStyle w:val="15"/>
            </w:pPr>
            <w:r>
              <w:t>1589.28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348.26</w:t>
            </w:r>
          </w:p>
        </w:tc>
        <w:tc>
          <w:tcPr>
            <w:tcW w:w="1643" w:type="dxa"/>
            <w:vAlign w:val="center"/>
          </w:tcPr>
          <w:p>
            <w:pPr>
              <w:pStyle w:val="15"/>
            </w:pPr>
            <w:r>
              <w:t>348.26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348.26</w:t>
            </w:r>
          </w:p>
        </w:tc>
        <w:tc>
          <w:tcPr>
            <w:tcW w:w="1643" w:type="dxa"/>
            <w:vAlign w:val="center"/>
          </w:tcPr>
          <w:p>
            <w:pPr>
              <w:pStyle w:val="15"/>
            </w:pPr>
            <w:r>
              <w:t>348.26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231.43</w:t>
            </w:r>
          </w:p>
        </w:tc>
        <w:tc>
          <w:tcPr>
            <w:tcW w:w="1643" w:type="dxa"/>
            <w:vAlign w:val="center"/>
          </w:tcPr>
          <w:p>
            <w:pPr>
              <w:pStyle w:val="15"/>
            </w:pPr>
            <w:r>
              <w:t>231.43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116.83</w:t>
            </w:r>
          </w:p>
        </w:tc>
        <w:tc>
          <w:tcPr>
            <w:tcW w:w="1643" w:type="dxa"/>
            <w:vAlign w:val="center"/>
          </w:tcPr>
          <w:p>
            <w:pPr>
              <w:pStyle w:val="15"/>
            </w:pPr>
            <w:r>
              <w:t>116.83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1937.54</w:t>
            </w:r>
          </w:p>
        </w:tc>
        <w:tc>
          <w:tcPr>
            <w:tcW w:w="1643" w:type="dxa"/>
            <w:vAlign w:val="center"/>
          </w:tcPr>
          <w:p>
            <w:pPr>
              <w:pStyle w:val="19"/>
            </w:pPr>
            <w:r>
              <w:t>1937.54</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1937.54</w:t>
            </w:r>
          </w:p>
        </w:tc>
        <w:tc>
          <w:tcPr>
            <w:tcW w:w="1643" w:type="dxa"/>
            <w:vAlign w:val="center"/>
          </w:tcPr>
          <w:p>
            <w:pPr>
              <w:pStyle w:val="15"/>
            </w:pPr>
            <w:r>
              <w:t>1937.54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22.16</w:t>
            </w:r>
          </w:p>
        </w:tc>
        <w:tc>
          <w:tcPr>
            <w:tcW w:w="1643" w:type="dxa"/>
            <w:vAlign w:val="center"/>
          </w:tcPr>
          <w:p>
            <w:pPr>
              <w:pStyle w:val="15"/>
            </w:pPr>
            <w:r>
              <w:t>22.16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19.33</w:t>
            </w:r>
          </w:p>
        </w:tc>
        <w:tc>
          <w:tcPr>
            <w:tcW w:w="1643" w:type="dxa"/>
            <w:vAlign w:val="center"/>
          </w:tcPr>
          <w:p>
            <w:pPr>
              <w:pStyle w:val="15"/>
            </w:pPr>
            <w:r>
              <w:t>19.33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231.43</w:t>
            </w:r>
          </w:p>
        </w:tc>
        <w:tc>
          <w:tcPr>
            <w:tcW w:w="1643" w:type="dxa"/>
            <w:vAlign w:val="center"/>
          </w:tcPr>
          <w:p>
            <w:pPr>
              <w:pStyle w:val="15"/>
            </w:pPr>
            <w:r>
              <w:t>231.43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116.83</w:t>
            </w:r>
          </w:p>
        </w:tc>
        <w:tc>
          <w:tcPr>
            <w:tcW w:w="1643" w:type="dxa"/>
            <w:vAlign w:val="center"/>
          </w:tcPr>
          <w:p>
            <w:pPr>
              <w:pStyle w:val="15"/>
            </w:pPr>
            <w:r>
              <w:t>116.83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94.15</w:t>
            </w:r>
          </w:p>
        </w:tc>
        <w:tc>
          <w:tcPr>
            <w:tcW w:w="1643" w:type="dxa"/>
            <w:vAlign w:val="center"/>
          </w:tcPr>
          <w:p>
            <w:pPr>
              <w:pStyle w:val="15"/>
            </w:pPr>
            <w:r>
              <w:t>94.15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7.23</w:t>
            </w:r>
          </w:p>
        </w:tc>
        <w:tc>
          <w:tcPr>
            <w:tcW w:w="1643" w:type="dxa"/>
            <w:vAlign w:val="center"/>
          </w:tcPr>
          <w:p>
            <w:pPr>
              <w:pStyle w:val="15"/>
            </w:pPr>
            <w:r>
              <w:t>7.23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1446.41</w:t>
            </w:r>
          </w:p>
        </w:tc>
        <w:tc>
          <w:tcPr>
            <w:tcW w:w="1643" w:type="dxa"/>
            <w:vAlign w:val="center"/>
          </w:tcPr>
          <w:p>
            <w:pPr>
              <w:pStyle w:val="15"/>
            </w:pPr>
            <w:r>
              <w:t>1446.41</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3"/>
        <w:rPr>
          <w:rFonts w:ascii="方正小标宋_GBK" w:hAnsi="方正小标宋_GBK" w:eastAsia="方正小标宋_GBK" w:cs="方正小标宋_GBK"/>
          <w:color w:val="000000"/>
          <w:sz w:val="44"/>
        </w:rPr>
      </w:pPr>
    </w:p>
    <w:bookmarkEnd w:id="0"/>
    <w:p>
      <w:pPr>
        <w:sectPr>
          <w:footerReference r:id="rId3" w:type="default"/>
          <w:footerReference r:id="rId4" w:type="even"/>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涞源县矿产品交易管理局本级2022年单位预算信息公开情况说明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3" w:name="_GoBack"/>
      <w:bookmarkEnd w:id="3"/>
      <w:r>
        <w:rPr>
          <w:rFonts w:ascii="Times New Roman" w:hAnsi="Times New Roman" w:eastAsia="方正仿宋_GBK" w:cs="Times New Roman"/>
          <w:b w:val="0"/>
          <w:color w:val="000000"/>
          <w:sz w:val="28"/>
        </w:rPr>
        <w:t>、《地方预决算公开操作规程》和《关于进一步推进预算公开工作的实施意见》规定，现将涞源县矿产品交易管理局本级2022年单位预算公开如下：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r>
        <w:t>涞源县矿产品交易管理局主要负责企业矿产品交易管理，及时掌握各企业的生产、销售情况，及时发布市场行情变化情况，为企业搞好服务；受理企业矿产品交易申报（独山城矿区除外）、按标准开具监磅、出入境及矿业税费治安管理；对偷逃车辆进行追逃，对偷逃行为按标准进行处理；管理站驻站人员工作及生活管理及各站房屋、设备的维护及维修；领用票据的规范使用、定期核销；及时统计交易单和结算单使用情况，并按要求做好与征收办（独山城管委会）的票据传递和核对工作。按照《涞源县矿产品税费征收管理暂行办法》、《涞源县砂石骨料出境管理办法》要求，建立健全相关制度，持续加大对矿产品及砂石骨料的税费征收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涞源县矿产品交易管理局本级</w:t>
            </w:r>
          </w:p>
        </w:tc>
        <w:tc>
          <w:tcPr>
            <w:tcW w:w="2464" w:type="dxa"/>
            <w:vAlign w:val="center"/>
          </w:tcPr>
          <w:p>
            <w:pPr>
              <w:pStyle w:val="17"/>
            </w:pPr>
            <w:r>
              <w:t>行政</w:t>
            </w:r>
          </w:p>
        </w:tc>
        <w:tc>
          <w:tcPr>
            <w:tcW w:w="2464" w:type="dxa"/>
            <w:vAlign w:val="center"/>
          </w:tcPr>
          <w:p>
            <w:pPr>
              <w:pStyle w:val="17"/>
            </w:pPr>
            <w:r>
              <w:rPr>
                <w:rFonts w:hint="eastAsia"/>
                <w:lang w:eastAsia="zh-CN"/>
              </w:rPr>
              <w:t>股</w:t>
            </w:r>
            <w:r>
              <w:t>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34"/>
      </w:pPr>
      <w:r>
        <w:t>1、收入说明</w:t>
      </w:r>
    </w:p>
    <w:p>
      <w:pPr>
        <w:pStyle w:val="34"/>
      </w:pPr>
      <w:r>
        <w:t>反映本单位当年全部收入。2022年预算收入1937.54万元，其中：一般公共预算收入1937.54万元，基金预算收入0万元，国有资本经营预算收入0万元，财政专户核拨收入0万元，单位资金收入0万元，上年结转结余0万元。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河北省财政厅本级年度单位预算中支出预算的总体情况。2022年支出预算1937.54万元，其中基本支出1937.54万元，包括人员经费1937.54万元和日常公用经费0万元；项目支出0万元。</w:t>
      </w:r>
    </w:p>
    <w:p>
      <w:pPr>
        <w:pStyle w:val="34"/>
      </w:pPr>
      <w:r>
        <w:t>3、比上年增减情况</w:t>
      </w:r>
    </w:p>
    <w:p>
      <w:pPr>
        <w:pStyle w:val="34"/>
      </w:pPr>
      <w:r>
        <w:t>2022年预算收支安排1937.54万元，较2021年预算增加179.91万元，其中：基本支出增加179.91万元，主要为增加人员经费支出；主要为人员经费支出增加。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spacing w:line="560" w:lineRule="atLeast"/>
        <w:ind w:firstLine="66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一、总体绩效目标 </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1.继续抓好各种学习教育。各部门负责人充分发挥带头作用，自觉地“先学一步”，做到“五带头”（ 带头遵守制度、带头学习、带头发言、带头写笔记、带头写体会），坚持原原本本学，聚焦主题学，做到以上率下，先学一步，学深一层。</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2.加大各类培训、考核力度。紧密结合全局工作实际，继续加大对岗前培训、岗位练兵、结对帮教、培训考核等活动的开展力度和密度，以激发全体干部职工的工作积极性，进一步提升全体干部职工的业务水平。</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继续提高业务水平。一是继续严把申报关，落实一把手负责制。二是全局上下协调联动，局执法队24小时备勤，基层中队、管理站24小时巡查监管，切实做好出入境管理工作。三是加大督导检查力度，防止和杜绝私拉偷运矿产品行为发生。</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严格执法监督职能。一是努力提升执法工作人员的业务素质和执法能力，加强对《河北省冶金矿产品生产经营监督管理条例》和《河北省冶金矿产品生产经营监督管理办法》的学习，做到有法可依、处罚适用。二是继续加强体能训练，增强执法队员身体素质，提高应对突发事件的能力。</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5.加大对非金属矿的交易管理力度。进一步加强对大理石、白石头、钾长石等非金属矿的交易管理，做到严格管理，应收尽收。</w:t>
      </w:r>
    </w:p>
    <w:p>
      <w:pPr>
        <w:spacing w:line="500" w:lineRule="exact"/>
        <w:ind w:firstLine="560" w:firstLineChars="200"/>
        <w:jc w:val="left"/>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r>
        <w:rPr>
          <w:rFonts w:ascii="Times New Roman" w:hAnsi="Times New Roman" w:eastAsia="方正仿宋_GBK" w:cs="Times New Roman"/>
          <w:sz w:val="28"/>
          <w:szCs w:val="24"/>
          <w:lang w:val="en-US" w:eastAsia="uk-UA" w:bidi="ar-SA"/>
        </w:rPr>
        <w:fldChar w:fldCharType="begin"/>
      </w:r>
      <w:r>
        <w:rPr>
          <w:rFonts w:hint="eastAsia" w:ascii="Times New Roman" w:hAnsi="Times New Roman" w:eastAsia="方正仿宋_GBK" w:cs="Times New Roman"/>
          <w:sz w:val="28"/>
          <w:szCs w:val="24"/>
          <w:lang w:val="en-US" w:eastAsia="uk-UA" w:bidi="ar-SA"/>
        </w:rPr>
        <w:instrText xml:space="preserve"> TC </w:instrText>
      </w:r>
      <w:bookmarkStart w:id="1" w:name="_Toc31737022"/>
      <w:r>
        <w:rPr>
          <w:rFonts w:hint="eastAsia" w:ascii="Times New Roman" w:hAnsi="Times New Roman" w:eastAsia="方正仿宋_GBK" w:cs="Times New Roman"/>
          <w:sz w:val="28"/>
          <w:szCs w:val="24"/>
          <w:lang w:val="en-US" w:eastAsia="uk-UA" w:bidi="ar-SA"/>
        </w:rPr>
        <w:instrText xml:space="preserve">分项绩效目标</w:instrText>
      </w:r>
      <w:bookmarkEnd w:id="1"/>
      <w:r>
        <w:rPr>
          <w:rFonts w:hint="eastAsia" w:ascii="Times New Roman" w:hAnsi="Times New Roman" w:eastAsia="方正仿宋_GBK" w:cs="Times New Roman"/>
          <w:sz w:val="28"/>
          <w:szCs w:val="24"/>
          <w:lang w:val="en-US" w:eastAsia="uk-UA" w:bidi="ar-SA"/>
        </w:rPr>
        <w:instrText xml:space="preserve"> \f A \l 1 </w:instrText>
      </w:r>
      <w:r>
        <w:rPr>
          <w:rFonts w:hint="eastAsia" w:ascii="Times New Roman" w:hAnsi="Times New Roman" w:eastAsia="方正仿宋_GBK" w:cs="Times New Roman"/>
          <w:sz w:val="28"/>
          <w:szCs w:val="24"/>
          <w:lang w:val="en-US" w:eastAsia="uk-UA" w:bidi="ar-SA"/>
        </w:rPr>
        <w:fldChar w:fldCharType="end"/>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职责分项绩效目标：</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1.业务办理更加高效、便捷。加大各类培训、考核力度，不断提升业务技能。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2.执法队伍水平明显提高，进一步强化执法监督职能。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3.运输车辆管理更加规范有序。进一步强化执法监督职能。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4.全局干部职工理论知识水平明显提高。</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5.加强了队伍建设，树立了机关形象。</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6.圆满完成上级交办的各项工作任务。</w:t>
      </w:r>
    </w:p>
    <w:p>
      <w:pPr>
        <w:spacing w:line="500" w:lineRule="exact"/>
        <w:ind w:firstLine="560" w:firstLineChars="200"/>
        <w:jc w:val="left"/>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r>
        <w:rPr>
          <w:rFonts w:ascii="Times New Roman" w:hAnsi="Times New Roman" w:eastAsia="方正仿宋_GBK" w:cs="Times New Roman"/>
          <w:sz w:val="28"/>
          <w:szCs w:val="24"/>
          <w:lang w:val="en-US" w:eastAsia="uk-UA" w:bidi="ar-SA"/>
        </w:rPr>
        <w:fldChar w:fldCharType="begin"/>
      </w:r>
      <w:r>
        <w:rPr>
          <w:rFonts w:hint="eastAsia" w:ascii="Times New Roman" w:hAnsi="Times New Roman" w:eastAsia="方正仿宋_GBK" w:cs="Times New Roman"/>
          <w:sz w:val="28"/>
          <w:szCs w:val="24"/>
          <w:lang w:val="en-US" w:eastAsia="uk-UA" w:bidi="ar-SA"/>
        </w:rPr>
        <w:instrText xml:space="preserve"> TC </w:instrText>
      </w:r>
      <w:bookmarkStart w:id="2" w:name="_Toc31737023"/>
      <w:r>
        <w:rPr>
          <w:rFonts w:hint="eastAsia" w:ascii="Times New Roman" w:hAnsi="Times New Roman" w:eastAsia="方正仿宋_GBK" w:cs="Times New Roman"/>
          <w:sz w:val="28"/>
          <w:szCs w:val="24"/>
          <w:lang w:val="en-US" w:eastAsia="uk-UA" w:bidi="ar-SA"/>
        </w:rPr>
        <w:instrText xml:space="preserve">工作保障措施</w:instrText>
      </w:r>
      <w:bookmarkEnd w:id="2"/>
      <w:r>
        <w:rPr>
          <w:rFonts w:hint="eastAsia" w:ascii="Times New Roman" w:hAnsi="Times New Roman" w:eastAsia="方正仿宋_GBK" w:cs="Times New Roman"/>
          <w:sz w:val="28"/>
          <w:szCs w:val="24"/>
          <w:lang w:val="en-US" w:eastAsia="uk-UA" w:bidi="ar-SA"/>
        </w:rPr>
        <w:instrText xml:space="preserve"> \f A \l 1 </w:instrText>
      </w:r>
      <w:r>
        <w:rPr>
          <w:rFonts w:hint="eastAsia" w:ascii="Times New Roman" w:hAnsi="Times New Roman" w:eastAsia="方正仿宋_GBK" w:cs="Times New Roman"/>
          <w:sz w:val="28"/>
          <w:szCs w:val="24"/>
          <w:lang w:val="en-US" w:eastAsia="uk-UA" w:bidi="ar-SA"/>
        </w:rPr>
        <w:fldChar w:fldCharType="end"/>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1.紧密结合全局工作实际，继续加大对岗前培训、岗位练兵、结对帮教、培训考核等活动的开展力度和密度。</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2.继续严把申报关，落实一把手负责制。全局上下协调联动，局执法队24小时备勤，基层中队、管理站24小时巡查监管。加大督导检查力度，防止和杜绝私拉偷运矿产品行为发生。</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3.加强对《河北省冶金矿产品生产经营监督管理条例》和《河北省冶金矿产品生产经营监督管理办法》的学习，增强执法队员身体素质，提高应对突发事件的能力。</w:t>
      </w:r>
    </w:p>
    <w:p>
      <w:pPr>
        <w:spacing w:line="500" w:lineRule="exact"/>
        <w:ind w:firstLine="560" w:firstLineChars="200"/>
        <w:jc w:val="left"/>
        <w:rPr>
          <w:rFonts w:hint="eastAsia" w:ascii="Times New Roman" w:hAnsi="Times New Roman" w:eastAsia="方正仿宋_GBK" w:cs="Times New Roman"/>
          <w:b w:val="0"/>
          <w:kern w:val="0"/>
          <w:sz w:val="28"/>
          <w:szCs w:val="24"/>
          <w:lang w:val="en-US" w:eastAsia="uk-UA" w:bidi="ar-SA"/>
        </w:rPr>
      </w:pPr>
      <w:r>
        <w:rPr>
          <w:rFonts w:hint="eastAsia" w:ascii="Times New Roman" w:hAnsi="Times New Roman" w:eastAsia="方正仿宋_GBK" w:cs="Times New Roman"/>
          <w:sz w:val="28"/>
          <w:szCs w:val="24"/>
          <w:lang w:val="en-US" w:eastAsia="uk-UA" w:bidi="ar-SA"/>
        </w:rPr>
        <w:t>4.加强对小规模企业的交易管理。进一步加强对大理石、白石头、钾长石等非金属矿的交易管理。</w:t>
      </w:r>
      <w:r>
        <w:rPr>
          <w:rFonts w:hint="eastAsia" w:ascii="Times New Roman" w:hAnsi="Times New Roman" w:eastAsia="方正仿宋_GBK" w:cs="Times New Roman"/>
          <w:b w:val="0"/>
          <w:kern w:val="0"/>
          <w:sz w:val="28"/>
          <w:szCs w:val="24"/>
          <w:lang w:val="en-US" w:eastAsia="uk-UA" w:bidi="ar-SA"/>
        </w:rPr>
        <w:t>在积极应对当前矿业市场行情低迷的形势下，在继续开展好</w:t>
      </w:r>
      <w:r>
        <w:rPr>
          <w:rFonts w:hint="eastAsia" w:eastAsia="方正仿宋_GBK" w:cs="Times New Roman"/>
          <w:b w:val="0"/>
          <w:kern w:val="0"/>
          <w:sz w:val="28"/>
          <w:szCs w:val="24"/>
          <w:lang w:val="en-US" w:eastAsia="zh-CN" w:bidi="ar-SA"/>
        </w:rPr>
        <w:t>“两学一做”学习教育</w:t>
      </w:r>
      <w:r>
        <w:rPr>
          <w:rFonts w:hint="eastAsia" w:ascii="Times New Roman" w:hAnsi="Times New Roman" w:eastAsia="方正仿宋_GBK" w:cs="Times New Roman"/>
          <w:b w:val="0"/>
          <w:kern w:val="0"/>
          <w:sz w:val="28"/>
          <w:szCs w:val="24"/>
          <w:lang w:val="en-US" w:eastAsia="uk-UA" w:bidi="ar-SA"/>
        </w:rPr>
        <w:t>的基础上，不断以“强化作风纪律、提升服务效能、树立矿管形象”的工作理念抓班子、带队伍，严格管控矿产品交易申报、发运以及出入境管理工作，继续加强对小规模企业及非金属矿的交易管理，进一步加大网络信息、技术指导以及业务办理等方面的服务力度，全面推动各项工作扎实有效开展。同时，圆满完成上级交办的各项工作任务。</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2022年，涞源县矿产品交易管理局本级安排政府采购预算0.00万元。具体内容见下表。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831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涞源县矿产品交易管理局本级上年末固定资产金额为269.65万元（详见下表）。本年度拟购置固定资产总额为0.00万元，已按要求列入政府采购预算，详见政府采购预算表。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820001涞源县矿产品交易管理局本级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269.65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741.76</w:t>
            </w:r>
          </w:p>
        </w:tc>
        <w:tc>
          <w:tcPr>
            <w:tcW w:w="4933" w:type="dxa"/>
            <w:vAlign w:val="center"/>
          </w:tcPr>
          <w:p>
            <w:pPr>
              <w:pStyle w:val="15"/>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285.63</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w:t>
            </w:r>
          </w:p>
        </w:tc>
        <w:tc>
          <w:tcPr>
            <w:tcW w:w="4933" w:type="dxa"/>
            <w:vAlign w:val="center"/>
          </w:tcPr>
          <w:p>
            <w:pPr>
              <w:pStyle w:val="15"/>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1</w:t>
            </w:r>
          </w:p>
        </w:tc>
        <w:tc>
          <w:tcPr>
            <w:tcW w:w="4933" w:type="dxa"/>
            <w:vAlign w:val="center"/>
          </w:tcPr>
          <w:p>
            <w:pPr>
              <w:pStyle w:val="15"/>
            </w:pPr>
            <w:r>
              <w:t>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r>
              <w:t>106.46</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599D7"/>
    <w:multiLevelType w:val="singleLevel"/>
    <w:tmpl w:val="490599D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9E2C46"/>
    <w:rsid w:val="00001925"/>
    <w:rsid w:val="00002808"/>
    <w:rsid w:val="00006594"/>
    <w:rsid w:val="00135213"/>
    <w:rsid w:val="001D6190"/>
    <w:rsid w:val="001D6734"/>
    <w:rsid w:val="002661BC"/>
    <w:rsid w:val="003A3224"/>
    <w:rsid w:val="005D5F9F"/>
    <w:rsid w:val="008A47C2"/>
    <w:rsid w:val="009E2C46"/>
    <w:rsid w:val="00B05900"/>
    <w:rsid w:val="050F3EB7"/>
    <w:rsid w:val="0EB83350"/>
    <w:rsid w:val="1F4A11EC"/>
    <w:rsid w:val="37C37B33"/>
    <w:rsid w:val="480A179D"/>
    <w:rsid w:val="48941867"/>
    <w:rsid w:val="4EF10B03"/>
    <w:rsid w:val="5C6B0DD7"/>
    <w:rsid w:val="671861BD"/>
    <w:rsid w:val="6D8F5F73"/>
    <w:rsid w:val="6E4A6233"/>
    <w:rsid w:val="7F7C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CBD4-28DB-477A-A440-8187B4E079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396</Pages>
  <Words>26249</Words>
  <Characters>149623</Characters>
  <Lines>1246</Lines>
  <Paragraphs>351</Paragraphs>
  <TotalTime>1</TotalTime>
  <ScaleCrop>false</ScaleCrop>
  <LinksUpToDate>false</LinksUpToDate>
  <CharactersWithSpaces>175521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    ）</cp:lastModifiedBy>
  <dcterms:modified xsi:type="dcterms:W3CDTF">2024-01-30T02:36:12Z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ED269D01DFE74D0192E7EED4D849788F_13</vt:lpwstr>
  </property>
</Properties>
</file>