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2"/>
        <w:tabs>
          <w:tab w:val="right" w:leader="dot" w:pos="14562"/>
        </w:tabs>
        <w:sectPr>
          <w:pgSz w:w="16840" w:h="11900" w:orient="landscape"/>
          <w:pgMar w:top="1361" w:right="1020" w:bottom="1134" w:left="1020" w:header="720" w:footer="720" w:gutter="0"/>
          <w:pgNumType w:start="1"/>
          <w:cols w:space="720" w:num="1"/>
        </w:sectPr>
      </w:pP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pPr>
    </w:p>
    <w:p>
      <w:pPr>
        <w:jc w:val="center"/>
      </w:pPr>
    </w:p>
    <w:p>
      <w:pPr>
        <w:jc w:val="both"/>
      </w:pPr>
    </w:p>
    <w:p>
      <w:pPr>
        <w:jc w:val="center"/>
      </w:pPr>
    </w:p>
    <w:p>
      <w:pPr>
        <w:jc w:val="center"/>
      </w:pP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206.26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168.28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206.26</w:t>
            </w:r>
          </w:p>
        </w:tc>
        <w:tc>
          <w:tcPr>
            <w:tcW w:w="4535" w:type="dxa"/>
            <w:vAlign w:val="center"/>
          </w:tcPr>
          <w:p>
            <w:pPr>
              <w:pStyle w:val="14"/>
            </w:pPr>
            <w:r>
              <w:t>本年支出合计</w:t>
            </w:r>
          </w:p>
        </w:tc>
        <w:tc>
          <w:tcPr>
            <w:tcW w:w="2126" w:type="dxa"/>
            <w:vAlign w:val="center"/>
          </w:tcPr>
          <w:p>
            <w:pPr>
              <w:pStyle w:val="15"/>
            </w:pPr>
            <w:r>
              <w:t>206.26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206.26</w:t>
            </w:r>
          </w:p>
        </w:tc>
        <w:tc>
          <w:tcPr>
            <w:tcW w:w="4535" w:type="dxa"/>
            <w:vAlign w:val="center"/>
          </w:tcPr>
          <w:p>
            <w:pPr>
              <w:pStyle w:val="14"/>
            </w:pPr>
            <w:r>
              <w:t>支出总计</w:t>
            </w:r>
          </w:p>
        </w:tc>
        <w:tc>
          <w:tcPr>
            <w:tcW w:w="2126" w:type="dxa"/>
            <w:vAlign w:val="center"/>
          </w:tcPr>
          <w:p>
            <w:pPr>
              <w:pStyle w:val="15"/>
            </w:pPr>
            <w:r>
              <w:t>206.26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206.26</w:t>
            </w:r>
          </w:p>
        </w:tc>
        <w:tc>
          <w:tcPr>
            <w:tcW w:w="1134" w:type="dxa"/>
            <w:vAlign w:val="center"/>
          </w:tcPr>
          <w:p>
            <w:pPr>
              <w:pStyle w:val="15"/>
            </w:pPr>
            <w:r>
              <w:t>206.26</w:t>
            </w:r>
          </w:p>
        </w:tc>
        <w:tc>
          <w:tcPr>
            <w:tcW w:w="1134" w:type="dxa"/>
            <w:vAlign w:val="center"/>
          </w:tcPr>
          <w:p>
            <w:pPr>
              <w:pStyle w:val="15"/>
            </w:pPr>
            <w:r>
              <w:t>206.26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168.28</w:t>
            </w:r>
          </w:p>
        </w:tc>
        <w:tc>
          <w:tcPr>
            <w:tcW w:w="1134" w:type="dxa"/>
            <w:vAlign w:val="center"/>
          </w:tcPr>
          <w:p>
            <w:pPr>
              <w:pStyle w:val="11"/>
            </w:pPr>
            <w:r>
              <w:t>168.28</w:t>
            </w:r>
          </w:p>
        </w:tc>
        <w:tc>
          <w:tcPr>
            <w:tcW w:w="1134" w:type="dxa"/>
            <w:vAlign w:val="center"/>
          </w:tcPr>
          <w:p>
            <w:pPr>
              <w:pStyle w:val="11"/>
            </w:pPr>
            <w:r>
              <w:t>168.28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168.28</w:t>
            </w:r>
          </w:p>
        </w:tc>
        <w:tc>
          <w:tcPr>
            <w:tcW w:w="1134" w:type="dxa"/>
            <w:vAlign w:val="center"/>
          </w:tcPr>
          <w:p>
            <w:pPr>
              <w:pStyle w:val="11"/>
            </w:pPr>
            <w:r>
              <w:t>168.28</w:t>
            </w:r>
          </w:p>
        </w:tc>
        <w:tc>
          <w:tcPr>
            <w:tcW w:w="1134" w:type="dxa"/>
            <w:vAlign w:val="center"/>
          </w:tcPr>
          <w:p>
            <w:pPr>
              <w:pStyle w:val="11"/>
            </w:pPr>
            <w:r>
              <w:t>168.28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160.28</w:t>
            </w:r>
          </w:p>
        </w:tc>
        <w:tc>
          <w:tcPr>
            <w:tcW w:w="1134" w:type="dxa"/>
            <w:vAlign w:val="center"/>
          </w:tcPr>
          <w:p>
            <w:pPr>
              <w:pStyle w:val="11"/>
            </w:pPr>
            <w:r>
              <w:t>160.28</w:t>
            </w:r>
          </w:p>
        </w:tc>
        <w:tc>
          <w:tcPr>
            <w:tcW w:w="1134" w:type="dxa"/>
            <w:vAlign w:val="center"/>
          </w:tcPr>
          <w:p>
            <w:pPr>
              <w:pStyle w:val="11"/>
            </w:pPr>
            <w:r>
              <w:t>160.28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2070114</w:t>
            </w:r>
          </w:p>
        </w:tc>
        <w:tc>
          <w:tcPr>
            <w:tcW w:w="1559" w:type="dxa"/>
            <w:vAlign w:val="center"/>
          </w:tcPr>
          <w:p>
            <w:pPr>
              <w:pStyle w:val="12"/>
            </w:pPr>
            <w:r>
              <w:t>文化和旅游管理事务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19.54</w:t>
            </w:r>
          </w:p>
        </w:tc>
        <w:tc>
          <w:tcPr>
            <w:tcW w:w="1134" w:type="dxa"/>
            <w:vAlign w:val="center"/>
          </w:tcPr>
          <w:p>
            <w:pPr>
              <w:pStyle w:val="11"/>
            </w:pPr>
            <w:r>
              <w:t>19.54</w:t>
            </w:r>
          </w:p>
        </w:tc>
        <w:tc>
          <w:tcPr>
            <w:tcW w:w="1134" w:type="dxa"/>
            <w:vAlign w:val="center"/>
          </w:tcPr>
          <w:p>
            <w:pPr>
              <w:pStyle w:val="11"/>
            </w:pPr>
            <w:r>
              <w:t>19.54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9.77</w:t>
            </w:r>
          </w:p>
        </w:tc>
        <w:tc>
          <w:tcPr>
            <w:tcW w:w="1134" w:type="dxa"/>
            <w:vAlign w:val="center"/>
          </w:tcPr>
          <w:p>
            <w:pPr>
              <w:pStyle w:val="11"/>
            </w:pPr>
            <w:r>
              <w:t>9.77</w:t>
            </w:r>
          </w:p>
        </w:tc>
        <w:tc>
          <w:tcPr>
            <w:tcW w:w="1134" w:type="dxa"/>
            <w:vAlign w:val="center"/>
          </w:tcPr>
          <w:p>
            <w:pPr>
              <w:pStyle w:val="11"/>
            </w:pPr>
            <w:r>
              <w:t>9.77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206.26</w:t>
            </w:r>
          </w:p>
        </w:tc>
        <w:tc>
          <w:tcPr>
            <w:tcW w:w="1361" w:type="dxa"/>
            <w:vAlign w:val="center"/>
          </w:tcPr>
          <w:p>
            <w:pPr>
              <w:pStyle w:val="15"/>
            </w:pPr>
            <w:r>
              <w:t>198.26</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168.28</w:t>
            </w:r>
          </w:p>
        </w:tc>
        <w:tc>
          <w:tcPr>
            <w:tcW w:w="1361" w:type="dxa"/>
            <w:vAlign w:val="center"/>
          </w:tcPr>
          <w:p>
            <w:pPr>
              <w:pStyle w:val="11"/>
            </w:pPr>
            <w:r>
              <w:t>160.28</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168.28</w:t>
            </w:r>
          </w:p>
        </w:tc>
        <w:tc>
          <w:tcPr>
            <w:tcW w:w="1361" w:type="dxa"/>
            <w:vAlign w:val="center"/>
          </w:tcPr>
          <w:p>
            <w:pPr>
              <w:pStyle w:val="11"/>
            </w:pPr>
            <w:r>
              <w:t>160.28</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160.28</w:t>
            </w:r>
          </w:p>
        </w:tc>
        <w:tc>
          <w:tcPr>
            <w:tcW w:w="1361" w:type="dxa"/>
            <w:vAlign w:val="center"/>
          </w:tcPr>
          <w:p>
            <w:pPr>
              <w:pStyle w:val="11"/>
            </w:pPr>
            <w:r>
              <w:t>160.28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2070114</w:t>
            </w:r>
          </w:p>
        </w:tc>
        <w:tc>
          <w:tcPr>
            <w:tcW w:w="4535" w:type="dxa"/>
            <w:vAlign w:val="center"/>
          </w:tcPr>
          <w:p>
            <w:pPr>
              <w:pStyle w:val="12"/>
            </w:pPr>
            <w:r>
              <w:t>文化和旅游管理事务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29.31</w:t>
            </w:r>
          </w:p>
        </w:tc>
        <w:tc>
          <w:tcPr>
            <w:tcW w:w="1361" w:type="dxa"/>
            <w:vAlign w:val="center"/>
          </w:tcPr>
          <w:p>
            <w:pPr>
              <w:pStyle w:val="11"/>
            </w:pPr>
            <w:r>
              <w:t>29.31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29.31</w:t>
            </w:r>
          </w:p>
        </w:tc>
        <w:tc>
          <w:tcPr>
            <w:tcW w:w="1361" w:type="dxa"/>
            <w:vAlign w:val="center"/>
          </w:tcPr>
          <w:p>
            <w:pPr>
              <w:pStyle w:val="11"/>
            </w:pPr>
            <w:r>
              <w:t>29.31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19.54</w:t>
            </w:r>
          </w:p>
        </w:tc>
        <w:tc>
          <w:tcPr>
            <w:tcW w:w="1361" w:type="dxa"/>
            <w:vAlign w:val="center"/>
          </w:tcPr>
          <w:p>
            <w:pPr>
              <w:pStyle w:val="11"/>
            </w:pPr>
            <w:r>
              <w:t>19.54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9.77</w:t>
            </w:r>
          </w:p>
        </w:tc>
        <w:tc>
          <w:tcPr>
            <w:tcW w:w="1361" w:type="dxa"/>
            <w:vAlign w:val="center"/>
          </w:tcPr>
          <w:p>
            <w:pPr>
              <w:pStyle w:val="11"/>
            </w:pPr>
            <w:r>
              <w:t>9.77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8.67</w:t>
            </w:r>
          </w:p>
        </w:tc>
        <w:tc>
          <w:tcPr>
            <w:tcW w:w="1361" w:type="dxa"/>
            <w:vAlign w:val="center"/>
          </w:tcPr>
          <w:p>
            <w:pPr>
              <w:pStyle w:val="11"/>
            </w:pPr>
            <w:r>
              <w:t>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8.67</w:t>
            </w:r>
          </w:p>
        </w:tc>
        <w:tc>
          <w:tcPr>
            <w:tcW w:w="1361" w:type="dxa"/>
            <w:vAlign w:val="center"/>
          </w:tcPr>
          <w:p>
            <w:pPr>
              <w:pStyle w:val="11"/>
            </w:pPr>
            <w:r>
              <w:t>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8.67</w:t>
            </w:r>
          </w:p>
        </w:tc>
        <w:tc>
          <w:tcPr>
            <w:tcW w:w="1361" w:type="dxa"/>
            <w:vAlign w:val="center"/>
          </w:tcPr>
          <w:p>
            <w:pPr>
              <w:pStyle w:val="11"/>
            </w:pPr>
            <w:r>
              <w:t>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206.26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168.28</w:t>
            </w:r>
          </w:p>
        </w:tc>
        <w:tc>
          <w:tcPr>
            <w:tcW w:w="1474" w:type="dxa"/>
            <w:vAlign w:val="center"/>
          </w:tcPr>
          <w:p>
            <w:pPr>
              <w:pStyle w:val="11"/>
            </w:pPr>
            <w:r>
              <w:t>168.28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29.31</w:t>
            </w:r>
          </w:p>
        </w:tc>
        <w:tc>
          <w:tcPr>
            <w:tcW w:w="1474" w:type="dxa"/>
            <w:vAlign w:val="center"/>
          </w:tcPr>
          <w:p>
            <w:pPr>
              <w:pStyle w:val="11"/>
            </w:pPr>
            <w:r>
              <w:t>29.31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8.67</w:t>
            </w:r>
          </w:p>
        </w:tc>
        <w:tc>
          <w:tcPr>
            <w:tcW w:w="1474" w:type="dxa"/>
            <w:vAlign w:val="center"/>
          </w:tcPr>
          <w:p>
            <w:pPr>
              <w:pStyle w:val="11"/>
            </w:pPr>
            <w:r>
              <w:t>8.67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206.26</w:t>
            </w:r>
          </w:p>
        </w:tc>
        <w:tc>
          <w:tcPr>
            <w:tcW w:w="3402" w:type="dxa"/>
            <w:vAlign w:val="center"/>
          </w:tcPr>
          <w:p>
            <w:pPr>
              <w:pStyle w:val="14"/>
            </w:pPr>
            <w:r>
              <w:t>本年支出合计</w:t>
            </w:r>
          </w:p>
        </w:tc>
        <w:tc>
          <w:tcPr>
            <w:tcW w:w="1474" w:type="dxa"/>
            <w:vAlign w:val="center"/>
          </w:tcPr>
          <w:p>
            <w:pPr>
              <w:pStyle w:val="15"/>
            </w:pPr>
            <w:r>
              <w:t>206.26</w:t>
            </w:r>
          </w:p>
        </w:tc>
        <w:tc>
          <w:tcPr>
            <w:tcW w:w="1474" w:type="dxa"/>
            <w:vAlign w:val="center"/>
          </w:tcPr>
          <w:p>
            <w:pPr>
              <w:pStyle w:val="15"/>
            </w:pPr>
            <w:r>
              <w:t>206.26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206.26</w:t>
            </w:r>
          </w:p>
        </w:tc>
        <w:tc>
          <w:tcPr>
            <w:tcW w:w="3402" w:type="dxa"/>
            <w:vAlign w:val="center"/>
          </w:tcPr>
          <w:p>
            <w:pPr>
              <w:pStyle w:val="14"/>
            </w:pPr>
            <w:r>
              <w:t>支出总计</w:t>
            </w:r>
          </w:p>
        </w:tc>
        <w:tc>
          <w:tcPr>
            <w:tcW w:w="1474" w:type="dxa"/>
            <w:vAlign w:val="center"/>
          </w:tcPr>
          <w:p>
            <w:pPr>
              <w:pStyle w:val="15"/>
            </w:pPr>
            <w:r>
              <w:t>206.26</w:t>
            </w:r>
          </w:p>
        </w:tc>
        <w:tc>
          <w:tcPr>
            <w:tcW w:w="1474" w:type="dxa"/>
            <w:vAlign w:val="center"/>
          </w:tcPr>
          <w:p>
            <w:pPr>
              <w:pStyle w:val="15"/>
            </w:pPr>
            <w:r>
              <w:t>206.26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206.26</w:t>
            </w:r>
          </w:p>
        </w:tc>
        <w:tc>
          <w:tcPr>
            <w:tcW w:w="2551" w:type="dxa"/>
            <w:vAlign w:val="center"/>
          </w:tcPr>
          <w:p>
            <w:pPr>
              <w:pStyle w:val="15"/>
            </w:pPr>
            <w:r>
              <w:t>198.26</w:t>
            </w: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168.28</w:t>
            </w:r>
          </w:p>
        </w:tc>
        <w:tc>
          <w:tcPr>
            <w:tcW w:w="2551" w:type="dxa"/>
            <w:vAlign w:val="center"/>
          </w:tcPr>
          <w:p>
            <w:pPr>
              <w:pStyle w:val="11"/>
            </w:pPr>
            <w:r>
              <w:t>160.28</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168.28</w:t>
            </w:r>
          </w:p>
        </w:tc>
        <w:tc>
          <w:tcPr>
            <w:tcW w:w="2551" w:type="dxa"/>
            <w:vAlign w:val="center"/>
          </w:tcPr>
          <w:p>
            <w:pPr>
              <w:pStyle w:val="11"/>
            </w:pPr>
            <w:r>
              <w:t>160.28</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160.28</w:t>
            </w:r>
          </w:p>
        </w:tc>
        <w:tc>
          <w:tcPr>
            <w:tcW w:w="2551" w:type="dxa"/>
            <w:vAlign w:val="center"/>
          </w:tcPr>
          <w:p>
            <w:pPr>
              <w:pStyle w:val="11"/>
            </w:pPr>
            <w:r>
              <w:t>160.28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2070114</w:t>
            </w:r>
          </w:p>
        </w:tc>
        <w:tc>
          <w:tcPr>
            <w:tcW w:w="4535" w:type="dxa"/>
            <w:vAlign w:val="center"/>
          </w:tcPr>
          <w:p>
            <w:pPr>
              <w:pStyle w:val="12"/>
            </w:pPr>
            <w:r>
              <w:t>文化和旅游管理事务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29.31</w:t>
            </w:r>
          </w:p>
        </w:tc>
        <w:tc>
          <w:tcPr>
            <w:tcW w:w="2551" w:type="dxa"/>
            <w:vAlign w:val="center"/>
          </w:tcPr>
          <w:p>
            <w:pPr>
              <w:pStyle w:val="11"/>
            </w:pPr>
            <w:r>
              <w:t>29.31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29.31</w:t>
            </w:r>
          </w:p>
        </w:tc>
        <w:tc>
          <w:tcPr>
            <w:tcW w:w="2551" w:type="dxa"/>
            <w:vAlign w:val="center"/>
          </w:tcPr>
          <w:p>
            <w:pPr>
              <w:pStyle w:val="11"/>
            </w:pPr>
            <w:r>
              <w:t>29.31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19.54</w:t>
            </w:r>
          </w:p>
        </w:tc>
        <w:tc>
          <w:tcPr>
            <w:tcW w:w="2551" w:type="dxa"/>
            <w:vAlign w:val="center"/>
          </w:tcPr>
          <w:p>
            <w:pPr>
              <w:pStyle w:val="11"/>
            </w:pPr>
            <w:r>
              <w:t>19.54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9.77</w:t>
            </w:r>
          </w:p>
        </w:tc>
        <w:tc>
          <w:tcPr>
            <w:tcW w:w="2551" w:type="dxa"/>
            <w:vAlign w:val="center"/>
          </w:tcPr>
          <w:p>
            <w:pPr>
              <w:pStyle w:val="11"/>
            </w:pPr>
            <w:r>
              <w:t>9.77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198.26</w:t>
            </w:r>
          </w:p>
        </w:tc>
        <w:tc>
          <w:tcPr>
            <w:tcW w:w="2551" w:type="dxa"/>
            <w:vAlign w:val="center"/>
          </w:tcPr>
          <w:p>
            <w:pPr>
              <w:pStyle w:val="15"/>
            </w:pPr>
            <w:r>
              <w:t>181.46</w:t>
            </w:r>
          </w:p>
        </w:tc>
        <w:tc>
          <w:tcPr>
            <w:tcW w:w="2551" w:type="dxa"/>
            <w:vAlign w:val="center"/>
          </w:tcPr>
          <w:p>
            <w:pPr>
              <w:pStyle w:val="15"/>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174.68</w:t>
            </w:r>
          </w:p>
        </w:tc>
        <w:tc>
          <w:tcPr>
            <w:tcW w:w="2551" w:type="dxa"/>
            <w:vAlign w:val="center"/>
          </w:tcPr>
          <w:p>
            <w:pPr>
              <w:pStyle w:val="11"/>
            </w:pPr>
            <w:r>
              <w:t>174.68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64.56</w:t>
            </w:r>
          </w:p>
        </w:tc>
        <w:tc>
          <w:tcPr>
            <w:tcW w:w="2551" w:type="dxa"/>
            <w:vAlign w:val="center"/>
          </w:tcPr>
          <w:p>
            <w:pPr>
              <w:pStyle w:val="11"/>
            </w:pPr>
            <w:r>
              <w:t>64.56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49.48</w:t>
            </w:r>
          </w:p>
        </w:tc>
        <w:tc>
          <w:tcPr>
            <w:tcW w:w="2551" w:type="dxa"/>
            <w:vAlign w:val="center"/>
          </w:tcPr>
          <w:p>
            <w:pPr>
              <w:pStyle w:val="11"/>
            </w:pPr>
            <w:r>
              <w:t>49.48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8.14</w:t>
            </w:r>
          </w:p>
        </w:tc>
        <w:tc>
          <w:tcPr>
            <w:tcW w:w="2551" w:type="dxa"/>
            <w:vAlign w:val="center"/>
          </w:tcPr>
          <w:p>
            <w:pPr>
              <w:pStyle w:val="11"/>
            </w:pPr>
            <w:r>
              <w:t>8.14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5.69</w:t>
            </w:r>
          </w:p>
        </w:tc>
        <w:tc>
          <w:tcPr>
            <w:tcW w:w="2551" w:type="dxa"/>
            <w:vAlign w:val="center"/>
          </w:tcPr>
          <w:p>
            <w:pPr>
              <w:pStyle w:val="11"/>
            </w:pPr>
            <w:r>
              <w:t>5.69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19.54</w:t>
            </w:r>
          </w:p>
        </w:tc>
        <w:tc>
          <w:tcPr>
            <w:tcW w:w="2551" w:type="dxa"/>
            <w:vAlign w:val="center"/>
          </w:tcPr>
          <w:p>
            <w:pPr>
              <w:pStyle w:val="11"/>
            </w:pPr>
            <w:r>
              <w:t>19.54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9.77</w:t>
            </w:r>
          </w:p>
        </w:tc>
        <w:tc>
          <w:tcPr>
            <w:tcW w:w="2551" w:type="dxa"/>
            <w:vAlign w:val="center"/>
          </w:tcPr>
          <w:p>
            <w:pPr>
              <w:pStyle w:val="11"/>
            </w:pPr>
            <w:r>
              <w:t>9.77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7.91</w:t>
            </w:r>
          </w:p>
        </w:tc>
        <w:tc>
          <w:tcPr>
            <w:tcW w:w="2551" w:type="dxa"/>
            <w:vAlign w:val="center"/>
          </w:tcPr>
          <w:p>
            <w:pPr>
              <w:pStyle w:val="11"/>
            </w:pPr>
            <w:r>
              <w:t>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23.58</w:t>
            </w:r>
          </w:p>
        </w:tc>
        <w:tc>
          <w:tcPr>
            <w:tcW w:w="2551" w:type="dxa"/>
            <w:vAlign w:val="center"/>
          </w:tcPr>
          <w:p>
            <w:pPr>
              <w:pStyle w:val="11"/>
            </w:pPr>
            <w:r>
              <w:t>6.78</w:t>
            </w:r>
          </w:p>
        </w:tc>
        <w:tc>
          <w:tcPr>
            <w:tcW w:w="2551"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8.86</w:t>
            </w:r>
          </w:p>
        </w:tc>
        <w:tc>
          <w:tcPr>
            <w:tcW w:w="2551" w:type="dxa"/>
            <w:vAlign w:val="center"/>
          </w:tcPr>
          <w:p>
            <w:pPr>
              <w:pStyle w:val="11"/>
            </w:pPr>
          </w:p>
        </w:tc>
        <w:tc>
          <w:tcPr>
            <w:tcW w:w="2551" w:type="dxa"/>
            <w:vAlign w:val="center"/>
          </w:tcPr>
          <w:p>
            <w:pPr>
              <w:pStyle w:val="11"/>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6.78</w:t>
            </w:r>
          </w:p>
        </w:tc>
        <w:tc>
          <w:tcPr>
            <w:tcW w:w="2551" w:type="dxa"/>
            <w:vAlign w:val="center"/>
          </w:tcPr>
          <w:p>
            <w:pPr>
              <w:pStyle w:val="11"/>
            </w:pPr>
            <w:r>
              <w:t>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lang w:val="en-US"/>
              </w:rPr>
            </w:pPr>
            <w:r>
              <w:rPr>
                <w:rFonts w:hint="eastAsia"/>
                <w:lang w:val="en-US" w:eastAsia="zh-CN"/>
              </w:rPr>
              <w:t>5.5</w:t>
            </w:r>
          </w:p>
        </w:tc>
        <w:tc>
          <w:tcPr>
            <w:tcW w:w="2381" w:type="dxa"/>
            <w:vAlign w:val="center"/>
          </w:tcPr>
          <w:p>
            <w:pPr>
              <w:pStyle w:val="15"/>
              <w:rPr>
                <w:rFonts w:hint="default"/>
                <w:lang w:val="en-US"/>
              </w:rPr>
            </w:pPr>
            <w:r>
              <w:rPr>
                <w:rFonts w:hint="eastAsia"/>
                <w:lang w:val="en-US" w:eastAsia="zh-CN"/>
              </w:rPr>
              <w:t>5.5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vAlign w:val="center"/>
          </w:tcPr>
          <w:p>
            <w:pPr>
              <w:pStyle w:val="12"/>
            </w:pPr>
            <w:r>
              <w:t xml:space="preserve">          公务用车运行维护费</w:t>
            </w:r>
          </w:p>
        </w:tc>
        <w:tc>
          <w:tcPr>
            <w:tcW w:w="2382" w:type="dxa"/>
            <w:vAlign w:val="center"/>
          </w:tcPr>
          <w:p>
            <w:pPr>
              <w:pStyle w:val="11"/>
              <w:rPr>
                <w:rFonts w:hint="default"/>
                <w:lang w:val="en-US"/>
              </w:rPr>
            </w:pPr>
            <w:r>
              <w:rPr>
                <w:rFonts w:hint="eastAsia"/>
                <w:lang w:val="en-US" w:eastAsia="zh-CN"/>
              </w:rPr>
              <w:t>3.5</w:t>
            </w:r>
          </w:p>
        </w:tc>
        <w:tc>
          <w:tcPr>
            <w:tcW w:w="2381" w:type="dxa"/>
            <w:vAlign w:val="center"/>
          </w:tcPr>
          <w:p>
            <w:pPr>
              <w:pStyle w:val="11"/>
              <w:rPr>
                <w:rFonts w:hint="default"/>
                <w:lang w:val="en-US"/>
              </w:rPr>
            </w:pPr>
            <w:r>
              <w:rPr>
                <w:rFonts w:hint="eastAsia"/>
                <w:lang w:val="en-US" w:eastAsia="zh-CN"/>
              </w:rPr>
              <w:t>3.5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vAlign w:val="center"/>
          </w:tcPr>
          <w:p>
            <w:pPr>
              <w:pStyle w:val="12"/>
            </w:pPr>
            <w:r>
              <w:t>三、公务接待费</w:t>
            </w:r>
          </w:p>
        </w:tc>
        <w:tc>
          <w:tcPr>
            <w:tcW w:w="2382" w:type="dxa"/>
            <w:vAlign w:val="center"/>
          </w:tcPr>
          <w:p>
            <w:pPr>
              <w:pStyle w:val="11"/>
              <w:rPr>
                <w:rFonts w:hint="default"/>
                <w:lang w:val="en-US"/>
              </w:rPr>
            </w:pPr>
            <w:r>
              <w:rPr>
                <w:rFonts w:hint="eastAsia"/>
                <w:lang w:val="en-US" w:eastAsia="zh-CN"/>
              </w:rPr>
              <w:t>2</w:t>
            </w:r>
          </w:p>
        </w:tc>
        <w:tc>
          <w:tcPr>
            <w:tcW w:w="2381" w:type="dxa"/>
            <w:vAlign w:val="center"/>
          </w:tcPr>
          <w:p>
            <w:pPr>
              <w:pStyle w:val="11"/>
              <w:rPr>
                <w:rFonts w:hint="eastAsia" w:eastAsia="方正书宋_GBK"/>
                <w:lang w:val="en-US" w:eastAsia="zh-CN"/>
              </w:rPr>
            </w:pPr>
            <w:r>
              <w:rPr>
                <w:rFonts w:hint="eastAsia"/>
                <w:lang w:val="en-US" w:eastAsia="zh-CN"/>
              </w:rPr>
              <w:t>2</w:t>
            </w: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涞源县白石山景区管理委员会2023年部门预算信息公开情况说明</w:t>
      </w:r>
    </w:p>
    <w:p>
      <w:pPr>
        <w:jc w:val="center"/>
      </w:pPr>
      <w:r>
        <w:rPr>
          <w:rFonts w:ascii="方正小标宋_GBK" w:hAnsi="方正小标宋_GBK" w:eastAsia="方正小标宋_GBK" w:cs="方正小标宋_GBK"/>
          <w:color w:val="000000"/>
          <w:sz w:val="44"/>
        </w:rPr>
        <w:t>涞源县白石山景区管理委员会2023年部门预算信息公开情况说明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r>
        <w:rPr>
          <w:rFonts w:hint="eastAsia" w:eastAsia="方正仿宋_GBK"/>
          <w:color w:val="000000"/>
          <w:sz w:val="28"/>
        </w:rPr>
        <w:t>预算法</w:t>
      </w:r>
      <w:bookmarkEnd w:id="18"/>
      <w:r>
        <w:rPr>
          <w:rFonts w:eastAsia="方正仿宋_GBK"/>
          <w:color w:val="000000"/>
          <w:sz w:val="28"/>
        </w:rPr>
        <w:t>》、《地方预决算公开操作规程》和《关于进一步推进预算公开工作的实施意见》规定，现将涞源县白石山景区管理委员会2023年部门预算公开如下：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根据《涞源县白石山景区管理委员会职能配置、内设机构和人员编制规定》，涞源县白石山景区管理委员会的主要职责是：</w:t>
      </w:r>
    </w:p>
    <w:p>
      <w:pPr>
        <w:pStyle w:val="17"/>
      </w:pPr>
      <w:r>
        <w:t>中共涞源县白石山景区工作委员会主要职责是:贯彻落实党的路线、方针、政策和上级党委的决议、指示;研究区内重大经济社会发展问题:按照授权和干部管理权限负责区内干部管理;负责区内党的建设和其他党务工作;负责宣传和精神文明建设工作;组织协调区内社会管理综合治理和维护稳定工作;负责党的纪律检查工作;负责工会、共青团、妇联等群团工作;完成中共涞源县委交办的其他任务。</w:t>
      </w:r>
    </w:p>
    <w:p>
      <w:pPr>
        <w:pStyle w:val="17"/>
      </w:pPr>
      <w:r>
        <w:t>涞源县白石山景区管理委员会主要职责是:编制景区及涞源县旅游业的总体规划和经济、社会发展规划，经批准后组织实施;编制景区区域性城市发展规划、国土利用规划，经批准后组织实施;负责涞源县文物管理工作:负责涞源县旅游业的统一规划、开发、建设和管理；审批或审核景区固定资产投资项目；保护景区及涞源县域旅游景点的自然环境、人文环境和历史文化遗迹；负责景区基础设施和公用设施的建设和管理;审查监督各类建设项目；负责景区及涞源县域旅游景点的综合执法协调和旅游行业、旅游市场失序的规范、监督、管理工作；负责管理和使用景区建设发展专项基金；负责景区招商引资和经济技术合作工作；负责景区安全生产监督管理工作；负责景区食品药品安全监督管理工作；负责景区教育、文化、人口和计划生育等社会事务管理工作；负责协调辖区内上级有关部门派驻机构的二作；负责涞源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涞源县白石山景区管理委员会本级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按照预算管理有关规定，目前我县部门的编制实行综合预算管理，即全部收入和支出都反映在预算中。涞源县白石山景区管理委员会机关及所属事业单位的收支包含在部门预算中。</w:t>
      </w:r>
    </w:p>
    <w:p>
      <w:pPr>
        <w:pStyle w:val="18"/>
      </w:pPr>
      <w:r>
        <w:t>1、收入说明</w:t>
      </w:r>
    </w:p>
    <w:p>
      <w:pPr>
        <w:pStyle w:val="18"/>
        <w:rPr>
          <w:rFonts w:hint="eastAsia" w:eastAsia="方正仿宋_GBK"/>
          <w:lang w:val="en-US" w:eastAsia="zh-CN"/>
        </w:rPr>
      </w:pPr>
      <w:r>
        <w:t>反映本部门当年全部收入。2023年预算收入206.26万元，其中：一般公共预算收入206.26万元</w:t>
      </w:r>
      <w:r>
        <w:rPr>
          <w:rFonts w:hint="eastAsia"/>
          <w:lang w:eastAsia="zh-CN"/>
        </w:rPr>
        <w:t>。</w:t>
      </w:r>
    </w:p>
    <w:p>
      <w:pPr>
        <w:pStyle w:val="18"/>
      </w:pPr>
      <w:r>
        <w:t>2、支出说明</w:t>
      </w:r>
    </w:p>
    <w:p>
      <w:pPr>
        <w:pStyle w:val="18"/>
      </w:pPr>
      <w:r>
        <w:t>收支预算总表支出栏、基本支出表、项目支出表按经济分类和支出功能分类科目编制，反映涞源县白石山景区管理委员会2023年度部门预算中支出预算的总体情况。2023年支出预算206.26万元，其中：基本支出198.26万元，包括：人员类项目经费181.46万元和日常公用经费16.8万元，项目支出8万元主要为特定目标类项目。</w:t>
      </w:r>
    </w:p>
    <w:p>
      <w:pPr>
        <w:pStyle w:val="18"/>
      </w:pPr>
      <w:r>
        <w:t>3、比上年增减情况</w:t>
      </w:r>
    </w:p>
    <w:p>
      <w:pPr>
        <w:pStyle w:val="18"/>
      </w:pPr>
      <w:r>
        <w:t>2023年预算收支安排206.26万元，较2022预算增加58.47万元，其中基本支出增加65.47万元，主要增加因是2022年调入4人，人员经费增加；项目支出减少7万元，主要是2023年没有开办费支出。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2023年，我部门运行经费共计安排16.8万元，其中办公费</w:t>
      </w:r>
      <w:r>
        <w:rPr>
          <w:rFonts w:hint="eastAsia"/>
          <w:lang w:val="en-US" w:eastAsia="zh-CN"/>
        </w:rPr>
        <w:t>9.44</w:t>
      </w:r>
      <w:r>
        <w:t>万，电费</w:t>
      </w:r>
      <w:r>
        <w:rPr>
          <w:rFonts w:hint="eastAsia"/>
          <w:lang w:val="en-US" w:eastAsia="zh-CN"/>
        </w:rPr>
        <w:t>0.5</w:t>
      </w:r>
      <w:r>
        <w:t>万元，邮电费</w:t>
      </w:r>
      <w:r>
        <w:rPr>
          <w:rFonts w:hint="eastAsia"/>
          <w:lang w:val="en-US" w:eastAsia="zh-CN"/>
        </w:rPr>
        <w:t>0.36</w:t>
      </w:r>
      <w:r>
        <w:t>万元，差旅费1万元，公务接待费2万元，公务用车运行维护费</w:t>
      </w:r>
      <w:r>
        <w:rPr>
          <w:rFonts w:hint="eastAsia"/>
          <w:lang w:val="en-US" w:eastAsia="zh-CN"/>
        </w:rPr>
        <w:t>3.5</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2023年，我部门财政拨款“三公”经费预算安排5.5万元，其中：因公出国（境）费0万元；公务用车购置及运维费3.5万元（其中：公务用车购置费0万元，公务用车运行维护费3.5万元)；公务接待费2万元。与2022年相比</w:t>
      </w:r>
      <w:r>
        <w:rPr>
          <w:rFonts w:hint="eastAsia"/>
          <w:lang w:eastAsia="zh-CN"/>
        </w:rPr>
        <w:t>没有变化</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总体绩效目标</w:t>
      </w:r>
    </w:p>
    <w:p>
      <w:pPr>
        <w:pStyle w:val="21"/>
      </w:pPr>
      <w:r>
        <w:t>1、狠抓《条例》贯彻落实，在景区依法治理上取得新突破。</w:t>
      </w:r>
    </w:p>
    <w:p>
      <w:pPr>
        <w:pStyle w:val="21"/>
      </w:pPr>
      <w:r>
        <w:t>2、抓狠制度纪律落实，在加强党的建设上取得新突破。</w:t>
      </w:r>
    </w:p>
    <w:p>
      <w:pPr>
        <w:pStyle w:val="21"/>
      </w:pPr>
      <w:r>
        <w:t>3、抓好经营机制创新，在理顺管理体制上取得新突破。</w:t>
      </w:r>
    </w:p>
    <w:p>
      <w:pPr>
        <w:pStyle w:val="21"/>
      </w:pPr>
      <w:r>
        <w:t>4、抓好景区龙头带动，在助力乡村振兴上取得新突破，</w:t>
      </w:r>
    </w:p>
    <w:p>
      <w:pPr>
        <w:pStyle w:val="21"/>
      </w:pPr>
      <w:r>
        <w:t>5、抓好旅游营销活动，在旅游品牌创建上取得新突破。</w:t>
      </w:r>
    </w:p>
    <w:p>
      <w:pPr>
        <w:pStyle w:val="21"/>
      </w:pPr>
      <w:r>
        <w:t>6、抓好地球科学论坛，在景区业态创新上取得新突破，</w:t>
      </w:r>
    </w:p>
    <w:p>
      <w:pPr>
        <w:pStyle w:val="21"/>
      </w:pPr>
      <w:r>
        <w:t>7、抓好总体规划修编，在科学管理景区上取得新突破。</w:t>
      </w:r>
    </w:p>
    <w:p>
      <w:pPr>
        <w:pStyle w:val="21"/>
      </w:pPr>
      <w:r>
        <w:t>8、抓好植物资源调查，在自然资源保护上取得新突破。</w:t>
      </w:r>
    </w:p>
    <w:p>
      <w:pPr>
        <w:spacing w:line="500" w:lineRule="exact"/>
        <w:ind w:firstLine="560"/>
      </w:pPr>
      <w:r>
        <w:rPr>
          <w:rFonts w:eastAsia="方正仿宋_GBK"/>
          <w:color w:val="000000"/>
          <w:sz w:val="28"/>
        </w:rPr>
        <w:t>（二）分项绩效目标</w:t>
      </w:r>
    </w:p>
    <w:p>
      <w:pPr>
        <w:pStyle w:val="22"/>
      </w:pPr>
      <w:r>
        <w:t>1.景区依法治理上取得新突破</w:t>
      </w:r>
    </w:p>
    <w:p>
      <w:pPr>
        <w:pStyle w:val="22"/>
      </w:pPr>
      <w:r>
        <w:t>绩效目标:一是抓好《条例》的统筹落实工作。二是组织成立景区综合执法队，对风凉山庄步行街两侧经营秩序进行规范化管理，严防出现拦车拉客、私停乱放等行为，游客投诉量明显下降，提升依法依规管理和治理水平。三是加大《条例》宣传力度，利用各种媒介和手段，营造浓厚宣传氛围。四是狠抓安全生产工作，加强防火巡查、疫情监管和隐患排查，确保安全生产万无一失。</w:t>
      </w:r>
    </w:p>
    <w:p>
      <w:pPr>
        <w:pStyle w:val="22"/>
      </w:pPr>
      <w:r>
        <w:t>绩效指标:景区依法治理工作全年完成率达到 100%。</w:t>
      </w:r>
    </w:p>
    <w:p>
      <w:pPr>
        <w:pStyle w:val="22"/>
      </w:pPr>
      <w:r>
        <w:t>2.抓好景区龙头带动.</w:t>
      </w:r>
    </w:p>
    <w:p>
      <w:pPr>
        <w:pStyle w:val="22"/>
      </w:pPr>
      <w:r>
        <w:t>绩效目标:一是加强白石山景区的科学管理和规范运营;二是实施白石山景区东门改造提升工程。三是持续巩固省旅发大会成果，充分发挥白石山景区龙头带动作用，服务发展景区周边新业态项目及旅游农家院建设，积极组织旅游管理及从业人员业务培训，全面提升白石山景区及全县旅游服务水平,促进发展乡村旅游，助力实现乡村振兴。</w:t>
      </w:r>
    </w:p>
    <w:p>
      <w:pPr>
        <w:pStyle w:val="22"/>
      </w:pPr>
      <w:r>
        <w:t>绩效指标:力争年接待游客达到 80万人次，营业收入突破1亿元。</w:t>
      </w:r>
    </w:p>
    <w:p>
      <w:pPr>
        <w:pStyle w:val="22"/>
      </w:pPr>
      <w:r>
        <w:t>3.抓好旅游营销活动，在旅游品牌创建上取得新突破。</w:t>
      </w:r>
    </w:p>
    <w:p>
      <w:pPr>
        <w:pStyle w:val="22"/>
      </w:pPr>
      <w:r>
        <w:t>绩效目标:一是整合提升现有节庆活动;二是加大旅游文物市场开发力度。三是加大宣传促销力度。建立白石山景区管理委员会公众号，整合白石山、华中、七山、涞源湖等景区官方公众号、微博、抖音等媒体平台资源，建成各景区、企业抱团共享、互助互赢的旅游宣传营销结合体。</w:t>
      </w:r>
    </w:p>
    <w:p>
      <w:pPr>
        <w:pStyle w:val="22"/>
      </w:pPr>
      <w:r>
        <w:t>绩效指标:宣传涞源县整体知名度达到 90%。</w:t>
      </w:r>
    </w:p>
    <w:p>
      <w:pPr>
        <w:spacing w:line="500" w:lineRule="exact"/>
        <w:ind w:firstLine="560"/>
      </w:pPr>
      <w:r>
        <w:rPr>
          <w:rFonts w:eastAsia="方正仿宋_GBK"/>
          <w:color w:val="000000"/>
          <w:sz w:val="28"/>
        </w:rPr>
        <w:t>（三）工作保障措施</w:t>
      </w:r>
    </w:p>
    <w:p>
      <w:pPr>
        <w:pStyle w:val="23"/>
      </w:pPr>
      <w:r>
        <w:t>1、完善制度建设。</w:t>
      </w:r>
    </w:p>
    <w:p>
      <w:pPr>
        <w:pStyle w:val="23"/>
      </w:pPr>
      <w:r>
        <w:t>制定《专项资金管理办法》，为全年预算绩效目标的实现奠定制度基础。</w:t>
      </w:r>
    </w:p>
    <w:p>
      <w:pPr>
        <w:pStyle w:val="23"/>
      </w:pPr>
      <w:r>
        <w:t>2、加强支出管理。</w:t>
      </w:r>
    </w:p>
    <w:p>
      <w:pPr>
        <w:pStyle w:val="23"/>
      </w:pPr>
      <w:r>
        <w:t>我单位通过优化支出结构、编细编实预算、加快履行政府采购手续、尽快启动项目、及时支付资金、6月底前细化代编预算、按规定及时下达资金等多种措施，确保支出进度达标。</w:t>
      </w:r>
    </w:p>
    <w:p>
      <w:pPr>
        <w:pStyle w:val="23"/>
      </w:pPr>
      <w:r>
        <w:t>3、加强绩效运行监控。</w:t>
      </w:r>
    </w:p>
    <w:p>
      <w:pPr>
        <w:pStyle w:val="23"/>
      </w:pPr>
      <w:r>
        <w:t>我单位按要求开展了绩效运行监控，发现问题及时采取措施，确保绩效目标如期保质实现。</w:t>
      </w:r>
    </w:p>
    <w:p>
      <w:pPr>
        <w:pStyle w:val="23"/>
      </w:pPr>
      <w:r>
        <w:t>4、做好绩效自评。</w:t>
      </w:r>
    </w:p>
    <w:p>
      <w:pPr>
        <w:pStyle w:val="23"/>
      </w:pPr>
      <w:r>
        <w:t>我单位按要求开展上年度部门预算绩效自评和重点评价工作，对评价中发现的问题及时整改，调整优化支出结构，提高财政资金使用效益。</w:t>
      </w:r>
    </w:p>
    <w:p>
      <w:pPr>
        <w:pStyle w:val="23"/>
      </w:pPr>
      <w:r>
        <w:t>5、规范财务资产管理。</w:t>
      </w:r>
    </w:p>
    <w:p>
      <w:pPr>
        <w:pStyle w:val="23"/>
      </w:pPr>
      <w:r>
        <w:t>完善财务管理制度，严格审批程序，加强固定资产登记、使用和报废处。置管理，做到支出合理，物尽其用。</w:t>
      </w:r>
    </w:p>
    <w:p>
      <w:pPr>
        <w:pStyle w:val="23"/>
      </w:pPr>
      <w:r>
        <w:t>6、加强内部监督。</w:t>
      </w:r>
    </w:p>
    <w:p>
      <w:pPr>
        <w:pStyle w:val="23"/>
      </w:pPr>
      <w:r>
        <w:t>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3"/>
      </w:pPr>
      <w:r>
        <w:t>7、加强宣传宣传培训调研等。</w:t>
      </w:r>
    </w:p>
    <w:p>
      <w:pPr>
        <w:pStyle w:val="23"/>
      </w:pPr>
      <w:r>
        <w:t>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1、涞源县白石山景区管理委员会专项经费8万元绩效目标表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2835" w:type="dxa"/>
            <w:vAlign w:val="center"/>
          </w:tcPr>
          <w:p>
            <w:pPr>
              <w:pStyle w:val="12"/>
            </w:pPr>
            <w:r>
              <w:t>覆盖率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项目按期结项率（%）</w:t>
            </w:r>
          </w:p>
        </w:tc>
        <w:tc>
          <w:tcPr>
            <w:tcW w:w="2835" w:type="dxa"/>
            <w:vAlign w:val="center"/>
          </w:tcPr>
          <w:p>
            <w:pPr>
              <w:pStyle w:val="12"/>
            </w:pPr>
            <w:r>
              <w:t>项目按期结项率（%）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任务完成及时率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完好率（%）</w:t>
            </w:r>
          </w:p>
        </w:tc>
        <w:tc>
          <w:tcPr>
            <w:tcW w:w="2835" w:type="dxa"/>
            <w:vAlign w:val="center"/>
          </w:tcPr>
          <w:p>
            <w:pPr>
              <w:pStyle w:val="12"/>
            </w:pPr>
            <w:r>
              <w:t>完好率（%）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项目复测率</w:t>
            </w:r>
          </w:p>
        </w:tc>
        <w:tc>
          <w:tcPr>
            <w:tcW w:w="2835" w:type="dxa"/>
            <w:vAlign w:val="center"/>
          </w:tcPr>
          <w:p>
            <w:pPr>
              <w:pStyle w:val="12"/>
            </w:pPr>
            <w:r>
              <w:t>项目复测率</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≥100%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2023年，涞源县白石山景区管理委员会安排政府采购预算0.00万元。具体内容见下表。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涞源县白石山景区管理委员会（含所属单位）上年末固定资产金额为7.84万元（详见下表）。本年度拟购置固定资产总额为0.00万元，已按要求列入政府采购预算，详见政府采购预算表。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813涞源县白石山景区管理委员会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74</w:t>
            </w:r>
          </w:p>
        </w:tc>
        <w:tc>
          <w:tcPr>
            <w:tcW w:w="2835" w:type="dxa"/>
            <w:vAlign w:val="center"/>
          </w:tcPr>
          <w:p>
            <w:pPr>
              <w:pStyle w:val="11"/>
            </w:pPr>
            <w:r>
              <w:t>7.84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JkMzE0NWQ1ODJhOGNhM2MxNjk5NjIwZGJlNTRlNTEifQ=="/>
  </w:docVars>
  <w:rsids>
    <w:rsidRoot w:val="004425BB"/>
    <w:rsid w:val="000026BC"/>
    <w:rsid w:val="004425BB"/>
    <w:rsid w:val="00685573"/>
    <w:rsid w:val="057C19CF"/>
    <w:rsid w:val="090D52BF"/>
    <w:rsid w:val="0FCD3553"/>
    <w:rsid w:val="102869DB"/>
    <w:rsid w:val="155B33AF"/>
    <w:rsid w:val="20816E82"/>
    <w:rsid w:val="211E264E"/>
    <w:rsid w:val="32E817DB"/>
    <w:rsid w:val="3F8F1074"/>
    <w:rsid w:val="437E6337"/>
    <w:rsid w:val="4B55797D"/>
    <w:rsid w:val="50DE21C3"/>
    <w:rsid w:val="55E3645B"/>
    <w:rsid w:val="5ACD648D"/>
    <w:rsid w:val="5CF13462"/>
    <w:rsid w:val="68DC1286"/>
    <w:rsid w:val="718C09B4"/>
    <w:rsid w:val="719941B8"/>
    <w:rsid w:val="7B0408F4"/>
    <w:rsid w:val="7D032E2D"/>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2023-03-08T16:58:54Z</dcterms:created>
  <dcterms:modified xsi:type="dcterms:W3CDTF">2023-03-08T08:58:54Z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2023-03-08T16:58:49Z</dcterms:created>
  <dcterms:modified xsi:type="dcterms:W3CDTF">2023-03-08T08:58:49Z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2023-03-08T16:58:50Z</dcterms:created>
  <dcterms:modified xsi:type="dcterms:W3CDTF">2023-03-08T08:58:50Z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2023-03-08T16:58:49Z</dcterms:created>
  <dcterms:modified xsi:type="dcterms:W3CDTF">2023-03-08T08:58:49Z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2023-03-08T16:58:54Z</dcterms:created>
  <dcterms:modified xsi:type="dcterms:W3CDTF">2023-03-08T08:58:54Z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2023-03-08T16:58:49Z</dcterms:created>
  <dcterms:modified xsi:type="dcterms:W3CDTF">2023-03-08T08:58:49Z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2023-03-08T16:58:53Z</dcterms:created>
  <dcterms:modified xsi:type="dcterms:W3CDTF">2023-03-08T08:58:53Z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D731F0-2A08-45B2-A233-DC04632D6366}">
  <ds:schemaRefs/>
</ds:datastoreItem>
</file>

<file path=customXml/itemProps10.xml><?xml version="1.0" encoding="utf-8"?>
<ds:datastoreItem xmlns:ds="http://schemas.openxmlformats.org/officeDocument/2006/customXml" ds:itemID="{7DFEDC1A-E00F-464D-A99F-01F4DF2B9653}">
  <ds:schemaRefs/>
</ds:datastoreItem>
</file>

<file path=customXml/itemProps11.xml><?xml version="1.0" encoding="utf-8"?>
<ds:datastoreItem xmlns:ds="http://schemas.openxmlformats.org/officeDocument/2006/customXml" ds:itemID="{E85E81D8-C425-4E33-B5E3-EF8871C109BB}">
  <ds:schemaRefs/>
</ds:datastoreItem>
</file>

<file path=customXml/itemProps12.xml><?xml version="1.0" encoding="utf-8"?>
<ds:datastoreItem xmlns:ds="http://schemas.openxmlformats.org/officeDocument/2006/customXml" ds:itemID="{3E0D9DEB-3E7B-4DAB-82BB-B5F88A8B961E}">
  <ds:schemaRefs/>
</ds:datastoreItem>
</file>

<file path=customXml/itemProps13.xml><?xml version="1.0" encoding="utf-8"?>
<ds:datastoreItem xmlns:ds="http://schemas.openxmlformats.org/officeDocument/2006/customXml" ds:itemID="{7720FCEE-E389-4E50-8CDE-55FA473BDA9C}">
  <ds:schemaRefs/>
</ds:datastoreItem>
</file>

<file path=customXml/itemProps14.xml><?xml version="1.0" encoding="utf-8"?>
<ds:datastoreItem xmlns:ds="http://schemas.openxmlformats.org/officeDocument/2006/customXml" ds:itemID="{AD231E13-9DE1-469B-8F82-8D4F278718B1}">
  <ds:schemaRefs/>
</ds:datastoreItem>
</file>

<file path=customXml/itemProps2.xml><?xml version="1.0" encoding="utf-8"?>
<ds:datastoreItem xmlns:ds="http://schemas.openxmlformats.org/officeDocument/2006/customXml" ds:itemID="{533A16EB-99AF-42EB-BD7C-2D798CC591F7}">
  <ds:schemaRefs/>
</ds:datastoreItem>
</file>

<file path=customXml/itemProps3.xml><?xml version="1.0" encoding="utf-8"?>
<ds:datastoreItem xmlns:ds="http://schemas.openxmlformats.org/officeDocument/2006/customXml" ds:itemID="{D11A6332-273B-440C-A1E8-644974569088}">
  <ds:schemaRefs/>
</ds:datastoreItem>
</file>

<file path=customXml/itemProps4.xml><?xml version="1.0" encoding="utf-8"?>
<ds:datastoreItem xmlns:ds="http://schemas.openxmlformats.org/officeDocument/2006/customXml" ds:itemID="{C36C5D2F-79A5-46C0-A0BD-E691AA0F9503}">
  <ds:schemaRefs/>
</ds:datastoreItem>
</file>

<file path=customXml/itemProps5.xml><?xml version="1.0" encoding="utf-8"?>
<ds:datastoreItem xmlns:ds="http://schemas.openxmlformats.org/officeDocument/2006/customXml" ds:itemID="{99E49C1A-7018-4D44-B312-E9F3469EB92B}">
  <ds:schemaRefs/>
</ds:datastoreItem>
</file>

<file path=customXml/itemProps6.xml><?xml version="1.0" encoding="utf-8"?>
<ds:datastoreItem xmlns:ds="http://schemas.openxmlformats.org/officeDocument/2006/customXml" ds:itemID="{BC6F2FB1-74AC-4390-BA8E-652A14EA29CF}">
  <ds:schemaRefs/>
</ds:datastoreItem>
</file>

<file path=customXml/itemProps7.xml><?xml version="1.0" encoding="utf-8"?>
<ds:datastoreItem xmlns:ds="http://schemas.openxmlformats.org/officeDocument/2006/customXml" ds:itemID="{F3EEDF6C-91AA-4C9D-98AB-E801B384739C}">
  <ds:schemaRefs/>
</ds:datastoreItem>
</file>

<file path=customXml/itemProps8.xml><?xml version="1.0" encoding="utf-8"?>
<ds:datastoreItem xmlns:ds="http://schemas.openxmlformats.org/officeDocument/2006/customXml" ds:itemID="{94205522-0808-4821-9AD7-F8BEC208BA75}">
  <ds:schemaRefs/>
</ds:datastoreItem>
</file>

<file path=customXml/itemProps9.xml><?xml version="1.0" encoding="utf-8"?>
<ds:datastoreItem xmlns:ds="http://schemas.openxmlformats.org/officeDocument/2006/customXml" ds:itemID="{2F8D4753-35A6-4D5F-9D22-C5C00016B63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6877</Words>
  <Characters>7996</Characters>
  <Lines>136</Lines>
  <Paragraphs>38</Paragraphs>
  <TotalTime>2</TotalTime>
  <ScaleCrop>false</ScaleCrop>
  <LinksUpToDate>false</LinksUpToDate>
  <CharactersWithSpaces>8153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2023-03-08T16:58:00Z</dcterms:created>
  <dc:creator>Administrator</dc:creator>
  <cp:lastModifiedBy>春天</cp:lastModifiedBy>
  <dcterms:modified xsi:type="dcterms:W3CDTF">2024-06-04T00:38:47Z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1B28ED0C89A64852B1189F6B7A3B1127_12</vt:lpwstr>
  </property>
</Properties>
</file>