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简体" w:hAnsi="方正小标宋简体" w:eastAsia="方正小标宋简体" w:cs="方正小标宋简体"/>
          <w:b w:val="0"/>
          <w:bCs w:val="0"/>
          <w:color w:val="auto"/>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val="0"/>
          <w:color w:val="auto"/>
          <w:kern w:val="2"/>
          <w:sz w:val="44"/>
          <w:szCs w:val="44"/>
          <w:shd w:val="clear" w:color="auto" w:fill="FFFFFF"/>
          <w:lang w:val="en-US" w:eastAsia="zh-CN" w:bidi="ar-SA"/>
        </w:rPr>
        <w:t>涞源县白石山景区管理委员会2023年政府信息公开年度报告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方正小标宋简体" w:hAnsi="方正小标宋简体" w:eastAsia="方正小标宋简体" w:cs="方正小标宋简体"/>
          <w:b w:val="0"/>
          <w:bCs w:val="0"/>
          <w:color w:val="auto"/>
          <w:kern w:val="2"/>
          <w:sz w:val="44"/>
          <w:szCs w:val="44"/>
          <w:shd w:val="clear" w:color="auto" w:fill="FFFFFF"/>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宋体" w:eastAsia="仿宋_GB2312" w:cs="仿宋_GB2312"/>
          <w:i w:val="0"/>
          <w:iCs w:val="0"/>
          <w:caps w:val="0"/>
          <w:color w:val="auto"/>
          <w:spacing w:val="0"/>
          <w:sz w:val="32"/>
          <w:szCs w:val="32"/>
          <w:shd w:val="clear" w:fill="FFFFFF"/>
        </w:rPr>
        <w:t>白石山景区管理委员会是县委、县政府派出机构，主要负责白石山、仙人峪、空中草原等三个景区的建设、管理和开发工作，履行白石山风景名胜区管理和服务职能，主要的工作依据是《河北省风景名胜区条例》《保定市白石山景区管理条例》《白石山景区管理办法》。2023年是贯彻落实党的</w:t>
      </w:r>
      <w:bookmarkStart w:id="0" w:name="_GoBack"/>
      <w:bookmarkEnd w:id="0"/>
      <w:r>
        <w:rPr>
          <w:rFonts w:hint="eastAsia" w:ascii="仿宋_GB2312" w:hAnsi="宋体" w:eastAsia="仿宋_GB2312" w:cs="仿宋_GB2312"/>
          <w:i w:val="0"/>
          <w:iCs w:val="0"/>
          <w:caps w:val="0"/>
          <w:color w:val="auto"/>
          <w:spacing w:val="0"/>
          <w:sz w:val="32"/>
          <w:szCs w:val="32"/>
          <w:shd w:val="clear" w:fill="FFFFFF"/>
        </w:rPr>
        <w:t>二十大精神的第一年，是落实“十四五”规划的关键一年，白石山景区管理委员会以习近平新时代中国特色社会主义思想为指导，深入贯彻落实县委十四届四次全会精神，围绕县委、县政府提出的“建设新时代经济强县、品质涞源”奋斗目标，立足建设“高品质有韧性现代化的旅游城市”，对标“打造文化旅游强县”，探索“旅游发展全域化、旅游供给品质化、旅游治理规范化、旅游效益最大化”的乐享涞源新篇章，以“山水涞源、生态凉城”建设为抓手，以“深化改革、强化管理、细化服务、优化环境”为主线，坚持“山岳带山地、山地带城镇”，奋力将白石山打造成为“河北名山、中国名山、世界名山”，实现景区收入、经济效益、社会效益全面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bCs/>
          <w:i w:val="0"/>
          <w:iCs w:val="0"/>
          <w:caps w:val="0"/>
          <w:color w:val="333333"/>
          <w:spacing w:val="0"/>
          <w:sz w:val="32"/>
          <w:szCs w:val="32"/>
          <w:shd w:val="clear" w:fill="FFFFFF"/>
        </w:rPr>
      </w:pPr>
      <w:r>
        <w:rPr>
          <w:rFonts w:hint="eastAsia" w:ascii="黑体" w:hAnsi="黑体" w:eastAsia="黑体" w:cs="黑体"/>
          <w:b/>
          <w:bCs/>
          <w:i w:val="0"/>
          <w:iCs w:val="0"/>
          <w:caps w:val="0"/>
          <w:color w:val="333333"/>
          <w:spacing w:val="0"/>
          <w:sz w:val="32"/>
          <w:szCs w:val="32"/>
          <w:shd w:val="clear" w:fill="FFFFFF"/>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24"/>
          <w:szCs w:val="24"/>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本年</w:t>
            </w:r>
            <w:r>
              <w:rPr>
                <w:rFonts w:hint="eastAsia" w:ascii="仿宋" w:hAnsi="仿宋" w:eastAsia="仿宋" w:cs="仿宋"/>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现行有效件</w:t>
            </w:r>
            <w:r>
              <w:rPr>
                <w:rFonts w:hint="eastAsia" w:ascii="仿宋" w:hAnsi="仿宋" w:eastAsia="仿宋" w:cs="仿宋"/>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lang w:val="en-US"/>
              </w:rPr>
            </w:pPr>
            <w:r>
              <w:rPr>
                <w:rFonts w:hint="eastAsia" w:ascii="仿宋" w:hAnsi="仿宋" w:eastAsia="仿宋" w:cs="仿宋"/>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 w:hAnsi="仿宋" w:eastAsia="仿宋" w:cs="仿宋"/>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4"/>
                <w:szCs w:val="24"/>
              </w:rPr>
            </w:pPr>
          </w:p>
        </w:tc>
        <w:tc>
          <w:tcPr>
            <w:tcW w:w="688" w:type="dxa"/>
            <w:vMerge w:val="restart"/>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4"/>
                <w:szCs w:val="24"/>
              </w:rPr>
            </w:pPr>
          </w:p>
        </w:tc>
        <w:tc>
          <w:tcPr>
            <w:tcW w:w="688" w:type="dxa"/>
            <w:vMerge w:val="continue"/>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rPr>
            </w:pPr>
            <w:r>
              <w:rPr>
                <w:rFonts w:hint="eastAsia" w:ascii="仿宋" w:hAnsi="仿宋" w:eastAsia="仿宋" w:cs="仿宋"/>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68" w:type="dxa"/>
            <w:vMerge w:val="restart"/>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restart"/>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rPr>
            </w:pPr>
            <w:r>
              <w:rPr>
                <w:rFonts w:hint="eastAsia" w:ascii="仿宋" w:hAnsi="仿宋" w:eastAsia="仿宋" w:cs="仿宋"/>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rPr>
            </w:pPr>
            <w:r>
              <w:rPr>
                <w:rFonts w:hint="eastAsia" w:ascii="仿宋" w:hAnsi="仿宋" w:eastAsia="仿宋" w:cs="仿宋"/>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rPr>
            </w:pPr>
            <w:r>
              <w:rPr>
                <w:rFonts w:hint="eastAsia" w:ascii="仿宋" w:hAnsi="仿宋" w:eastAsia="仿宋" w:cs="仿宋"/>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3220"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top w:w="0" w:type="dxa"/>
              <w:left w:w="57" w:type="dxa"/>
              <w:bottom w:w="0" w:type="dxa"/>
              <w:right w:w="57" w:type="dxa"/>
            </w:tcMar>
            <w:vAlign w:val="center"/>
          </w:tcPr>
          <w:p>
            <w:pPr>
              <w:rPr>
                <w:rFonts w:hint="eastAsia" w:ascii="仿宋" w:hAnsi="仿宋" w:eastAsia="仿宋" w:cs="仿宋"/>
                <w:sz w:val="24"/>
                <w:szCs w:val="24"/>
              </w:rPr>
            </w:pPr>
          </w:p>
        </w:tc>
        <w:tc>
          <w:tcPr>
            <w:tcW w:w="4163" w:type="dxa"/>
            <w:gridSpan w:val="2"/>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rPr>
            </w:pPr>
            <w:r>
              <w:rPr>
                <w:rFonts w:hint="eastAsia" w:ascii="仿宋" w:hAnsi="仿宋" w:eastAsia="仿宋" w:cs="仿宋"/>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仿宋" w:hAnsi="仿宋" w:eastAsia="仿宋" w:cs="仿宋"/>
          <w:i w:val="0"/>
          <w:iCs w:val="0"/>
          <w:caps w:val="0"/>
          <w:color w:val="333333"/>
          <w:spacing w:val="0"/>
          <w:sz w:val="24"/>
          <w:szCs w:val="24"/>
        </w:rPr>
      </w:pPr>
      <w:r>
        <w:rPr>
          <w:rFonts w:hint="eastAsia" w:ascii="黑体" w:hAnsi="黑体" w:eastAsia="黑体" w:cs="黑体"/>
          <w:b/>
          <w:bCs/>
          <w:i w:val="0"/>
          <w:iCs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333333"/>
          <w:spacing w:val="0"/>
          <w:sz w:val="24"/>
          <w:szCs w:val="24"/>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仿宋" w:hAnsi="仿宋" w:eastAsia="仿宋" w:cs="仿宋"/>
                <w:sz w:val="24"/>
                <w:szCs w:val="24"/>
              </w:rPr>
            </w:pP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kern w:val="0"/>
                <w:sz w:val="20"/>
                <w:szCs w:val="20"/>
                <w:lang w:val="en-US" w:eastAsia="zh-CN" w:bidi="ar"/>
              </w:rPr>
            </w:pPr>
            <w:r>
              <w:rPr>
                <w:rFonts w:hint="eastAsia" w:ascii="仿宋" w:hAnsi="仿宋" w:eastAsia="仿宋" w:cs="仿宋"/>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rPr>
            </w:pPr>
            <w:r>
              <w:rPr>
                <w:rFonts w:hint="eastAsia" w:ascii="仿宋" w:hAnsi="仿宋" w:eastAsia="仿宋" w:cs="仿宋"/>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rPr>
      </w:pPr>
      <w:r>
        <w:rPr>
          <w:rFonts w:hint="eastAsia" w:ascii="仿宋_GB2312" w:hAnsi="宋体" w:eastAsia="仿宋_GB2312" w:cs="仿宋_GB2312"/>
          <w:i w:val="0"/>
          <w:iCs w:val="0"/>
          <w:caps w:val="0"/>
          <w:color w:val="auto"/>
          <w:spacing w:val="0"/>
          <w:sz w:val="32"/>
          <w:szCs w:val="32"/>
          <w:shd w:val="clear" w:fill="FFFFFF"/>
        </w:rPr>
        <w:t>机构职能不够明确，工作人员不到位，工作经费不足。，加快推进机构改革，加强人员调配，加大资金投入，推进各项工作再上新台阶。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3" w:firstLineChars="20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b/>
          <w:bCs/>
          <w:i w:val="0"/>
          <w:iCs w:val="0"/>
          <w:caps w:val="0"/>
          <w:color w:val="333333"/>
          <w:spacing w:val="0"/>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333333"/>
          <w:spacing w:val="0"/>
          <w:sz w:val="24"/>
          <w:szCs w:val="24"/>
          <w:shd w:val="clear" w:fill="FFFFFF"/>
          <w:lang w:val="en-US" w:eastAsia="zh-CN"/>
        </w:rPr>
      </w:pPr>
      <w:r>
        <w:rPr>
          <w:rFonts w:hint="eastAsia" w:ascii="仿宋_GB2312" w:hAnsi="宋体" w:eastAsia="仿宋_GB2312" w:cs="仿宋_GB2312"/>
          <w:i w:val="0"/>
          <w:iCs w:val="0"/>
          <w:caps w:val="0"/>
          <w:color w:val="auto"/>
          <w:spacing w:val="0"/>
          <w:sz w:val="32"/>
          <w:szCs w:val="32"/>
          <w:shd w:val="clear" w:fill="FFFFFF"/>
          <w:lang w:val="en-US" w:eastAsia="zh-CN"/>
        </w:rPr>
        <w:t>认真贯彻执行国务院办公厅《政府信息公开信息处理费管理办法》和《关于政府信息公开处理费管理有关事项的通知》。</w:t>
      </w:r>
      <w:r>
        <w:rPr>
          <w:rFonts w:hint="default" w:ascii="仿宋_GB2312" w:hAnsi="宋体" w:eastAsia="仿宋_GB2312" w:cs="仿宋_GB2312"/>
          <w:i w:val="0"/>
          <w:iCs w:val="0"/>
          <w:caps w:val="0"/>
          <w:color w:val="auto"/>
          <w:spacing w:val="0"/>
          <w:sz w:val="32"/>
          <w:szCs w:val="32"/>
          <w:shd w:val="clear" w:fill="FFFFFF"/>
          <w:lang w:val="en-US" w:eastAsia="zh-CN"/>
        </w:rPr>
        <w:t>202</w:t>
      </w:r>
      <w:r>
        <w:rPr>
          <w:rFonts w:hint="eastAsia" w:ascii="仿宋_GB2312" w:hAnsi="宋体" w:eastAsia="仿宋_GB2312" w:cs="仿宋_GB2312"/>
          <w:i w:val="0"/>
          <w:iCs w:val="0"/>
          <w:caps w:val="0"/>
          <w:color w:val="auto"/>
          <w:spacing w:val="0"/>
          <w:sz w:val="32"/>
          <w:szCs w:val="32"/>
          <w:shd w:val="clear" w:fill="FFFFFF"/>
          <w:lang w:val="en-US" w:eastAsia="zh-CN"/>
        </w:rPr>
        <w:t>3</w:t>
      </w:r>
      <w:r>
        <w:rPr>
          <w:rFonts w:hint="default" w:ascii="仿宋_GB2312" w:hAnsi="宋体" w:eastAsia="仿宋_GB2312" w:cs="仿宋_GB2312"/>
          <w:i w:val="0"/>
          <w:iCs w:val="0"/>
          <w:caps w:val="0"/>
          <w:color w:val="auto"/>
          <w:spacing w:val="0"/>
          <w:sz w:val="32"/>
          <w:szCs w:val="32"/>
          <w:shd w:val="clear" w:fill="FFFFFF"/>
          <w:lang w:val="en-US" w:eastAsia="zh-CN"/>
        </w:rPr>
        <w:t>年我县各单位未收取信息处理费。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MzE0NWQ1ODJhOGNhM2MxNjk5NjIwZGJlNTRlNTEifQ=="/>
  </w:docVars>
  <w:rsids>
    <w:rsidRoot w:val="3E5B229F"/>
    <w:rsid w:val="0DDB2E2C"/>
    <w:rsid w:val="2326727B"/>
    <w:rsid w:val="302857C1"/>
    <w:rsid w:val="3175030F"/>
    <w:rsid w:val="3E5B229F"/>
    <w:rsid w:val="435861A9"/>
    <w:rsid w:val="5AA2709F"/>
    <w:rsid w:val="6C535248"/>
    <w:rsid w:val="72826491"/>
    <w:rsid w:val="75E7607E"/>
    <w:rsid w:val="76F31A34"/>
    <w:rsid w:val="7B3F49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Lines="0" w:beforeAutospacing="1" w:after="100" w:afterLines="0" w:afterAutospacing="1"/>
      <w:jc w:val="left"/>
    </w:pPr>
    <w:rPr>
      <w:rFonts w:ascii="宋体" w:hAnsi="宋体" w:eastAsia="宋体" w:cs="宋体"/>
      <w:color w:val="000000"/>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1496</Words>
  <Characters>1524</Characters>
  <Lines>0</Lines>
  <Paragraphs>0</Paragraphs>
  <TotalTime>2</TotalTime>
  <ScaleCrop>false</ScaleCrop>
  <LinksUpToDate>false</LinksUpToDate>
  <CharactersWithSpaces>1524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2019-12-29T11:38:00Z</dcterms:created>
  <dc:creator>小公举</dc:creator>
  <cp:lastModifiedBy>春天</cp:lastModifiedBy>
  <cp:lastPrinted>2024-01-26T06:31:00Z</cp:lastPrinted>
  <dcterms:modified xsi:type="dcterms:W3CDTF">2024-06-04T00:43:58Z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24F5D578983240358AAB8E8EF8719D45_13</vt:lpwstr>
  </property>
</Properties>
</file>