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涞源县疾病预防控制中心</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2021年部门预算信息公开说明</w:t>
      </w:r>
    </w:p>
    <w:p>
      <w:pPr>
        <w:jc w:val="center"/>
        <w:rPr>
          <w:rFonts w:asciiTheme="majorEastAsia" w:hAnsiTheme="majorEastAsia" w:eastAsiaTheme="majorEastAsia" w:cstheme="majorEastAsia"/>
          <w:b/>
          <w:sz w:val="44"/>
          <w:szCs w:val="44"/>
        </w:rPr>
      </w:pPr>
    </w:p>
    <w:p>
      <w:pPr>
        <w:ind w:firstLine="640" w:firstLineChars="200"/>
        <w:rPr>
          <w:rFonts w:ascii="仿宋" w:hAnsi="仿宋" w:eastAsia="仿宋" w:cstheme="majorEastAsia"/>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11" w:name="_GoBack"/>
      <w:bookmarkEnd w:id="11"/>
      <w:r>
        <w:rPr>
          <w:rFonts w:hint="eastAsia" w:ascii="仿宋" w:hAnsi="仿宋" w:eastAsia="仿宋"/>
          <w:sz w:val="32"/>
          <w:szCs w:val="32"/>
        </w:rPr>
        <w:t>预算法》、《地方预决算公开操作规程》和《河北省省级预算公开办法》规定，现将</w:t>
      </w:r>
      <w:r>
        <w:rPr>
          <w:rFonts w:hint="eastAsia" w:ascii="仿宋" w:hAnsi="仿宋" w:eastAsia="仿宋" w:cstheme="majorEastAsia"/>
          <w:sz w:val="32"/>
          <w:szCs w:val="32"/>
        </w:rPr>
        <w:t>涞源县疾病预防控制中心2021年部门预算公开如下：</w:t>
      </w:r>
    </w:p>
    <w:p>
      <w:pPr>
        <w:jc w:val="center"/>
        <w:rPr>
          <w:rFonts w:ascii="仿宋" w:hAnsi="仿宋" w:eastAsia="仿宋"/>
          <w:b/>
          <w:sz w:val="32"/>
          <w:szCs w:val="32"/>
        </w:rPr>
      </w:pPr>
      <w:r>
        <w:rPr>
          <w:rFonts w:hint="eastAsia" w:ascii="仿宋" w:hAnsi="仿宋" w:eastAsia="仿宋"/>
          <w:b/>
          <w:sz w:val="32"/>
          <w:szCs w:val="32"/>
        </w:rPr>
        <w:t>第一部分 部门预算情况</w:t>
      </w:r>
    </w:p>
    <w:p>
      <w:pPr>
        <w:jc w:val="center"/>
        <w:rPr>
          <w:rFonts w:ascii="仿宋" w:hAnsi="仿宋" w:eastAsia="仿宋"/>
        </w:rPr>
      </w:pPr>
      <w:r>
        <w:rPr>
          <w:rFonts w:ascii="仿宋" w:hAnsi="仿宋" w:eastAsia="仿宋"/>
        </w:rPr>
        <w:t xml:space="preserve"> </w:t>
      </w:r>
    </w:p>
    <w:p>
      <w:pPr>
        <w:outlineLvl w:val="0"/>
        <w:rPr>
          <w:rFonts w:ascii="仿宋" w:hAnsi="仿宋" w:eastAsia="仿宋" w:cs="仿宋"/>
          <w:sz w:val="32"/>
          <w:szCs w:val="32"/>
        </w:rPr>
      </w:pPr>
      <w:r>
        <w:rPr>
          <w:rFonts w:hint="eastAsia" w:ascii="仿宋" w:hAnsi="仿宋" w:eastAsia="仿宋" w:cs="仿宋"/>
          <w:sz w:val="32"/>
          <w:szCs w:val="32"/>
        </w:rPr>
        <w:t>一、部 门 职 责</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0" w:name="_Toc31729245"/>
      <w:r>
        <w:rPr>
          <w:rFonts w:hint="eastAsia" w:ascii="仿宋" w:hAnsi="仿宋" w:eastAsia="仿宋" w:cs="仿宋"/>
          <w:sz w:val="32"/>
          <w:szCs w:val="32"/>
        </w:rPr>
        <w:instrText xml:space="preserve">部门职责</w:instrText>
      </w:r>
      <w:bookmarkEnd w:id="0"/>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pStyle w:val="4"/>
        <w:widowControl/>
        <w:shd w:val="clear" w:color="auto" w:fill="FFFFFF"/>
        <w:spacing w:beforeAutospacing="0" w:after="24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根据《涞源县疾控中心职能配置、内设机构和人员编制规定》， 涞源县疾控中心的主要职责是：</w:t>
      </w:r>
    </w:p>
    <w:p>
      <w:pPr>
        <w:pStyle w:val="4"/>
        <w:widowControl/>
        <w:shd w:val="clear" w:color="auto" w:fill="FFFFFF"/>
        <w:spacing w:beforeAutospacing="0" w:after="240" w:afterAutospacing="0"/>
        <w:ind w:firstLine="480" w:firstLineChars="200"/>
        <w:rPr>
          <w:rFonts w:ascii="仿宋" w:hAnsi="仿宋" w:eastAsia="仿宋" w:cs="仿宋"/>
          <w:color w:val="333333"/>
          <w:spacing w:val="8"/>
          <w:sz w:val="32"/>
          <w:szCs w:val="32"/>
        </w:rPr>
      </w:pPr>
      <w:r>
        <w:rPr>
          <w:rFonts w:hint="eastAsia" w:ascii="仿宋" w:hAnsi="仿宋" w:eastAsia="仿宋" w:cs="微软雅黑"/>
          <w:color w:val="333333"/>
          <w:shd w:val="clear" w:color="auto" w:fill="FFFFFF"/>
        </w:rPr>
        <w:t xml:space="preserve">      </w:t>
      </w:r>
      <w:r>
        <w:rPr>
          <w:rFonts w:hint="eastAsia" w:ascii="仿宋" w:hAnsi="仿宋" w:eastAsia="仿宋" w:cs="仿宋"/>
          <w:color w:val="333333"/>
          <w:spacing w:val="8"/>
          <w:sz w:val="32"/>
          <w:szCs w:val="32"/>
          <w:shd w:val="clear" w:color="auto" w:fill="FFFFFF"/>
        </w:rPr>
        <w:t>1、拟定和指导实施全县急慢性传染病、慢性非传染性疾病、职业病、地方病等疾病的预防控制规划、计划、实施方案、工作规范、标准、防制对策与技术措施。并对实施情况进行质量控制和效果评估。</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2、建立突发公共卫生事件应急处理运行机制，指导和参与调查处理全县发生的重大传染病疫情、新发传染病、群体性不明原因疾病等突发公共卫生事件。</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3、开展对影响人群生存环境卫生质量及生命质量的危险因素和食品、职业、环境、放射、学校卫生等卫生学监测、评价，组织开展健康危害因素干预。</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4、对全县急慢性传染病、地方病、寄生虫病、慢性非传染性疾病、职业病、公害病、学生常见病及意外伤害等发生、分布和发展的规律进行流行病学监测、分析和预测、预报。</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5、组织开展全县免疫和规划免疫预防接种工作，负责免疫预防的技术指导、效果监测与评价，预防用生物制品的计划、订购、供应及冷链系统的监测与使用管理。</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6、拟定健康教育工作规划、计划与实施方案，开展健康教育和健康促进工作。</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7、拟定全县消毒杀虫工作规划、计划和技术措施，组织开展病原媒介生物和消毒杀虫工作效果监测与评价。</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8、负责全县传染病疫情等突发公共卫生事件及有关公共卫生信息的收集、分析、报告、管理工作。</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9、承担卫生监测检验、预防性健康检查、健康相关产品的卫生质量检验、鉴定工作。</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10、负责对新建、改建、扩建建设项目的选址、设计和竣工验收的卫生学评价工作。</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11、指导和参与社区卫生服务、初级卫生保健和改水改厕工作。</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12、向社会提供相关的预防保健信息、健康咨询和预防医学诊疗等专业技术服务。</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13、负责全县疾病预防控制业务人员的技术培训、进修和业务指导。</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14、承担上级卫生行政和业务部门交办的其它事宜。</w:t>
      </w:r>
    </w:p>
    <w:p>
      <w:pPr>
        <w:pStyle w:val="10"/>
        <w:spacing w:line="520" w:lineRule="exact"/>
        <w:ind w:firstLine="0" w:firstLineChars="0"/>
        <w:rPr>
          <w:rFonts w:ascii="仿宋" w:hAnsi="仿宋" w:eastAsia="仿宋"/>
          <w:sz w:val="32"/>
          <w:szCs w:val="32"/>
        </w:rPr>
      </w:pPr>
      <w:r>
        <w:rPr>
          <w:rFonts w:hint="eastAsia" w:ascii="仿宋" w:hAnsi="仿宋" w:eastAsia="仿宋"/>
          <w:sz w:val="32"/>
          <w:szCs w:val="32"/>
        </w:rPr>
        <w:t>二、机构设置</w:t>
      </w:r>
    </w:p>
    <w:p>
      <w:pPr>
        <w:pStyle w:val="10"/>
        <w:spacing w:line="520" w:lineRule="exact"/>
        <w:ind w:firstLine="4160" w:firstLineChars="1300"/>
        <w:rPr>
          <w:rFonts w:ascii="仿宋" w:hAnsi="仿宋" w:eastAsia="仿宋"/>
          <w:sz w:val="32"/>
          <w:szCs w:val="32"/>
        </w:rPr>
      </w:pPr>
      <w:r>
        <w:rPr>
          <w:rFonts w:hint="eastAsia" w:ascii="仿宋" w:hAnsi="仿宋" w:eastAsia="仿宋"/>
          <w:sz w:val="32"/>
          <w:szCs w:val="32"/>
        </w:rPr>
        <w:t>部门机构设置情况</w:t>
      </w:r>
    </w:p>
    <w:tbl>
      <w:tblPr>
        <w:tblStyle w:val="5"/>
        <w:tblpPr w:leftFromText="180" w:rightFromText="180" w:vertAnchor="text" w:horzAnchor="page" w:tblpX="1478" w:tblpY="514"/>
        <w:tblOverlap w:val="never"/>
        <w:tblW w:w="9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784"/>
        <w:gridCol w:w="1583"/>
        <w:gridCol w:w="3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2393" w:type="dxa"/>
            <w:vAlign w:val="center"/>
          </w:tcPr>
          <w:p>
            <w:pPr>
              <w:spacing w:line="300" w:lineRule="exact"/>
              <w:jc w:val="center"/>
              <w:rPr>
                <w:rFonts w:ascii="仿宋" w:hAnsi="仿宋" w:eastAsia="仿宋"/>
                <w:sz w:val="32"/>
                <w:szCs w:val="32"/>
              </w:rPr>
            </w:pPr>
            <w:r>
              <w:rPr>
                <w:rFonts w:hint="eastAsia" w:ascii="仿宋" w:hAnsi="仿宋" w:eastAsia="仿宋"/>
                <w:b/>
              </w:rPr>
              <w:t>单位名称</w:t>
            </w:r>
          </w:p>
        </w:tc>
        <w:tc>
          <w:tcPr>
            <w:tcW w:w="1784" w:type="dxa"/>
            <w:vAlign w:val="center"/>
          </w:tcPr>
          <w:p>
            <w:pPr>
              <w:spacing w:line="300" w:lineRule="exact"/>
              <w:jc w:val="center"/>
              <w:rPr>
                <w:rFonts w:ascii="仿宋" w:hAnsi="仿宋" w:eastAsia="仿宋"/>
                <w:sz w:val="32"/>
                <w:szCs w:val="32"/>
              </w:rPr>
            </w:pPr>
            <w:r>
              <w:rPr>
                <w:rFonts w:hint="eastAsia" w:ascii="仿宋" w:hAnsi="仿宋" w:eastAsia="仿宋"/>
                <w:b/>
              </w:rPr>
              <w:t>单位性质</w:t>
            </w:r>
          </w:p>
        </w:tc>
        <w:tc>
          <w:tcPr>
            <w:tcW w:w="1583" w:type="dxa"/>
            <w:vAlign w:val="center"/>
          </w:tcPr>
          <w:p>
            <w:pPr>
              <w:spacing w:line="300" w:lineRule="exact"/>
              <w:jc w:val="center"/>
              <w:rPr>
                <w:rFonts w:ascii="仿宋" w:hAnsi="仿宋" w:eastAsia="仿宋"/>
                <w:sz w:val="32"/>
                <w:szCs w:val="32"/>
              </w:rPr>
            </w:pPr>
            <w:r>
              <w:rPr>
                <w:rFonts w:hint="eastAsia" w:ascii="仿宋" w:hAnsi="仿宋" w:eastAsia="仿宋"/>
                <w:b/>
              </w:rPr>
              <w:t>单位规格</w:t>
            </w:r>
          </w:p>
        </w:tc>
        <w:tc>
          <w:tcPr>
            <w:tcW w:w="3850" w:type="dxa"/>
            <w:vAlign w:val="center"/>
          </w:tcPr>
          <w:p>
            <w:pPr>
              <w:spacing w:line="300" w:lineRule="exact"/>
              <w:jc w:val="center"/>
              <w:rPr>
                <w:rFonts w:ascii="仿宋" w:hAnsi="仿宋" w:eastAsia="仿宋"/>
                <w:sz w:val="32"/>
                <w:szCs w:val="32"/>
              </w:rPr>
            </w:pPr>
            <w:r>
              <w:rPr>
                <w:rFonts w:hint="eastAsia" w:ascii="仿宋" w:hAnsi="仿宋" w:eastAsia="仿宋"/>
                <w:b/>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5" w:hRule="atLeast"/>
        </w:trPr>
        <w:tc>
          <w:tcPr>
            <w:tcW w:w="2393"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涞源疾病预防控制中心</w:t>
            </w:r>
          </w:p>
        </w:tc>
        <w:tc>
          <w:tcPr>
            <w:tcW w:w="1784" w:type="dxa"/>
            <w:vAlign w:val="center"/>
          </w:tcPr>
          <w:p>
            <w:pPr>
              <w:spacing w:line="300" w:lineRule="exact"/>
              <w:jc w:val="center"/>
              <w:rPr>
                <w:rFonts w:ascii="仿宋" w:hAnsi="仿宋" w:eastAsia="仿宋"/>
                <w:sz w:val="32"/>
                <w:szCs w:val="32"/>
              </w:rPr>
            </w:pPr>
            <w:r>
              <w:rPr>
                <w:rFonts w:hint="eastAsia" w:ascii="仿宋" w:hAnsi="仿宋" w:eastAsia="仿宋"/>
              </w:rPr>
              <w:t>事业</w:t>
            </w:r>
          </w:p>
        </w:tc>
        <w:tc>
          <w:tcPr>
            <w:tcW w:w="1583" w:type="dxa"/>
            <w:vAlign w:val="center"/>
          </w:tcPr>
          <w:p>
            <w:pPr>
              <w:spacing w:line="300" w:lineRule="exact"/>
              <w:jc w:val="center"/>
              <w:rPr>
                <w:rFonts w:ascii="仿宋" w:hAnsi="仿宋" w:eastAsia="仿宋"/>
                <w:sz w:val="32"/>
                <w:szCs w:val="32"/>
              </w:rPr>
            </w:pPr>
            <w:r>
              <w:rPr>
                <w:rFonts w:hint="eastAsia" w:ascii="仿宋" w:hAnsi="仿宋" w:eastAsia="仿宋"/>
              </w:rPr>
              <w:t>股级</w:t>
            </w:r>
          </w:p>
        </w:tc>
        <w:tc>
          <w:tcPr>
            <w:tcW w:w="3850" w:type="dxa"/>
            <w:vAlign w:val="center"/>
          </w:tcPr>
          <w:p>
            <w:pPr>
              <w:spacing w:line="300" w:lineRule="exact"/>
              <w:jc w:val="center"/>
              <w:rPr>
                <w:rFonts w:ascii="仿宋" w:hAnsi="仿宋" w:eastAsia="仿宋"/>
                <w:sz w:val="32"/>
                <w:szCs w:val="32"/>
              </w:rPr>
            </w:pPr>
            <w:r>
              <w:rPr>
                <w:rFonts w:hint="eastAsia" w:ascii="仿宋" w:hAnsi="仿宋" w:eastAsia="仿宋" w:cs="宋体"/>
                <w:color w:val="000000"/>
                <w:kern w:val="0"/>
                <w:sz w:val="20"/>
                <w:szCs w:val="20"/>
              </w:rPr>
              <w:t>财政拨款</w:t>
            </w:r>
          </w:p>
        </w:tc>
      </w:tr>
    </w:tbl>
    <w:p>
      <w:pPr>
        <w:pStyle w:val="10"/>
        <w:spacing w:line="520" w:lineRule="exact"/>
        <w:ind w:firstLine="640"/>
        <w:rPr>
          <w:rFonts w:ascii="仿宋" w:hAnsi="仿宋" w:eastAsia="仿宋"/>
          <w:sz w:val="32"/>
          <w:szCs w:val="32"/>
        </w:rPr>
      </w:pPr>
    </w:p>
    <w:p>
      <w:pPr>
        <w:spacing w:line="520" w:lineRule="exact"/>
        <w:rPr>
          <w:rFonts w:ascii="仿宋" w:hAnsi="仿宋" w:eastAsia="仿宋"/>
          <w:sz w:val="44"/>
        </w:rPr>
      </w:pPr>
    </w:p>
    <w:p>
      <w:pPr>
        <w:spacing w:line="520" w:lineRule="exact"/>
        <w:rPr>
          <w:rFonts w:ascii="仿宋" w:hAnsi="仿宋" w:eastAsia="仿宋"/>
          <w:sz w:val="44"/>
        </w:rPr>
      </w:pPr>
    </w:p>
    <w:p>
      <w:pPr>
        <w:spacing w:line="520" w:lineRule="exact"/>
        <w:rPr>
          <w:rFonts w:ascii="仿宋" w:hAnsi="仿宋" w:eastAsia="仿宋"/>
          <w:sz w:val="44"/>
        </w:rPr>
      </w:pPr>
    </w:p>
    <w:p>
      <w:pPr>
        <w:spacing w:line="520" w:lineRule="exact"/>
        <w:jc w:val="center"/>
        <w:rPr>
          <w:rFonts w:ascii="仿宋" w:hAnsi="仿宋" w:eastAsia="仿宋"/>
          <w:b/>
          <w:sz w:val="32"/>
          <w:szCs w:val="32"/>
        </w:rPr>
      </w:pPr>
      <w:r>
        <w:rPr>
          <w:rFonts w:hint="eastAsia" w:ascii="仿宋" w:hAnsi="仿宋" w:eastAsia="仿宋"/>
          <w:b/>
          <w:sz w:val="32"/>
          <w:szCs w:val="32"/>
        </w:rPr>
        <w:t>第二部分 预算安排总体情况</w:t>
      </w:r>
    </w:p>
    <w:p>
      <w:pPr>
        <w:spacing w:line="520" w:lineRule="exact"/>
        <w:jc w:val="center"/>
        <w:rPr>
          <w:rFonts w:ascii="仿宋" w:hAnsi="仿宋" w:eastAsia="仿宋"/>
          <w:sz w:val="44"/>
        </w:rPr>
      </w:pPr>
    </w:p>
    <w:p>
      <w:pPr>
        <w:spacing w:line="520" w:lineRule="exact"/>
        <w:rPr>
          <w:rFonts w:ascii="仿宋" w:hAnsi="仿宋" w:eastAsia="仿宋"/>
          <w:sz w:val="32"/>
          <w:szCs w:val="32"/>
        </w:rPr>
      </w:pPr>
      <w:r>
        <w:rPr>
          <w:rFonts w:hint="eastAsia" w:ascii="仿宋" w:hAnsi="仿宋" w:eastAsia="仿宋"/>
          <w:sz w:val="32"/>
          <w:szCs w:val="32"/>
        </w:rPr>
        <w:t>1、收入说明</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2021年涞源县疾病预防控制中心年初部门收入预算总额为791.61万元。</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其中：一般公共预算收入791.61万元。</w:t>
      </w:r>
    </w:p>
    <w:p>
      <w:pPr>
        <w:spacing w:line="520" w:lineRule="exact"/>
        <w:rPr>
          <w:rFonts w:ascii="仿宋" w:hAnsi="仿宋" w:eastAsia="仿宋"/>
          <w:sz w:val="32"/>
          <w:szCs w:val="32"/>
        </w:rPr>
      </w:pPr>
      <w:r>
        <w:rPr>
          <w:rFonts w:hint="eastAsia" w:ascii="仿宋" w:hAnsi="仿宋" w:eastAsia="仿宋"/>
          <w:sz w:val="32"/>
          <w:szCs w:val="32"/>
        </w:rPr>
        <w:t>2、支出说明</w:t>
      </w:r>
    </w:p>
    <w:p>
      <w:pPr>
        <w:spacing w:line="520" w:lineRule="exact"/>
        <w:rPr>
          <w:rFonts w:ascii="仿宋" w:hAnsi="仿宋" w:eastAsia="仿宋"/>
          <w:sz w:val="32"/>
          <w:szCs w:val="32"/>
        </w:rPr>
      </w:pPr>
      <w:r>
        <w:rPr>
          <w:rFonts w:hint="eastAsia" w:ascii="仿宋" w:hAnsi="仿宋" w:eastAsia="仿宋"/>
          <w:sz w:val="32"/>
          <w:szCs w:val="32"/>
        </w:rPr>
        <w:t xml:space="preserve">  2021年部门支出安排预算总额598.99万元。</w:t>
      </w:r>
    </w:p>
    <w:p>
      <w:pPr>
        <w:spacing w:line="520" w:lineRule="exact"/>
        <w:ind w:firstLine="320" w:firstLineChars="100"/>
        <w:rPr>
          <w:rFonts w:ascii="仿宋" w:hAnsi="仿宋" w:eastAsia="仿宋"/>
          <w:sz w:val="32"/>
          <w:szCs w:val="32"/>
        </w:rPr>
      </w:pPr>
      <w:r>
        <w:rPr>
          <w:rFonts w:hint="eastAsia" w:ascii="仿宋" w:hAnsi="仿宋" w:eastAsia="仿宋"/>
          <w:sz w:val="32"/>
          <w:szCs w:val="32"/>
        </w:rPr>
        <w:t>基本支出598.99万元</w:t>
      </w:r>
    </w:p>
    <w:p>
      <w:pPr>
        <w:spacing w:line="520" w:lineRule="exact"/>
        <w:ind w:firstLine="960" w:firstLineChars="300"/>
        <w:rPr>
          <w:rFonts w:ascii="仿宋" w:hAnsi="仿宋" w:eastAsia="仿宋"/>
          <w:sz w:val="32"/>
          <w:szCs w:val="32"/>
        </w:rPr>
      </w:pPr>
      <w:r>
        <w:rPr>
          <w:rFonts w:hint="eastAsia" w:ascii="仿宋" w:hAnsi="仿宋" w:eastAsia="仿宋"/>
          <w:sz w:val="32"/>
          <w:szCs w:val="32"/>
        </w:rPr>
        <w:t>其中：人员经费393.49万元</w:t>
      </w:r>
    </w:p>
    <w:p>
      <w:pPr>
        <w:spacing w:line="520" w:lineRule="exact"/>
        <w:ind w:firstLine="1920" w:firstLineChars="600"/>
        <w:rPr>
          <w:rFonts w:ascii="仿宋" w:hAnsi="仿宋" w:eastAsia="仿宋"/>
          <w:sz w:val="32"/>
          <w:szCs w:val="32"/>
        </w:rPr>
      </w:pPr>
      <w:r>
        <w:rPr>
          <w:rFonts w:hint="eastAsia" w:ascii="仿宋" w:hAnsi="仿宋" w:eastAsia="仿宋"/>
          <w:sz w:val="32"/>
          <w:szCs w:val="32"/>
        </w:rPr>
        <w:t>日常公用经费 205.50万元</w:t>
      </w:r>
    </w:p>
    <w:p>
      <w:pPr>
        <w:spacing w:line="520" w:lineRule="exact"/>
        <w:ind w:firstLine="320" w:firstLineChars="100"/>
        <w:rPr>
          <w:rFonts w:ascii="仿宋" w:hAnsi="仿宋" w:eastAsia="仿宋"/>
          <w:sz w:val="32"/>
          <w:szCs w:val="32"/>
        </w:rPr>
      </w:pPr>
      <w:r>
        <w:rPr>
          <w:rFonts w:hint="eastAsia" w:ascii="仿宋" w:hAnsi="仿宋" w:eastAsia="仿宋"/>
          <w:sz w:val="32"/>
          <w:szCs w:val="32"/>
        </w:rPr>
        <w:t>项目支出192.62万元</w:t>
      </w:r>
    </w:p>
    <w:p>
      <w:pPr>
        <w:spacing w:line="520" w:lineRule="exact"/>
        <w:ind w:firstLine="320" w:firstLineChars="100"/>
        <w:rPr>
          <w:rFonts w:ascii="仿宋" w:hAnsi="仿宋" w:eastAsia="仿宋"/>
          <w:sz w:val="32"/>
          <w:szCs w:val="32"/>
        </w:rPr>
      </w:pPr>
      <w:r>
        <w:rPr>
          <w:rFonts w:hint="eastAsia" w:ascii="仿宋" w:hAnsi="仿宋" w:eastAsia="仿宋"/>
          <w:sz w:val="32"/>
          <w:szCs w:val="32"/>
        </w:rPr>
        <w:t xml:space="preserve">    其中：本级支出192.62万元</w:t>
      </w:r>
    </w:p>
    <w:p>
      <w:pPr>
        <w:spacing w:line="520" w:lineRule="exact"/>
        <w:rPr>
          <w:rFonts w:ascii="仿宋" w:hAnsi="仿宋" w:eastAsia="仿宋"/>
          <w:sz w:val="32"/>
          <w:szCs w:val="32"/>
        </w:rPr>
      </w:pPr>
      <w:r>
        <w:rPr>
          <w:rFonts w:hint="eastAsia" w:ascii="仿宋" w:hAnsi="仿宋" w:eastAsia="仿宋"/>
          <w:sz w:val="32"/>
          <w:szCs w:val="32"/>
        </w:rPr>
        <w:t>3、比上年增减情况</w:t>
      </w:r>
    </w:p>
    <w:p>
      <w:pPr>
        <w:tabs>
          <w:tab w:val="left" w:pos="916"/>
        </w:tabs>
        <w:spacing w:line="560" w:lineRule="exact"/>
        <w:ind w:firstLine="640" w:firstLineChars="200"/>
        <w:jc w:val="left"/>
        <w:rPr>
          <w:rFonts w:ascii="仿宋" w:hAnsi="仿宋" w:eastAsia="仿宋" w:cs="仿宋_GB2312"/>
          <w:color w:val="484747"/>
          <w:kern w:val="0"/>
          <w:sz w:val="32"/>
          <w:szCs w:val="32"/>
          <w:shd w:val="clear" w:color="auto" w:fill="FFFFFF"/>
        </w:rPr>
      </w:pPr>
      <w:r>
        <w:rPr>
          <w:rFonts w:hint="eastAsia" w:ascii="仿宋" w:hAnsi="仿宋" w:eastAsia="仿宋"/>
          <w:sz w:val="32"/>
          <w:szCs w:val="32"/>
        </w:rPr>
        <w:t>本年度预算收支安排791.61万元，</w:t>
      </w:r>
      <w:r>
        <w:rPr>
          <w:rFonts w:hint="eastAsia" w:ascii="仿宋" w:hAnsi="仿宋" w:eastAsia="仿宋" w:cs="仿宋_GB2312"/>
          <w:color w:val="484747"/>
          <w:kern w:val="0"/>
          <w:sz w:val="32"/>
          <w:szCs w:val="32"/>
          <w:shd w:val="clear" w:color="auto" w:fill="FFFFFF"/>
        </w:rPr>
        <w:t>较上年增加226.73</w:t>
      </w:r>
      <w:r>
        <w:rPr>
          <w:rFonts w:ascii="仿宋" w:hAnsi="仿宋" w:eastAsia="仿宋" w:cs="仿宋_GB2312"/>
          <w:color w:val="484747"/>
          <w:kern w:val="0"/>
          <w:sz w:val="32"/>
          <w:szCs w:val="32"/>
          <w:shd w:val="clear" w:color="auto" w:fill="FFFFFF"/>
        </w:rPr>
        <w:t>万元。</w:t>
      </w:r>
      <w:r>
        <w:rPr>
          <w:rFonts w:hint="eastAsia" w:ascii="仿宋" w:hAnsi="仿宋" w:eastAsia="仿宋" w:cs="仿宋_GB2312"/>
          <w:color w:val="484747"/>
          <w:kern w:val="0"/>
          <w:sz w:val="32"/>
          <w:szCs w:val="32"/>
          <w:shd w:val="clear" w:color="auto" w:fill="FFFFFF"/>
        </w:rPr>
        <w:t>增减主要原因：基本支出增加370.11万元，其中人员经费增加190.11万元，公用经费增加180万元；项目支出减少143.38万元。</w:t>
      </w:r>
    </w:p>
    <w:p>
      <w:pPr>
        <w:spacing w:line="520" w:lineRule="exact"/>
        <w:ind w:firstLine="960" w:firstLineChars="300"/>
        <w:outlineLvl w:val="0"/>
        <w:rPr>
          <w:rFonts w:ascii="仿宋" w:hAnsi="仿宋" w:eastAsia="仿宋"/>
          <w:sz w:val="32"/>
          <w:szCs w:val="32"/>
        </w:rPr>
      </w:pPr>
    </w:p>
    <w:p>
      <w:pPr>
        <w:spacing w:line="520" w:lineRule="exact"/>
        <w:jc w:val="center"/>
        <w:outlineLvl w:val="0"/>
        <w:rPr>
          <w:rFonts w:ascii="仿宋" w:hAnsi="仿宋" w:eastAsia="仿宋"/>
          <w:b/>
          <w:sz w:val="32"/>
          <w:szCs w:val="32"/>
        </w:rPr>
      </w:pPr>
      <w:r>
        <w:rPr>
          <w:rFonts w:hint="eastAsia" w:ascii="仿宋" w:hAnsi="仿宋" w:eastAsia="仿宋"/>
          <w:b/>
          <w:sz w:val="32"/>
          <w:szCs w:val="32"/>
        </w:rPr>
        <w:t>第三部分：机关运行经费安排情况</w:t>
      </w:r>
    </w:p>
    <w:p>
      <w:pPr>
        <w:spacing w:line="520" w:lineRule="exact"/>
        <w:jc w:val="center"/>
        <w:outlineLvl w:val="0"/>
        <w:rPr>
          <w:rFonts w:ascii="仿宋" w:hAnsi="仿宋" w:eastAsia="仿宋"/>
          <w:sz w:val="44"/>
        </w:rPr>
      </w:pPr>
    </w:p>
    <w:p>
      <w:pPr>
        <w:spacing w:line="520" w:lineRule="exact"/>
        <w:ind w:firstLine="640" w:firstLineChars="200"/>
        <w:jc w:val="left"/>
        <w:outlineLvl w:val="0"/>
        <w:rPr>
          <w:rFonts w:ascii="仿宋" w:hAnsi="仿宋" w:eastAsia="仿宋"/>
          <w:sz w:val="32"/>
          <w:szCs w:val="32"/>
        </w:rPr>
      </w:pPr>
      <w:r>
        <w:rPr>
          <w:rFonts w:hint="eastAsia" w:ascii="仿宋" w:hAnsi="仿宋" w:eastAsia="仿宋"/>
          <w:sz w:val="32"/>
          <w:szCs w:val="32"/>
        </w:rPr>
        <w:t>涞源疾病预防控制中心机关运行经费安排205.50万元，其中办公费20.60万元，水费1万元，电费1.60万元，邮电费1.44万元，差旅费7.20万元，维修（护)费12万元，公务接待费2.00万元，专用材料费120万元，公务用车运行维护费6.00万元，其他商品和服务支出33.66万元。</w:t>
      </w:r>
    </w:p>
    <w:p>
      <w:pPr>
        <w:pStyle w:val="4"/>
        <w:widowControl/>
        <w:shd w:val="clear" w:color="auto" w:fill="FFFFFF"/>
        <w:spacing w:beforeAutospacing="0" w:after="240" w:afterAutospacing="0"/>
        <w:ind w:firstLine="672" w:firstLineChars="200"/>
        <w:rPr>
          <w:rFonts w:ascii="仿宋" w:hAnsi="仿宋" w:eastAsia="仿宋" w:cs="仿宋"/>
          <w:color w:val="333333"/>
          <w:spacing w:val="8"/>
          <w:sz w:val="32"/>
          <w:szCs w:val="32"/>
          <w:shd w:val="clear" w:color="auto" w:fill="FFFFFF"/>
        </w:rPr>
      </w:pPr>
    </w:p>
    <w:p>
      <w:pPr>
        <w:spacing w:line="520" w:lineRule="exact"/>
        <w:jc w:val="center"/>
        <w:outlineLvl w:val="0"/>
        <w:rPr>
          <w:rFonts w:ascii="仿宋" w:hAnsi="仿宋" w:eastAsia="仿宋"/>
          <w:sz w:val="44"/>
        </w:rPr>
      </w:pPr>
      <w:r>
        <w:rPr>
          <w:rFonts w:hint="eastAsia" w:ascii="仿宋" w:hAnsi="仿宋" w:eastAsia="仿宋"/>
          <w:sz w:val="44"/>
        </w:rPr>
        <w:t>第四部分：财政拨款“三公”经费预算情况及增减变化原因</w:t>
      </w:r>
    </w:p>
    <w:tbl>
      <w:tblPr>
        <w:tblStyle w:val="5"/>
        <w:tblpPr w:leftFromText="180" w:rightFromText="180" w:vertAnchor="text" w:horzAnchor="page" w:tblpX="610" w:tblpY="494"/>
        <w:tblOverlap w:val="never"/>
        <w:tblW w:w="10740" w:type="dxa"/>
        <w:tblInd w:w="0" w:type="dxa"/>
        <w:tblLayout w:type="fixed"/>
        <w:tblCellMar>
          <w:top w:w="0" w:type="dxa"/>
          <w:left w:w="108" w:type="dxa"/>
          <w:bottom w:w="0" w:type="dxa"/>
          <w:right w:w="108" w:type="dxa"/>
        </w:tblCellMar>
      </w:tblPr>
      <w:tblGrid>
        <w:gridCol w:w="2376"/>
        <w:gridCol w:w="1418"/>
        <w:gridCol w:w="1559"/>
        <w:gridCol w:w="1418"/>
        <w:gridCol w:w="3969"/>
      </w:tblGrid>
      <w:tr>
        <w:tblPrEx>
          <w:tblCellMar>
            <w:top w:w="0" w:type="dxa"/>
            <w:left w:w="108" w:type="dxa"/>
            <w:bottom w:w="0" w:type="dxa"/>
            <w:right w:w="108" w:type="dxa"/>
          </w:tblCellMar>
        </w:tblPrEx>
        <w:trPr>
          <w:trHeight w:val="405" w:hRule="atLeast"/>
        </w:trPr>
        <w:tc>
          <w:tcPr>
            <w:tcW w:w="10740" w:type="dxa"/>
            <w:gridSpan w:val="5"/>
            <w:tcBorders>
              <w:top w:val="nil"/>
              <w:left w:val="nil"/>
              <w:bottom w:val="nil"/>
              <w:right w:val="nil"/>
            </w:tcBorders>
            <w:vAlign w:val="center"/>
          </w:tcPr>
          <w:p>
            <w:pPr>
              <w:widowControl/>
              <w:spacing w:line="520" w:lineRule="exact"/>
              <w:jc w:val="center"/>
              <w:rPr>
                <w:rFonts w:ascii="仿宋" w:hAnsi="仿宋" w:eastAsia="仿宋" w:cs="宋体"/>
                <w:kern w:val="0"/>
                <w:sz w:val="32"/>
                <w:szCs w:val="32"/>
              </w:rPr>
            </w:pPr>
            <w:r>
              <w:rPr>
                <w:rFonts w:hint="eastAsia" w:ascii="仿宋" w:hAnsi="仿宋" w:eastAsia="仿宋"/>
                <w:sz w:val="32"/>
                <w:szCs w:val="32"/>
              </w:rPr>
              <w:t xml:space="preserve"> “三公”经费预算情况及增减变化原因</w:t>
            </w:r>
          </w:p>
        </w:tc>
      </w:tr>
      <w:tr>
        <w:tblPrEx>
          <w:tblCellMar>
            <w:top w:w="0" w:type="dxa"/>
            <w:left w:w="108" w:type="dxa"/>
            <w:bottom w:w="0" w:type="dxa"/>
            <w:right w:w="108" w:type="dxa"/>
          </w:tblCellMar>
        </w:tblPrEx>
        <w:trPr>
          <w:trHeight w:val="725" w:hRule="atLeast"/>
        </w:trPr>
        <w:tc>
          <w:tcPr>
            <w:tcW w:w="2376" w:type="dxa"/>
            <w:tcBorders>
              <w:top w:val="nil"/>
              <w:left w:val="nil"/>
              <w:bottom w:val="nil"/>
              <w:right w:val="nil"/>
            </w:tcBorders>
            <w:vAlign w:val="center"/>
          </w:tcPr>
          <w:p>
            <w:pPr>
              <w:widowControl/>
              <w:jc w:val="left"/>
              <w:rPr>
                <w:rFonts w:ascii="仿宋" w:hAnsi="仿宋" w:eastAsia="仿宋" w:cs="宋体"/>
                <w:kern w:val="0"/>
                <w:sz w:val="32"/>
                <w:szCs w:val="32"/>
              </w:rPr>
            </w:pPr>
          </w:p>
        </w:tc>
        <w:tc>
          <w:tcPr>
            <w:tcW w:w="1418" w:type="dxa"/>
            <w:tcBorders>
              <w:top w:val="nil"/>
              <w:left w:val="nil"/>
              <w:bottom w:val="nil"/>
              <w:right w:val="nil"/>
            </w:tcBorders>
            <w:vAlign w:val="center"/>
          </w:tcPr>
          <w:p>
            <w:pPr>
              <w:widowControl/>
              <w:jc w:val="left"/>
              <w:rPr>
                <w:rFonts w:ascii="仿宋" w:hAnsi="仿宋" w:eastAsia="仿宋" w:cs="宋体"/>
                <w:kern w:val="0"/>
                <w:sz w:val="32"/>
                <w:szCs w:val="32"/>
              </w:rPr>
            </w:pPr>
          </w:p>
        </w:tc>
        <w:tc>
          <w:tcPr>
            <w:tcW w:w="1559" w:type="dxa"/>
            <w:tcBorders>
              <w:top w:val="nil"/>
              <w:left w:val="nil"/>
              <w:bottom w:val="nil"/>
              <w:right w:val="nil"/>
            </w:tcBorders>
            <w:vAlign w:val="center"/>
          </w:tcPr>
          <w:p>
            <w:pPr>
              <w:widowControl/>
              <w:jc w:val="left"/>
              <w:rPr>
                <w:rFonts w:ascii="仿宋" w:hAnsi="仿宋" w:eastAsia="仿宋" w:cs="宋体"/>
                <w:kern w:val="0"/>
                <w:sz w:val="32"/>
                <w:szCs w:val="32"/>
              </w:rPr>
            </w:pPr>
          </w:p>
        </w:tc>
        <w:tc>
          <w:tcPr>
            <w:tcW w:w="1418" w:type="dxa"/>
            <w:tcBorders>
              <w:top w:val="nil"/>
              <w:left w:val="nil"/>
              <w:bottom w:val="nil"/>
              <w:right w:val="nil"/>
            </w:tcBorders>
            <w:vAlign w:val="center"/>
          </w:tcPr>
          <w:p>
            <w:pPr>
              <w:widowControl/>
              <w:jc w:val="left"/>
              <w:rPr>
                <w:rFonts w:ascii="仿宋" w:hAnsi="仿宋" w:eastAsia="仿宋" w:cs="宋体"/>
                <w:kern w:val="0"/>
                <w:sz w:val="32"/>
                <w:szCs w:val="32"/>
              </w:rPr>
            </w:pPr>
          </w:p>
        </w:tc>
        <w:tc>
          <w:tcPr>
            <w:tcW w:w="3969" w:type="dxa"/>
            <w:tcBorders>
              <w:top w:val="nil"/>
              <w:left w:val="nil"/>
              <w:bottom w:val="nil"/>
              <w:right w:val="nil"/>
            </w:tcBorders>
            <w:vAlign w:val="center"/>
          </w:tcPr>
          <w:p>
            <w:pPr>
              <w:widowControl/>
              <w:jc w:val="right"/>
              <w:rPr>
                <w:rFonts w:ascii="仿宋" w:hAnsi="仿宋" w:eastAsia="仿宋" w:cs="宋体"/>
                <w:kern w:val="0"/>
                <w:sz w:val="32"/>
                <w:szCs w:val="32"/>
              </w:rPr>
            </w:pPr>
            <w:r>
              <w:rPr>
                <w:rFonts w:hint="eastAsia" w:ascii="仿宋" w:hAnsi="仿宋" w:eastAsia="仿宋" w:cs="宋体"/>
                <w:kern w:val="0"/>
                <w:sz w:val="32"/>
                <w:szCs w:val="32"/>
              </w:rPr>
              <w:t>单位：万元</w:t>
            </w:r>
          </w:p>
        </w:tc>
      </w:tr>
      <w:tr>
        <w:tblPrEx>
          <w:tblCellMar>
            <w:top w:w="0" w:type="dxa"/>
            <w:left w:w="108" w:type="dxa"/>
            <w:bottom w:w="0" w:type="dxa"/>
            <w:right w:w="108" w:type="dxa"/>
          </w:tblCellMar>
        </w:tblPrEx>
        <w:trPr>
          <w:trHeight w:val="285"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2020年度预算</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2021年度预算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增减金额</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变化原因</w:t>
            </w:r>
          </w:p>
        </w:tc>
      </w:tr>
      <w:tr>
        <w:tblPrEx>
          <w:tblCellMar>
            <w:top w:w="0" w:type="dxa"/>
            <w:left w:w="108" w:type="dxa"/>
            <w:bottom w:w="0" w:type="dxa"/>
            <w:right w:w="108" w:type="dxa"/>
          </w:tblCellMar>
        </w:tblPrEx>
        <w:trPr>
          <w:trHeight w:val="285"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因公出国经费</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285"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公务用车购置经费</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57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公务用车运行经费</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855"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公务接待费支出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114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55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bl>
    <w:p>
      <w:pPr>
        <w:spacing w:line="520" w:lineRule="exact"/>
        <w:jc w:val="center"/>
        <w:outlineLvl w:val="0"/>
        <w:rPr>
          <w:rFonts w:ascii="仿宋" w:hAnsi="仿宋" w:eastAsia="仿宋"/>
          <w:sz w:val="44"/>
        </w:rPr>
      </w:pPr>
    </w:p>
    <w:p>
      <w:pPr>
        <w:spacing w:line="520" w:lineRule="exact"/>
        <w:jc w:val="center"/>
        <w:outlineLvl w:val="0"/>
        <w:rPr>
          <w:rFonts w:ascii="仿宋" w:hAnsi="仿宋" w:eastAsia="仿宋"/>
          <w:sz w:val="44"/>
        </w:rPr>
      </w:pPr>
    </w:p>
    <w:p>
      <w:pPr>
        <w:spacing w:line="520" w:lineRule="exact"/>
        <w:jc w:val="center"/>
        <w:outlineLvl w:val="0"/>
        <w:rPr>
          <w:rFonts w:ascii="仿宋" w:hAnsi="仿宋" w:eastAsia="仿宋"/>
          <w:sz w:val="44"/>
        </w:rPr>
      </w:pPr>
      <w:r>
        <w:rPr>
          <w:rFonts w:hint="eastAsia" w:ascii="仿宋" w:hAnsi="仿宋" w:eastAsia="仿宋"/>
          <w:sz w:val="44"/>
        </w:rPr>
        <w:t>第五部分：绩效预算信息</w:t>
      </w:r>
    </w:p>
    <w:p>
      <w:pPr>
        <w:jc w:val="center"/>
        <w:outlineLvl w:val="0"/>
        <w:rPr>
          <w:rFonts w:ascii="仿宋" w:hAnsi="仿宋" w:eastAsia="仿宋"/>
          <w:sz w:val="32"/>
          <w:szCs w:val="32"/>
        </w:rPr>
      </w:pPr>
      <w:r>
        <w:rPr>
          <w:rFonts w:ascii="仿宋" w:hAnsi="仿宋" w:eastAsia="仿宋"/>
          <w:sz w:val="32"/>
          <w:szCs w:val="32"/>
        </w:rPr>
        <w:t xml:space="preserve"> </w:t>
      </w:r>
    </w:p>
    <w:p>
      <w:pPr>
        <w:numPr>
          <w:ilvl w:val="0"/>
          <w:numId w:val="1"/>
        </w:numPr>
        <w:spacing w:line="520" w:lineRule="exact"/>
        <w:ind w:firstLine="640" w:firstLineChars="200"/>
        <w:jc w:val="left"/>
        <w:rPr>
          <w:rFonts w:ascii="仿宋" w:hAnsi="仿宋" w:eastAsia="仿宋"/>
          <w:sz w:val="32"/>
          <w:szCs w:val="32"/>
        </w:rPr>
      </w:pPr>
      <w:r>
        <w:rPr>
          <w:rFonts w:hint="eastAsia" w:ascii="仿宋" w:hAnsi="仿宋" w:eastAsia="仿宋"/>
          <w:sz w:val="32"/>
          <w:szCs w:val="32"/>
        </w:rPr>
        <w:t>总体绩效目标</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2021</w:t>
      </w:r>
      <w:r>
        <w:rPr>
          <w:rFonts w:ascii="仿宋" w:hAnsi="仿宋" w:eastAsia="仿宋"/>
          <w:sz w:val="32"/>
          <w:szCs w:val="32"/>
        </w:rPr>
        <w:t>年的疾控工作要以提高全县疾病预防控制机构能力建设为抓手，以免疫规划管理、重大传染病防控工作和基本公共卫生服务工作为重点，全面贯彻落实科学发展观，贯彻落实深化医药卫生体制改革新一轮工作要求，</w:t>
      </w:r>
      <w:r>
        <w:rPr>
          <w:rFonts w:hint="eastAsia" w:ascii="仿宋" w:hAnsi="仿宋" w:eastAsia="仿宋"/>
          <w:sz w:val="32"/>
          <w:szCs w:val="32"/>
        </w:rPr>
        <w:t>为了提高</w:t>
      </w:r>
      <w:r>
        <w:rPr>
          <w:rFonts w:ascii="仿宋" w:hAnsi="仿宋" w:eastAsia="仿宋"/>
          <w:sz w:val="32"/>
          <w:szCs w:val="32"/>
        </w:rPr>
        <w:t>慢性病防</w:t>
      </w:r>
      <w:r>
        <w:rPr>
          <w:rFonts w:hint="eastAsia" w:ascii="仿宋" w:hAnsi="仿宋" w:eastAsia="仿宋"/>
          <w:sz w:val="32"/>
          <w:szCs w:val="32"/>
        </w:rPr>
        <w:t>治工作要求，</w:t>
      </w:r>
      <w:r>
        <w:rPr>
          <w:rFonts w:ascii="仿宋" w:hAnsi="仿宋" w:eastAsia="仿宋"/>
          <w:sz w:val="32"/>
          <w:szCs w:val="32"/>
        </w:rPr>
        <w:t>加快人才培养、引进先进设备，提高疾病控制能力和应对突发公共卫生事件的水平，促进疾病预防控制工作全面、协调、可持续发展。</w:t>
      </w:r>
    </w:p>
    <w:p>
      <w:pPr>
        <w:spacing w:line="520" w:lineRule="exact"/>
        <w:ind w:firstLine="640" w:firstLineChars="200"/>
        <w:jc w:val="left"/>
        <w:rPr>
          <w:rFonts w:ascii="仿宋" w:hAnsi="仿宋" w:eastAsia="仿宋"/>
          <w:sz w:val="32"/>
          <w:szCs w:val="32"/>
        </w:rPr>
      </w:pPr>
    </w:p>
    <w:p>
      <w:pPr>
        <w:numPr>
          <w:ilvl w:val="0"/>
          <w:numId w:val="1"/>
        </w:num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分项绩效目标</w:t>
      </w:r>
    </w:p>
    <w:p>
      <w:pPr>
        <w:pStyle w:val="4"/>
        <w:widowControl/>
        <w:shd w:val="clear" w:color="auto" w:fill="FFFFFF"/>
        <w:ind w:firstLine="480" w:firstLineChars="150"/>
        <w:rPr>
          <w:rFonts w:ascii="仿宋" w:hAnsi="仿宋" w:eastAsia="仿宋"/>
          <w:kern w:val="2"/>
          <w:sz w:val="32"/>
          <w:szCs w:val="32"/>
        </w:rPr>
      </w:pPr>
      <w:r>
        <w:rPr>
          <w:rFonts w:hint="eastAsia" w:ascii="仿宋" w:hAnsi="仿宋" w:eastAsia="仿宋"/>
          <w:kern w:val="2"/>
          <w:sz w:val="32"/>
          <w:szCs w:val="32"/>
        </w:rPr>
        <w:t>（一）重点建设“三大能力”。</w:t>
      </w:r>
      <w:r>
        <w:rPr>
          <w:rFonts w:hint="eastAsia" w:ascii="仿宋" w:hAnsi="仿宋" w:eastAsia="仿宋"/>
          <w:sz w:val="32"/>
          <w:szCs w:val="32"/>
        </w:rPr>
        <w:t>以“三大能力”(突发公共卫生事件应急处置能力、卫生检验检测能力、健康教育与促进能力建设)建设为总抓手，建立起了稳固的疾病防控网络。坚持经费投入，设备更新，努力促使中心的病原微生物实验室，生化实验室高效运转，各项检测技术日臻成熟；构建应急处置网络、储备应急物资，在应对突发公共卫生事件方面要做到科学、及时、有效，保证在全县各种传染病防控中迅速反应，主动应对，多措并举，力争防控工作走在了全市前列。</w:t>
      </w:r>
    </w:p>
    <w:p>
      <w:pPr>
        <w:pStyle w:val="4"/>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二）加大重大疾病防治力度，提高群众健康水平。结合我县疾病预防控制工作实际，不断加大艾滋病、狂犬病、职业病、突发公共卫生事件处置等重大疾病防治工作力度，加强和提升疾病信息报告和传染病疫情网络直报工作的质量和水平，全面提升各卫生院的计划免疫工作质量及服务水平，2021年继续各项指标及要求达到相关的规定，防止疫苗针对性传染病在我县发生流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加强专业技术人员队伍建设。重视加强做好专业技术人员及卫生院防疫医务人员的培训工作，采取多种方式，有计划有步骤地培养业务骨干，建立具有多学科知识的综合技术人员队伍，有序地提高中心的综合实力和技术水平。</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做好免疫规划工作。开展2021年涞源县免疫规划工作督导检查，了解我县免疫规划工作管理状况和掌握我县儿童免疫接种和扩大国家免疫规划的进展情况，发扬优点，改进工作不足，更好地指导今后开展免疫规划工作，保障我县儿童身体健康。</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继续做好全县生活饮用水保障和农村饮水安全检测中心各项工作。开展水库丰水期和枯水期的各时期水质监测，确保我县城镇、农村生活饮用水符合国家卫生标准要求。防止病从口入，预防介水传染病的发生和流行。</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加强职业健康检查工作。加强沟通，通过多种途径，主动寻求获得政府、各相关部门及社会和用人单位的支持和配合，保障职业健康检查工作的顺利开展。积极开展交流与合作，加强与省、市职业病防治机构及周边县市疾控中心的交流与合作。依法开展职业健康检查、健康教育与促进等常规业务，强化公共服务职能，积极承担辖区职业健康检查等工作。</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抓紧落实全国艾滋病综合防治示范区各项建设工作。加强组织领导，建立完善艾滋病防治示范区各项工作，明确职责，加大经费投入，注重队伍建设，积极实施艾滋病监测检测、宣传教育、行为干预、抗病毒治疗、母婴阻断、关怀救助、“一站式服务”等防治措施，进一步完善以政府主导、部门各负其责、全社会共同参与的艾滋病综合防治局面，进一步推进我县艾滋病防治工作，使我县艾滋病防治工作取得进一步的成绩。</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做好基本公共卫生服务项目管理和考核工作。一是加强人员培训和指导，针对2020年多数基层卫生计生部门机构改革逐步到位后出现的人员变动情况，在2021年要重点加强基层管理人员培训，提高其项目管理能力。二是加大宣传力度，利用多种媒体平台和形式宣传国家基本公共卫生服务项目内容和进展成效，提高居民知晓率，主动接受社会和群众监督。三是进一步强化考核主体作用，每年对辖区内所有承担项目任务的基层医疗卫生机构开展一次综合考核。加强考核结果应用，优化考核内容，将服务质量、居民知晓率、服务对象满意度、资金管理拨付和使用情况等作为重点考核内容。</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认真做好中心党建工作。以开展群众路线教育活动后续活动为抓手，紧紧围绕“两学一做”后续各项教育活动，加强党员干部的思想道德建设和作风建设，坚决执行中央八项规定及反对四风的有关要求，抓好党风廉政建设，落实主要领导一岗双责，防止腐败行为及现象在我中心发生。</w:t>
      </w:r>
    </w:p>
    <w:p>
      <w:pPr>
        <w:numPr>
          <w:ilvl w:val="0"/>
          <w:numId w:val="2"/>
        </w:numPr>
        <w:spacing w:line="520" w:lineRule="exact"/>
        <w:ind w:firstLine="640" w:firstLineChars="200"/>
        <w:rPr>
          <w:rFonts w:ascii="仿宋" w:hAnsi="仿宋" w:eastAsia="仿宋"/>
          <w:sz w:val="32"/>
          <w:szCs w:val="32"/>
        </w:rPr>
      </w:pPr>
      <w:r>
        <w:rPr>
          <w:rFonts w:hint="eastAsia" w:ascii="仿宋" w:hAnsi="仿宋" w:eastAsia="仿宋"/>
          <w:sz w:val="32"/>
          <w:szCs w:val="32"/>
        </w:rPr>
        <w:t>完成各级政府、部门下达的任务。完成好国家、省、市疾控部门和各级政府下达的各项疾病、疫情监测、防控工作任务。</w:t>
      </w:r>
    </w:p>
    <w:p>
      <w:pPr>
        <w:numPr>
          <w:ilvl w:val="0"/>
          <w:numId w:val="1"/>
        </w:numPr>
        <w:spacing w:line="500" w:lineRule="exact"/>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 xml:space="preserve">工作保障措施 </w:t>
      </w:r>
    </w:p>
    <w:p>
      <w:pPr>
        <w:spacing w:line="500" w:lineRule="exact"/>
        <w:ind w:firstLine="640" w:firstLineChars="200"/>
        <w:jc w:val="left"/>
        <w:outlineLvl w:val="1"/>
        <w:rPr>
          <w:rFonts w:ascii="仿宋" w:hAnsi="仿宋" w:eastAsia="仿宋" w:cs="仿宋"/>
          <w:sz w:val="32"/>
          <w:szCs w:val="32"/>
        </w:rPr>
      </w:pPr>
      <w:r>
        <w:rPr>
          <w:rFonts w:hint="eastAsia" w:ascii="仿宋" w:hAnsi="仿宋" w:eastAsia="仿宋"/>
          <w:sz w:val="32"/>
          <w:szCs w:val="32"/>
        </w:rPr>
        <w:t>进一步完善综合目标管理，统筹抓好人民满意单位创建、支部建设、干部作风整治、业务学习等各项工作，促进疾控工作科学全面发展，以更好的状态服务县委、县政府各项中心工作，为全县人民的健康再作贡献。</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1.进一步优化干部作风建设，提高机关效能，着力开展“人民满意单位”的创建，为全县经济社会科学赶超发展发挥积极作用。</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2.做好免疫规划90%达标考核工作，胜利迎接省市检查组的达标考核验收，大力提高全县免疫规划工作水平。</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3.进一步加强疾控队伍建设，提高技术人员业务水平，确保疾控工作质量稳步提升。</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4.切实加强艾滋病、手足口病、甲型H1N1流感、霍乱等传染病的监测与防控工作，最大限度遏制传染病暴发流行。</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5.继续完善突发公共卫生事件应急机制管理，提高疾病预警预测能力以及对突发公共卫生事件的应急处置能力。</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6.加大健康教育宣传和培训，促进健康教育工作有序开展，顺利推进疾控宣传进社区。</w:t>
      </w:r>
      <w:r>
        <w:rPr>
          <w:rFonts w:hint="eastAsia" w:ascii="仿宋" w:hAnsi="仿宋" w:eastAsia="MS Mincho" w:cs="MS Mincho"/>
          <w:sz w:val="32"/>
          <w:szCs w:val="32"/>
        </w:rPr>
        <w:t>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7.积极开展慢性病综合防控，努力降低慢性病发病率。</w:t>
      </w:r>
    </w:p>
    <w:p>
      <w:pPr>
        <w:spacing w:line="520" w:lineRule="exact"/>
        <w:ind w:firstLine="640" w:firstLineChars="200"/>
        <w:jc w:val="left"/>
        <w:rPr>
          <w:rFonts w:ascii="仿宋" w:hAnsi="仿宋" w:eastAsia="仿宋"/>
          <w:sz w:val="32"/>
          <w:szCs w:val="32"/>
        </w:rPr>
      </w:pPr>
    </w:p>
    <w:p>
      <w:pPr>
        <w:jc w:val="left"/>
        <w:outlineLvl w:val="0"/>
        <w:rPr>
          <w:rFonts w:ascii="仿宋" w:hAnsi="仿宋" w:eastAsia="仿宋"/>
          <w:sz w:val="32"/>
          <w:szCs w:val="32"/>
        </w:rPr>
      </w:pPr>
      <w:r>
        <w:rPr>
          <w:rFonts w:hint="eastAsia" w:ascii="仿宋" w:hAnsi="仿宋" w:eastAsia="仿宋"/>
          <w:sz w:val="32"/>
          <w:szCs w:val="32"/>
        </w:rPr>
        <w:t>四、预算项目绩效目标</w:t>
      </w:r>
    </w:p>
    <w:p>
      <w:pPr>
        <w:spacing w:line="520" w:lineRule="exact"/>
        <w:jc w:val="left"/>
        <w:rPr>
          <w:rFonts w:ascii="仿宋" w:hAnsi="仿宋" w:eastAsia="仿宋"/>
          <w:sz w:val="32"/>
          <w:szCs w:val="32"/>
        </w:rPr>
      </w:pPr>
    </w:p>
    <w:p>
      <w:pPr>
        <w:ind w:firstLine="562" w:firstLineChars="200"/>
        <w:jc w:val="center"/>
        <w:outlineLvl w:val="3"/>
        <w:rPr>
          <w:rFonts w:hAnsi="宋体"/>
          <w:b/>
          <w:sz w:val="28"/>
        </w:rPr>
      </w:pPr>
      <w:bookmarkStart w:id="1" w:name="_Toc65334115"/>
      <w:r>
        <w:rPr>
          <w:rFonts w:hint="eastAsia" w:ascii="方正仿宋_GBK" w:eastAsia="方正仿宋_GBK"/>
          <w:b/>
          <w:sz w:val="28"/>
        </w:rPr>
        <w:t>1.结核病防治5万元绩效目标表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1、结核病防治5万元绩效目标表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130630215US3F4POB2SXW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结核病防治</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结核病防治工作的督导检查、培训、宣传</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提高结核病管理能力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提高社会服务满意度</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工作覆盖率</w:t>
            </w:r>
            <w:r>
              <w:rPr>
                <w:rFonts w:ascii="方正书宋_GBK" w:eastAsia="方正书宋_GBK"/>
              </w:rPr>
              <w:tab/>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完成年度工作计划</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工作计划实施细则要求</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按时完成全部项目工作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可持续服务保障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服务对象认可度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2" w:name="_Toc65334116"/>
      <w:r>
        <w:rPr>
          <w:rFonts w:hint="eastAsia" w:ascii="方正仿宋_GBK" w:eastAsia="方正仿宋_GBK"/>
          <w:b/>
          <w:sz w:val="28"/>
        </w:rPr>
        <w:t>2.学生营养餐监测5万元绩效目标表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2、学生营养餐监测5万元绩效目标表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130630216MS35CX6SFP0H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学生营养餐监测</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农村义务教育学生营养健康状况监测</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监测学生营养健康状况</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提高社会满意度</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完成情况</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工作完成所用的时间情况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完成期限</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工作保障质量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各项工作有序开展</w:t>
            </w:r>
            <w:r>
              <w:rPr>
                <w:rFonts w:ascii="方正书宋_GBK" w:eastAsia="方正书宋_GBK"/>
              </w:rPr>
              <w:t>,</w:t>
            </w:r>
            <w:r>
              <w:rPr>
                <w:rFonts w:hint="eastAsia" w:ascii="方正书宋_GBK" w:eastAsia="方正书宋_GBK"/>
              </w:rPr>
              <w:t>保障率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工作保障</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不断提升群众精神文明水平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群众对该项目实施满意的比率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3" w:name="_Toc65334117"/>
      <w:r>
        <w:rPr>
          <w:rFonts w:hint="eastAsia" w:ascii="方正仿宋_GBK" w:eastAsia="方正仿宋_GBK"/>
          <w:b/>
          <w:sz w:val="28"/>
        </w:rPr>
        <w:t>3.艾滋病防治8万绩效目标表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3、艾滋病防治8万绩效目标表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1306302172SKSDGKWWZD7</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艾滋病防治</w:t>
            </w:r>
            <w:r>
              <w:rPr>
                <w:rFonts w:ascii="方正书宋_GBK" w:eastAsia="方正书宋_GBK"/>
              </w:rPr>
              <w:t>8</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高危人群干预，督导、宣传、随防，血样送检、自愿咨询、大众宣讲。</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提高患者知晓率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提高服务对象满意度</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保证日常工作运转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项目及时完成率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项目及时完成率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群众对中心服务满意度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服务对象对服务的满意程度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4" w:name="_Toc65334118"/>
      <w:r>
        <w:rPr>
          <w:rFonts w:hint="eastAsia" w:ascii="方正仿宋_GBK" w:eastAsia="方正仿宋_GBK"/>
          <w:b/>
          <w:sz w:val="28"/>
        </w:rPr>
        <w:t>4.卫生检测费及预防性体检补助经费130万元绩效目标表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4、卫生检测费及预防性体检补助经费130万元绩效目标表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13063021EYABPF3473217</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卫生检测费及预防性体检补助经费</w:t>
            </w:r>
            <w:r>
              <w:rPr>
                <w:rFonts w:ascii="方正书宋_GBK" w:eastAsia="方正书宋_GBK"/>
              </w:rPr>
              <w:t>130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主要用于预防性健康体检，体检人员登记、健康证的制作、对医疗机构进行督导调查和非医疗机构单位进行危害因素监测，</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保障从业人员身体健康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保障体检工作正常运转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按要求完成任务</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体检人数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从业人员的体检人数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体检人数</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保证日常工作运转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保障经费</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完成任务时限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保证全年工作正常运转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保证全年工作正常运转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服务对象对服务水平的满意度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5" w:name="_Toc65334119"/>
      <w:r>
        <w:rPr>
          <w:rFonts w:hint="eastAsia" w:ascii="方正仿宋_GBK" w:eastAsia="方正仿宋_GBK"/>
          <w:b/>
          <w:sz w:val="28"/>
        </w:rPr>
        <w:t>5.应急物资储备5万元绩效目标表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5、应急物资储备5万元绩效目标表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13063021G3GG76WLU8TCZ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应急物资储备</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主要用于应急物资储备及应急演练</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保证物资储备充足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提升社会满意度</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物资采购到位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保障经费数量</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提升业务水平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提升业务水平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提升业务水平</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按时完成时间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应对突发事件能力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有效处理突发事件发生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持续发挥作用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6" w:name="_Toc65334120"/>
      <w:r>
        <w:rPr>
          <w:rFonts w:hint="eastAsia" w:ascii="方正仿宋_GBK" w:eastAsia="方正仿宋_GBK"/>
          <w:b/>
          <w:sz w:val="28"/>
        </w:rPr>
        <w:t>6.疾控中心门卫、保洁工资3.12万元绩效目标表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6、疾控中心门卫、保洁工资3.12万元绩效目标表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13063021GNNAE9BI9FXTL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疾控中心门卫、保洁工资</w:t>
            </w:r>
            <w:r>
              <w:rPr>
                <w:rFonts w:ascii="方正书宋_GBK" w:eastAsia="方正书宋_GBK"/>
              </w:rPr>
              <w:t>3.12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3.12</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门卫、保洁工资发放</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保障工资发放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提升服务能力</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工资发放月数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工资发放月数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经费落实</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工资及时发放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工资及时发放</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激发工作热情，提高工作效率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服务高效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服务质量及效率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7" w:name="_Toc65334121"/>
      <w:r>
        <w:rPr>
          <w:rFonts w:hint="eastAsia" w:ascii="方正仿宋_GBK" w:eastAsia="方正仿宋_GBK"/>
          <w:b/>
          <w:sz w:val="28"/>
        </w:rPr>
        <w:t>7.疾控中心慢性病防治3.5万元绩效目标表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7、疾控中心慢性病防治3.5万元绩效目标表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13063021IRTGN4QASHW6A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疾控中心慢性病防治</w:t>
            </w:r>
            <w:r>
              <w:rPr>
                <w:rFonts w:ascii="方正书宋_GBK" w:eastAsia="方正书宋_GBK"/>
              </w:rPr>
              <w:t>3.5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2019</w:t>
            </w:r>
            <w:r>
              <w:rPr>
                <w:rFonts w:hint="eastAsia" w:ascii="方正书宋_GBK" w:eastAsia="方正书宋_GBK"/>
              </w:rPr>
              <w:t>年慢性非传染性疾病防治考核标准</w:t>
            </w:r>
            <w:r>
              <w:rPr>
                <w:rFonts w:ascii="方正书宋_GBK" w:eastAsia="方正书宋_GBK"/>
              </w:rPr>
              <w:t>&gt;&gt;,</w:t>
            </w:r>
            <w:r>
              <w:rPr>
                <w:rFonts w:hint="eastAsia" w:ascii="方正书宋_GBK" w:eastAsia="方正书宋_GBK"/>
              </w:rPr>
              <w:t>要进行慢病防控能力评估调查</w:t>
            </w:r>
            <w:r>
              <w:rPr>
                <w:rFonts w:ascii="方正书宋_GBK" w:eastAsia="方正书宋_GBK"/>
              </w:rPr>
              <w:t>;</w:t>
            </w:r>
            <w:r>
              <w:rPr>
                <w:rFonts w:hint="eastAsia" w:ascii="方正书宋_GBK" w:eastAsia="方正书宋_GBK"/>
              </w:rPr>
              <w:t>对各乡镇卫生院进行督导</w:t>
            </w:r>
            <w:r>
              <w:rPr>
                <w:rFonts w:ascii="方正书宋_GBK" w:eastAsia="方正书宋_GBK"/>
              </w:rPr>
              <w:t>,</w:t>
            </w:r>
            <w:r>
              <w:rPr>
                <w:rFonts w:hint="eastAsia" w:ascii="方正书宋_GBK" w:eastAsia="方正书宋_GBK"/>
              </w:rPr>
              <w:t>死因漏报调查</w:t>
            </w:r>
            <w:r>
              <w:rPr>
                <w:rFonts w:ascii="方正书宋_GBK" w:eastAsia="方正书宋_GBK"/>
              </w:rPr>
              <w:t>,</w:t>
            </w:r>
            <w:r>
              <w:rPr>
                <w:rFonts w:hint="eastAsia" w:ascii="方正书宋_GBK" w:eastAsia="方正书宋_GBK"/>
              </w:rPr>
              <w:t>慢性病工作培训</w:t>
            </w:r>
            <w:r>
              <w:rPr>
                <w:rFonts w:ascii="方正书宋_GBK" w:eastAsia="方正书宋_GBK"/>
              </w:rPr>
              <w:t>,</w:t>
            </w:r>
            <w:r>
              <w:rPr>
                <w:rFonts w:hint="eastAsia" w:ascii="方正书宋_GBK" w:eastAsia="方正书宋_GBK"/>
              </w:rPr>
              <w:t>开展慢性病防治宣传活动</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提升业务能力、服务满意度</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服务数量</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保证日常工作运转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工作效率提高率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工作效率提高率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工作效率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保障社会稳定持续发展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保障社会稳定持续发展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8" w:name="_Toc65334122"/>
      <w:r>
        <w:rPr>
          <w:rFonts w:hint="eastAsia" w:ascii="方正仿宋_GBK" w:eastAsia="方正仿宋_GBK"/>
          <w:b/>
          <w:sz w:val="28"/>
        </w:rPr>
        <w:t>8.布病防治3万绩效目标表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8、布病防治3万绩效目标表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13063021LHMU4HHYEOTH6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布病防治</w:t>
            </w:r>
            <w:r>
              <w:rPr>
                <w:rFonts w:ascii="方正书宋_GBK" w:eastAsia="方正书宋_GBK"/>
              </w:rPr>
              <w:t>3</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针对布病高危人群监测工作及病人的随访管理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提高社会知晓率</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工作情况</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达标情况</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完成情况</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提升群众文化生活水平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提高防治水平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提高防治水平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9" w:name="_Toc65334123"/>
      <w:r>
        <w:rPr>
          <w:rFonts w:hint="eastAsia" w:ascii="方正仿宋_GBK" w:eastAsia="方正仿宋_GBK"/>
          <w:b/>
          <w:sz w:val="28"/>
        </w:rPr>
        <w:t>9.全县学校卫生及饮用水监测5万元绩效目标表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9、全县学校卫生及饮用水监测5万元绩效目标表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13063021THOHKXL6SE9K0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全县学校卫生及饮用水监测</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加强饮用水安全管理工作，提供依据和技术支持，按照《生活饮用水卫生标准》（</w:t>
            </w:r>
            <w:r>
              <w:rPr>
                <w:rFonts w:ascii="方正书宋_GBK" w:eastAsia="方正书宋_GBK"/>
              </w:rPr>
              <w:t>GB5749-2006</w:t>
            </w:r>
            <w:r>
              <w:rPr>
                <w:rFonts w:hint="eastAsia" w:ascii="方正书宋_GBK" w:eastAsia="方正书宋_GBK"/>
              </w:rPr>
              <w:t>）对水质常规指标和氨氮指标进行监测</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加强饮用水安全工作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提高居民生活水平</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检查项目数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完成检查项目的个数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项目个数</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经济及时到位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完成任务时限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任务时限</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社会影响力方面的变化</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项目持续发挥作用期限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center"/>
        <w:outlineLvl w:val="3"/>
        <w:rPr>
          <w:rFonts w:hAnsi="宋体"/>
          <w:b/>
          <w:sz w:val="28"/>
        </w:rPr>
      </w:pPr>
      <w:bookmarkStart w:id="10" w:name="_Toc65334124"/>
      <w:r>
        <w:rPr>
          <w:rFonts w:hint="eastAsia" w:ascii="方正仿宋_GBK" w:eastAsia="方正仿宋_GBK"/>
          <w:b/>
          <w:sz w:val="28"/>
        </w:rPr>
        <w:t>10.儿童预防免费接种25万绩效目标表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10、儿童预防免费接种25万绩效目标表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364001</w:t>
            </w:r>
            <w:r>
              <w:rPr>
                <w:rFonts w:hint="eastAsia" w:ascii="方正书宋_GBK" w:eastAsia="方正书宋_GBK"/>
                <w:b/>
              </w:rPr>
              <w:t>涞源县疾控中心本级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13063021WY7R1GYM27GLC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儿童预防免费接种</w:t>
            </w:r>
            <w:r>
              <w:rPr>
                <w:rFonts w:ascii="方正书宋_GBK" w:eastAsia="方正书宋_GBK"/>
              </w:rPr>
              <w:t>25</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负责全县二类疫苗的接种。疫苗的领取、配送及冷库、冰箱、冷藏车的维修、维护ＡＦＰ、麻疹主动搜索、随访、标本送检，日常工作督导培训及宣传资料</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提高疫苗接种率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提升疫苗储运能力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提升社会服务能力</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保证日常工作运转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经费保障能力</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正常开展工作需要</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正常开展工作需要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群众对中心服务满意度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服务满意度</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服务对象对服务的满意程度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jc w:val="center"/>
        <w:outlineLvl w:val="0"/>
        <w:rPr>
          <w:rFonts w:ascii="仿宋" w:hAnsi="仿宋" w:eastAsia="仿宋"/>
          <w:sz w:val="32"/>
          <w:szCs w:val="32"/>
        </w:rPr>
      </w:pPr>
    </w:p>
    <w:p>
      <w:pPr>
        <w:jc w:val="center"/>
        <w:outlineLvl w:val="0"/>
        <w:rPr>
          <w:rFonts w:ascii="仿宋" w:hAnsi="仿宋" w:eastAsia="仿宋"/>
          <w:b/>
          <w:sz w:val="32"/>
          <w:szCs w:val="32"/>
        </w:rPr>
      </w:pPr>
      <w:r>
        <w:rPr>
          <w:rFonts w:hint="eastAsia" w:ascii="仿宋" w:hAnsi="仿宋" w:eastAsia="仿宋"/>
          <w:b/>
          <w:sz w:val="32"/>
          <w:szCs w:val="32"/>
        </w:rPr>
        <w:t>第六部分：政府采购预算情况</w:t>
      </w:r>
    </w:p>
    <w:p>
      <w:pPr>
        <w:jc w:val="center"/>
        <w:outlineLvl w:val="0"/>
        <w:rPr>
          <w:rFonts w:ascii="仿宋" w:hAnsi="仿宋" w:eastAsia="仿宋"/>
          <w:sz w:val="32"/>
          <w:szCs w:val="32"/>
        </w:rPr>
      </w:pPr>
    </w:p>
    <w:p>
      <w:pPr>
        <w:jc w:val="left"/>
        <w:outlineLvl w:val="0"/>
        <w:rPr>
          <w:rFonts w:ascii="仿宋" w:hAnsi="仿宋" w:eastAsia="仿宋"/>
          <w:sz w:val="32"/>
          <w:szCs w:val="32"/>
        </w:rPr>
      </w:pPr>
      <w:r>
        <w:rPr>
          <w:rFonts w:hint="eastAsia" w:ascii="仿宋" w:hAnsi="仿宋" w:eastAsia="仿宋"/>
          <w:sz w:val="32"/>
          <w:szCs w:val="32"/>
        </w:rPr>
        <w:t>我部门2021年无政府采购预算。</w:t>
      </w:r>
    </w:p>
    <w:p>
      <w:pPr>
        <w:jc w:val="left"/>
        <w:outlineLvl w:val="0"/>
        <w:rPr>
          <w:rFonts w:ascii="仿宋" w:hAnsi="仿宋" w:eastAsia="仿宋"/>
          <w:sz w:val="32"/>
          <w:szCs w:val="32"/>
        </w:rPr>
      </w:pPr>
    </w:p>
    <w:p>
      <w:pPr>
        <w:jc w:val="center"/>
        <w:rPr>
          <w:rFonts w:ascii="仿宋" w:hAnsi="仿宋" w:eastAsia="仿宋"/>
          <w:b/>
          <w:sz w:val="32"/>
          <w:szCs w:val="32"/>
        </w:rPr>
      </w:pPr>
      <w:r>
        <w:rPr>
          <w:rFonts w:hint="eastAsia" w:ascii="仿宋" w:hAnsi="仿宋" w:eastAsia="仿宋"/>
          <w:b/>
          <w:sz w:val="32"/>
          <w:szCs w:val="32"/>
        </w:rPr>
        <w:t>第七部分：国有资产信息情况说明</w:t>
      </w:r>
    </w:p>
    <w:p>
      <w:pPr>
        <w:rPr>
          <w:rFonts w:ascii="仿宋" w:hAnsi="仿宋" w:eastAsia="仿宋"/>
          <w:sz w:val="32"/>
          <w:szCs w:val="32"/>
        </w:rPr>
      </w:pPr>
      <w:r>
        <w:rPr>
          <w:rFonts w:hint="eastAsia"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涞源县疾病预防控制中心2020年末固定资产总金额</w:t>
      </w:r>
      <w:r>
        <w:rPr>
          <w:rFonts w:hint="eastAsia" w:ascii="仿宋" w:hAnsi="仿宋" w:eastAsia="仿宋" w:cs="宋体"/>
          <w:b/>
          <w:color w:val="000000"/>
          <w:kern w:val="0"/>
          <w:sz w:val="32"/>
          <w:szCs w:val="32"/>
        </w:rPr>
        <w:t>1595.78</w:t>
      </w:r>
      <w:r>
        <w:rPr>
          <w:rFonts w:hint="eastAsia" w:ascii="仿宋" w:hAnsi="仿宋" w:eastAsia="仿宋"/>
          <w:sz w:val="32"/>
          <w:szCs w:val="32"/>
        </w:rPr>
        <w:t xml:space="preserve">万元（详见下表）。2021年无拟购置情况。 </w:t>
      </w:r>
    </w:p>
    <w:tbl>
      <w:tblPr>
        <w:tblStyle w:val="5"/>
        <w:tblW w:w="8804" w:type="dxa"/>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sz w:val="32"/>
                <w:szCs w:val="32"/>
              </w:rPr>
              <w:t>涞源县疾病预防中心固定资产占用情况表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截止时间：2020年12月31日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1595.78</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4242.35</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303.41</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301.47</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22.60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72.86</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907.65</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289.26</w:t>
            </w:r>
          </w:p>
        </w:tc>
      </w:tr>
    </w:tbl>
    <w:p>
      <w:pPr>
        <w:spacing w:line="500" w:lineRule="exact"/>
        <w:jc w:val="center"/>
        <w:outlineLvl w:val="0"/>
        <w:rPr>
          <w:rFonts w:ascii="仿宋" w:hAnsi="仿宋" w:eastAsia="仿宋"/>
          <w:sz w:val="32"/>
          <w:szCs w:val="32"/>
        </w:rPr>
      </w:pPr>
    </w:p>
    <w:p>
      <w:pPr>
        <w:spacing w:line="500" w:lineRule="exact"/>
        <w:jc w:val="center"/>
        <w:outlineLvl w:val="0"/>
        <w:rPr>
          <w:rFonts w:ascii="仿宋" w:hAnsi="仿宋" w:eastAsia="仿宋"/>
          <w:b/>
          <w:sz w:val="32"/>
          <w:szCs w:val="32"/>
        </w:rPr>
      </w:pPr>
      <w:r>
        <w:rPr>
          <w:rFonts w:hint="eastAsia" w:ascii="仿宋" w:hAnsi="仿宋" w:eastAsia="仿宋"/>
          <w:b/>
          <w:sz w:val="32"/>
          <w:szCs w:val="32"/>
        </w:rPr>
        <w:t>第八部分：名词解释</w:t>
      </w:r>
    </w:p>
    <w:p>
      <w:pPr>
        <w:spacing w:line="500" w:lineRule="exact"/>
        <w:jc w:val="center"/>
        <w:outlineLvl w:val="0"/>
        <w:rPr>
          <w:rFonts w:ascii="仿宋" w:hAnsi="仿宋" w:eastAsia="仿宋"/>
          <w:b/>
          <w:sz w:val="32"/>
          <w:szCs w:val="32"/>
        </w:rPr>
      </w:pPr>
    </w:p>
    <w:p>
      <w:pPr>
        <w:spacing w:line="500" w:lineRule="exact"/>
        <w:ind w:firstLine="643" w:firstLineChars="200"/>
        <w:jc w:val="left"/>
        <w:outlineLvl w:val="0"/>
        <w:rPr>
          <w:rFonts w:ascii="仿宋" w:hAnsi="仿宋" w:eastAsia="仿宋"/>
          <w:b/>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ind w:firstLine="627" w:firstLineChars="196"/>
        <w:jc w:val="center"/>
        <w:outlineLvl w:val="0"/>
        <w:rPr>
          <w:rFonts w:ascii="仿宋" w:hAnsi="仿宋" w:eastAsia="仿宋"/>
          <w:sz w:val="32"/>
          <w:szCs w:val="32"/>
        </w:rPr>
      </w:pPr>
    </w:p>
    <w:p>
      <w:pPr>
        <w:spacing w:line="500" w:lineRule="exact"/>
        <w:jc w:val="center"/>
        <w:outlineLvl w:val="0"/>
        <w:rPr>
          <w:rFonts w:ascii="仿宋" w:hAnsi="仿宋" w:eastAsia="仿宋"/>
          <w:b/>
          <w:sz w:val="32"/>
          <w:szCs w:val="32"/>
        </w:rPr>
      </w:pPr>
      <w:r>
        <w:rPr>
          <w:rFonts w:hint="eastAsia" w:ascii="仿宋" w:hAnsi="仿宋" w:eastAsia="仿宋"/>
          <w:b/>
          <w:sz w:val="32"/>
          <w:szCs w:val="32"/>
        </w:rPr>
        <w:t>第九部分：其他需说明的事项</w:t>
      </w:r>
    </w:p>
    <w:p>
      <w:pPr>
        <w:spacing w:line="500" w:lineRule="exact"/>
        <w:ind w:firstLine="1264" w:firstLineChars="395"/>
        <w:jc w:val="left"/>
        <w:outlineLvl w:val="0"/>
        <w:rPr>
          <w:rFonts w:ascii="仿宋" w:hAnsi="仿宋" w:eastAsia="仿宋"/>
          <w:sz w:val="32"/>
          <w:szCs w:val="32"/>
        </w:rPr>
      </w:pPr>
    </w:p>
    <w:p>
      <w:pPr>
        <w:spacing w:line="500" w:lineRule="exact"/>
        <w:ind w:firstLine="640" w:firstLineChars="200"/>
        <w:jc w:val="left"/>
        <w:outlineLvl w:val="0"/>
        <w:rPr>
          <w:rFonts w:ascii="仿宋" w:hAnsi="仿宋" w:eastAsia="仿宋"/>
        </w:rPr>
        <w:sectPr>
          <w:pgSz w:w="11907" w:h="16839"/>
          <w:pgMar w:top="1984" w:right="1304" w:bottom="1134" w:left="1304" w:header="851" w:footer="992" w:gutter="0"/>
          <w:cols w:space="720" w:num="1"/>
          <w:docGrid w:type="lines" w:linePitch="312" w:charSpace="0"/>
        </w:sectPr>
      </w:pPr>
      <w:r>
        <w:rPr>
          <w:rFonts w:hint="eastAsia" w:ascii="仿宋" w:hAnsi="仿宋" w:eastAsia="仿宋"/>
          <w:sz w:val="32"/>
          <w:szCs w:val="32"/>
        </w:rPr>
        <w:t>无其他需说明的事项</w:t>
      </w:r>
    </w:p>
    <w:p>
      <w:pPr>
        <w:rPr>
          <w:rFonts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22</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A1F9D"/>
    <w:multiLevelType w:val="singleLevel"/>
    <w:tmpl w:val="973A1F9D"/>
    <w:lvl w:ilvl="0" w:tentative="0">
      <w:start w:val="4"/>
      <w:numFmt w:val="chineseCounting"/>
      <w:suff w:val="nothing"/>
      <w:lvlText w:val="（%1）"/>
      <w:lvlJc w:val="left"/>
      <w:rPr>
        <w:rFonts w:hint="eastAsia"/>
      </w:rPr>
    </w:lvl>
  </w:abstractNum>
  <w:abstractNum w:abstractNumId="1">
    <w:nsid w:val="9AD35B8F"/>
    <w:multiLevelType w:val="singleLevel"/>
    <w:tmpl w:val="9AD35B8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GQ2ODA4NzRlYWQyMjAxNzEwZDFmOWYyZWU5NjkifQ=="/>
  </w:docVars>
  <w:rsids>
    <w:rsidRoot w:val="3D144439"/>
    <w:rsid w:val="00107D00"/>
    <w:rsid w:val="0039220C"/>
    <w:rsid w:val="003E6C2F"/>
    <w:rsid w:val="00504978"/>
    <w:rsid w:val="00676460"/>
    <w:rsid w:val="00677A6B"/>
    <w:rsid w:val="007C4ECA"/>
    <w:rsid w:val="00813AAC"/>
    <w:rsid w:val="00DD1281"/>
    <w:rsid w:val="00E14F5E"/>
    <w:rsid w:val="05AF7E35"/>
    <w:rsid w:val="0B5C4788"/>
    <w:rsid w:val="0FCC49F4"/>
    <w:rsid w:val="199C7FAF"/>
    <w:rsid w:val="1ABF2B8E"/>
    <w:rsid w:val="206A1182"/>
    <w:rsid w:val="26C01BC8"/>
    <w:rsid w:val="28063562"/>
    <w:rsid w:val="29021AF4"/>
    <w:rsid w:val="295A231C"/>
    <w:rsid w:val="30EC5FE0"/>
    <w:rsid w:val="398C6871"/>
    <w:rsid w:val="3D144439"/>
    <w:rsid w:val="41A40937"/>
    <w:rsid w:val="443240B8"/>
    <w:rsid w:val="45B61F9E"/>
    <w:rsid w:val="47D46E9B"/>
    <w:rsid w:val="49AB68D1"/>
    <w:rsid w:val="4CA06F71"/>
    <w:rsid w:val="6538225D"/>
    <w:rsid w:val="66D157A7"/>
    <w:rsid w:val="7798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Strong"/>
    <w:basedOn w:val="6"/>
    <w:autoRedefine/>
    <w:qFormat/>
    <w:uiPriority w:val="0"/>
    <w:rPr>
      <w:b/>
    </w:rPr>
  </w:style>
  <w:style w:type="character" w:styleId="8">
    <w:name w:val="page number"/>
    <w:basedOn w:val="6"/>
    <w:autoRedefine/>
    <w:qFormat/>
    <w:uiPriority w:val="0"/>
  </w:style>
  <w:style w:type="character" w:styleId="9">
    <w:name w:val="Hyperlink"/>
    <w:basedOn w:val="6"/>
    <w:autoRedefine/>
    <w:qFormat/>
    <w:uiPriority w:val="0"/>
    <w:rPr>
      <w:color w:val="0000FF"/>
      <w:u w:val="single"/>
    </w:rPr>
  </w:style>
  <w:style w:type="paragraph" w:styleId="10">
    <w:name w:val="List Paragraph"/>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1476</Words>
  <Characters>8415</Characters>
  <Lines>70</Lines>
  <Paragraphs>19</Paragraphs>
  <TotalTime>31</TotalTime>
  <ScaleCrop>false</ScaleCrop>
  <LinksUpToDate>false</LinksUpToDate>
  <CharactersWithSpaces>9872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2020-02-07T06:03:00Z</dcterms:created>
  <dc:creator>	゜﹏深爱不弃</dc:creator>
  <cp:lastModifiedBy>	゜﹏深爱不弃</cp:lastModifiedBy>
  <dcterms:modified xsi:type="dcterms:W3CDTF">2024-01-29T07:06:11Z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084F891918F0412EAA44682A5668B241_13</vt:lpwstr>
  </property>
</Properties>
</file>