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433.91</w:t>
            </w:r>
          </w:p>
        </w:tc>
        <w:tc>
          <w:tcPr>
            <w:tcW w:w="4535" w:type="dxa"/>
            <w:vAlign w:val="center"/>
          </w:tcPr>
          <w:p>
            <w:pPr>
              <w:pStyle w:val="13"/>
            </w:pPr>
            <w:r>
              <w:t>一、一般公共服务支出</w:t>
            </w:r>
          </w:p>
        </w:tc>
        <w:tc>
          <w:tcPr>
            <w:tcW w:w="2126" w:type="dxa"/>
            <w:vAlign w:val="center"/>
          </w:tcPr>
          <w:p>
            <w:pPr>
              <w:pStyle w:val="12"/>
            </w:pPr>
            <w:r>
              <w:t>427.48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433.91</w:t>
            </w:r>
          </w:p>
        </w:tc>
        <w:tc>
          <w:tcPr>
            <w:tcW w:w="4535" w:type="dxa"/>
            <w:vAlign w:val="center"/>
          </w:tcPr>
          <w:p>
            <w:pPr>
              <w:pStyle w:val="15"/>
            </w:pPr>
            <w:r>
              <w:t>本年支出合计</w:t>
            </w:r>
          </w:p>
        </w:tc>
        <w:tc>
          <w:tcPr>
            <w:tcW w:w="2126" w:type="dxa"/>
            <w:vAlign w:val="center"/>
          </w:tcPr>
          <w:p>
            <w:pPr>
              <w:pStyle w:val="16"/>
            </w:pPr>
            <w:r>
              <w:t>433.91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433.91</w:t>
            </w:r>
          </w:p>
        </w:tc>
        <w:tc>
          <w:tcPr>
            <w:tcW w:w="4535" w:type="dxa"/>
            <w:vAlign w:val="center"/>
          </w:tcPr>
          <w:p>
            <w:pPr>
              <w:pStyle w:val="15"/>
            </w:pPr>
            <w:r>
              <w:t>支出总计</w:t>
            </w:r>
          </w:p>
        </w:tc>
        <w:tc>
          <w:tcPr>
            <w:tcW w:w="2126" w:type="dxa"/>
            <w:vAlign w:val="center"/>
          </w:tcPr>
          <w:p>
            <w:pPr>
              <w:pStyle w:val="16"/>
            </w:pPr>
            <w:r>
              <w:t>433.91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433.91</w:t>
            </w:r>
          </w:p>
        </w:tc>
        <w:tc>
          <w:tcPr>
            <w:tcW w:w="1134" w:type="dxa"/>
            <w:vAlign w:val="center"/>
          </w:tcPr>
          <w:p>
            <w:pPr>
              <w:pStyle w:val="16"/>
            </w:pPr>
            <w:r>
              <w:t>433.91</w:t>
            </w:r>
          </w:p>
        </w:tc>
        <w:tc>
          <w:tcPr>
            <w:tcW w:w="1134" w:type="dxa"/>
            <w:vAlign w:val="center"/>
          </w:tcPr>
          <w:p>
            <w:pPr>
              <w:pStyle w:val="16"/>
            </w:pPr>
            <w:r>
              <w:t>433.91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r>
              <w:t>427.48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5.57</w:t>
            </w:r>
          </w:p>
        </w:tc>
        <w:tc>
          <w:tcPr>
            <w:tcW w:w="1134" w:type="dxa"/>
            <w:vAlign w:val="center"/>
          </w:tcPr>
          <w:p>
            <w:pPr>
              <w:pStyle w:val="12"/>
            </w:pPr>
            <w:r>
              <w:t>5.57</w:t>
            </w:r>
          </w:p>
        </w:tc>
        <w:tc>
          <w:tcPr>
            <w:tcW w:w="1134" w:type="dxa"/>
            <w:vAlign w:val="center"/>
          </w:tcPr>
          <w:p>
            <w:pPr>
              <w:pStyle w:val="12"/>
            </w:pPr>
            <w:r>
              <w:t>5.57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5.57</w:t>
            </w:r>
          </w:p>
        </w:tc>
        <w:tc>
          <w:tcPr>
            <w:tcW w:w="1134" w:type="dxa"/>
            <w:vAlign w:val="center"/>
          </w:tcPr>
          <w:p>
            <w:pPr>
              <w:pStyle w:val="12"/>
            </w:pPr>
            <w:r>
              <w:t>5.57</w:t>
            </w:r>
          </w:p>
        </w:tc>
        <w:tc>
          <w:tcPr>
            <w:tcW w:w="1134" w:type="dxa"/>
            <w:vAlign w:val="center"/>
          </w:tcPr>
          <w:p>
            <w:pPr>
              <w:pStyle w:val="12"/>
            </w:pPr>
            <w:r>
              <w:t>5.57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433.91</w:t>
            </w:r>
          </w:p>
        </w:tc>
        <w:tc>
          <w:tcPr>
            <w:tcW w:w="1361" w:type="dxa"/>
            <w:vAlign w:val="center"/>
          </w:tcPr>
          <w:p>
            <w:pPr>
              <w:pStyle w:val="16"/>
            </w:pPr>
            <w:r>
              <w:t>433.91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427.48</w:t>
            </w:r>
          </w:p>
        </w:tc>
        <w:tc>
          <w:tcPr>
            <w:tcW w:w="1361" w:type="dxa"/>
            <w:vAlign w:val="center"/>
          </w:tcPr>
          <w:p>
            <w:pPr>
              <w:pStyle w:val="12"/>
            </w:pPr>
            <w:r>
              <w:t>427.48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427.48</w:t>
            </w:r>
          </w:p>
        </w:tc>
        <w:tc>
          <w:tcPr>
            <w:tcW w:w="1361" w:type="dxa"/>
            <w:vAlign w:val="center"/>
          </w:tcPr>
          <w:p>
            <w:pPr>
              <w:pStyle w:val="12"/>
            </w:pPr>
            <w:r>
              <w:t>427.48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427.48</w:t>
            </w:r>
          </w:p>
        </w:tc>
        <w:tc>
          <w:tcPr>
            <w:tcW w:w="1361" w:type="dxa"/>
            <w:vAlign w:val="center"/>
          </w:tcPr>
          <w:p>
            <w:pPr>
              <w:pStyle w:val="12"/>
            </w:pPr>
            <w:r>
              <w:t>427.48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5.57</w:t>
            </w:r>
          </w:p>
        </w:tc>
        <w:tc>
          <w:tcPr>
            <w:tcW w:w="1361" w:type="dxa"/>
            <w:vAlign w:val="center"/>
          </w:tcPr>
          <w:p>
            <w:pPr>
              <w:pStyle w:val="12"/>
            </w:pPr>
            <w:r>
              <w:t>5.57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5.57</w:t>
            </w:r>
          </w:p>
        </w:tc>
        <w:tc>
          <w:tcPr>
            <w:tcW w:w="1361" w:type="dxa"/>
            <w:vAlign w:val="center"/>
          </w:tcPr>
          <w:p>
            <w:pPr>
              <w:pStyle w:val="12"/>
            </w:pPr>
            <w:r>
              <w:t>5.57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1.72</w:t>
            </w:r>
          </w:p>
        </w:tc>
        <w:tc>
          <w:tcPr>
            <w:tcW w:w="1361" w:type="dxa"/>
            <w:vAlign w:val="center"/>
          </w:tcPr>
          <w:p>
            <w:pPr>
              <w:pStyle w:val="12"/>
            </w:pPr>
            <w:r>
              <w:t>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0.86</w:t>
            </w:r>
          </w:p>
        </w:tc>
        <w:tc>
          <w:tcPr>
            <w:tcW w:w="1361" w:type="dxa"/>
            <w:vAlign w:val="center"/>
          </w:tcPr>
          <w:p>
            <w:pPr>
              <w:pStyle w:val="12"/>
            </w:pPr>
            <w:r>
              <w:t>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0.86</w:t>
            </w:r>
          </w:p>
        </w:tc>
        <w:tc>
          <w:tcPr>
            <w:tcW w:w="1361" w:type="dxa"/>
            <w:vAlign w:val="center"/>
          </w:tcPr>
          <w:p>
            <w:pPr>
              <w:pStyle w:val="12"/>
            </w:pPr>
            <w:r>
              <w:t>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0.86</w:t>
            </w:r>
          </w:p>
        </w:tc>
        <w:tc>
          <w:tcPr>
            <w:tcW w:w="1361" w:type="dxa"/>
            <w:vAlign w:val="center"/>
          </w:tcPr>
          <w:p>
            <w:pPr>
              <w:pStyle w:val="12"/>
            </w:pPr>
            <w:r>
              <w:t>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0.86</w:t>
            </w:r>
          </w:p>
        </w:tc>
        <w:tc>
          <w:tcPr>
            <w:tcW w:w="1361" w:type="dxa"/>
            <w:vAlign w:val="center"/>
          </w:tcPr>
          <w:p>
            <w:pPr>
              <w:pStyle w:val="12"/>
            </w:pPr>
            <w:r>
              <w:t>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433.91</w:t>
            </w:r>
          </w:p>
        </w:tc>
        <w:tc>
          <w:tcPr>
            <w:tcW w:w="3402" w:type="dxa"/>
            <w:vAlign w:val="center"/>
          </w:tcPr>
          <w:p>
            <w:pPr>
              <w:pStyle w:val="13"/>
            </w:pPr>
            <w:r>
              <w:t>一、一般公共服务支出</w:t>
            </w:r>
          </w:p>
        </w:tc>
        <w:tc>
          <w:tcPr>
            <w:tcW w:w="1474" w:type="dxa"/>
            <w:vAlign w:val="center"/>
          </w:tcPr>
          <w:p>
            <w:pPr>
              <w:pStyle w:val="12"/>
            </w:pPr>
            <w:r>
              <w:t>427.48</w:t>
            </w:r>
          </w:p>
        </w:tc>
        <w:tc>
          <w:tcPr>
            <w:tcW w:w="1474" w:type="dxa"/>
            <w:vAlign w:val="center"/>
          </w:tcPr>
          <w:p>
            <w:pPr>
              <w:pStyle w:val="12"/>
            </w:pPr>
            <w:r>
              <w:t>427.48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5.57</w:t>
            </w:r>
          </w:p>
        </w:tc>
        <w:tc>
          <w:tcPr>
            <w:tcW w:w="1474" w:type="dxa"/>
            <w:vAlign w:val="center"/>
          </w:tcPr>
          <w:p>
            <w:pPr>
              <w:pStyle w:val="12"/>
            </w:pPr>
            <w:r>
              <w:t>5.57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0.86</w:t>
            </w:r>
          </w:p>
        </w:tc>
        <w:tc>
          <w:tcPr>
            <w:tcW w:w="1474" w:type="dxa"/>
            <w:vAlign w:val="center"/>
          </w:tcPr>
          <w:p>
            <w:pPr>
              <w:pStyle w:val="12"/>
            </w:pPr>
            <w:r>
              <w:t>0.86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433.91</w:t>
            </w:r>
          </w:p>
        </w:tc>
        <w:tc>
          <w:tcPr>
            <w:tcW w:w="3402" w:type="dxa"/>
            <w:vAlign w:val="center"/>
          </w:tcPr>
          <w:p>
            <w:pPr>
              <w:pStyle w:val="15"/>
            </w:pPr>
            <w:r>
              <w:t>本年支出合计</w:t>
            </w:r>
          </w:p>
        </w:tc>
        <w:tc>
          <w:tcPr>
            <w:tcW w:w="1474" w:type="dxa"/>
            <w:vAlign w:val="center"/>
          </w:tcPr>
          <w:p>
            <w:pPr>
              <w:pStyle w:val="16"/>
            </w:pPr>
            <w:r>
              <w:t>433.91</w:t>
            </w:r>
          </w:p>
        </w:tc>
        <w:tc>
          <w:tcPr>
            <w:tcW w:w="1474" w:type="dxa"/>
            <w:vAlign w:val="center"/>
          </w:tcPr>
          <w:p>
            <w:pPr>
              <w:pStyle w:val="16"/>
            </w:pPr>
            <w:r>
              <w:t>433.91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433.91</w:t>
            </w:r>
          </w:p>
        </w:tc>
        <w:tc>
          <w:tcPr>
            <w:tcW w:w="3402" w:type="dxa"/>
            <w:vAlign w:val="center"/>
          </w:tcPr>
          <w:p>
            <w:pPr>
              <w:pStyle w:val="15"/>
            </w:pPr>
            <w:r>
              <w:t>支出总计</w:t>
            </w:r>
          </w:p>
        </w:tc>
        <w:tc>
          <w:tcPr>
            <w:tcW w:w="1474" w:type="dxa"/>
            <w:vAlign w:val="center"/>
          </w:tcPr>
          <w:p>
            <w:pPr>
              <w:pStyle w:val="16"/>
            </w:pPr>
            <w:r>
              <w:t>433.91</w:t>
            </w:r>
          </w:p>
        </w:tc>
        <w:tc>
          <w:tcPr>
            <w:tcW w:w="1474" w:type="dxa"/>
            <w:vAlign w:val="center"/>
          </w:tcPr>
          <w:p>
            <w:pPr>
              <w:pStyle w:val="16"/>
            </w:pPr>
            <w:r>
              <w:t>433.91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433.91</w:t>
            </w:r>
          </w:p>
        </w:tc>
        <w:tc>
          <w:tcPr>
            <w:tcW w:w="2551" w:type="dxa"/>
            <w:vAlign w:val="center"/>
          </w:tcPr>
          <w:p>
            <w:pPr>
              <w:pStyle w:val="16"/>
            </w:pPr>
            <w:r>
              <w:t>433.91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427.48</w:t>
            </w:r>
          </w:p>
        </w:tc>
        <w:tc>
          <w:tcPr>
            <w:tcW w:w="2551" w:type="dxa"/>
            <w:vAlign w:val="center"/>
          </w:tcPr>
          <w:p>
            <w:pPr>
              <w:pStyle w:val="12"/>
            </w:pPr>
            <w:r>
              <w:t>427.48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427.48</w:t>
            </w:r>
          </w:p>
        </w:tc>
        <w:tc>
          <w:tcPr>
            <w:tcW w:w="2551" w:type="dxa"/>
            <w:vAlign w:val="center"/>
          </w:tcPr>
          <w:p>
            <w:pPr>
              <w:pStyle w:val="12"/>
            </w:pPr>
            <w:r>
              <w:t>427.48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427.48</w:t>
            </w:r>
          </w:p>
        </w:tc>
        <w:tc>
          <w:tcPr>
            <w:tcW w:w="2551" w:type="dxa"/>
            <w:vAlign w:val="center"/>
          </w:tcPr>
          <w:p>
            <w:pPr>
              <w:pStyle w:val="12"/>
            </w:pPr>
            <w:r>
              <w:t>427.48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5.57</w:t>
            </w:r>
          </w:p>
        </w:tc>
        <w:tc>
          <w:tcPr>
            <w:tcW w:w="2551" w:type="dxa"/>
            <w:vAlign w:val="center"/>
          </w:tcPr>
          <w:p>
            <w:pPr>
              <w:pStyle w:val="12"/>
            </w:pPr>
            <w:r>
              <w:t>5.57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5.57</w:t>
            </w:r>
          </w:p>
        </w:tc>
        <w:tc>
          <w:tcPr>
            <w:tcW w:w="2551" w:type="dxa"/>
            <w:vAlign w:val="center"/>
          </w:tcPr>
          <w:p>
            <w:pPr>
              <w:pStyle w:val="12"/>
            </w:pPr>
            <w:r>
              <w:t>5.57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433.91</w:t>
            </w:r>
          </w:p>
        </w:tc>
        <w:tc>
          <w:tcPr>
            <w:tcW w:w="2551" w:type="dxa"/>
            <w:vAlign w:val="center"/>
          </w:tcPr>
          <w:p>
            <w:pPr>
              <w:pStyle w:val="16"/>
            </w:pPr>
            <w:r>
              <w:t>390.85</w:t>
            </w:r>
          </w:p>
        </w:tc>
        <w:tc>
          <w:tcPr>
            <w:tcW w:w="2551" w:type="dxa"/>
            <w:vAlign w:val="center"/>
          </w:tcPr>
          <w:p>
            <w:pPr>
              <w:pStyle w:val="16"/>
            </w:pPr>
            <w:r>
              <w:t>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387.86</w:t>
            </w:r>
          </w:p>
        </w:tc>
        <w:tc>
          <w:tcPr>
            <w:tcW w:w="2551" w:type="dxa"/>
            <w:vAlign w:val="center"/>
          </w:tcPr>
          <w:p>
            <w:pPr>
              <w:pStyle w:val="12"/>
            </w:pPr>
            <w:r>
              <w:t>387.86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336.98</w:t>
            </w:r>
          </w:p>
        </w:tc>
        <w:tc>
          <w:tcPr>
            <w:tcW w:w="2551" w:type="dxa"/>
            <w:vAlign w:val="center"/>
          </w:tcPr>
          <w:p>
            <w:pPr>
              <w:pStyle w:val="12"/>
            </w:pPr>
            <w:r>
              <w:t>336.98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30.74</w:t>
            </w:r>
          </w:p>
        </w:tc>
        <w:tc>
          <w:tcPr>
            <w:tcW w:w="2551" w:type="dxa"/>
            <w:vAlign w:val="center"/>
          </w:tcPr>
          <w:p>
            <w:pPr>
              <w:pStyle w:val="12"/>
            </w:pPr>
            <w:r>
              <w:t>30.74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1.58</w:t>
            </w:r>
          </w:p>
        </w:tc>
        <w:tc>
          <w:tcPr>
            <w:tcW w:w="2551" w:type="dxa"/>
            <w:vAlign w:val="center"/>
          </w:tcPr>
          <w:p>
            <w:pPr>
              <w:pStyle w:val="12"/>
            </w:pPr>
            <w:r>
              <w:t>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14.37</w:t>
            </w:r>
          </w:p>
        </w:tc>
        <w:tc>
          <w:tcPr>
            <w:tcW w:w="2551" w:type="dxa"/>
            <w:vAlign w:val="center"/>
          </w:tcPr>
          <w:p>
            <w:pPr>
              <w:pStyle w:val="12"/>
            </w:pPr>
            <w:r>
              <w:t>14.37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43.06</w:t>
            </w:r>
          </w:p>
        </w:tc>
        <w:tc>
          <w:tcPr>
            <w:tcW w:w="2551" w:type="dxa"/>
            <w:vAlign w:val="center"/>
          </w:tcPr>
          <w:p>
            <w:pPr>
              <w:pStyle w:val="12"/>
            </w:pPr>
          </w:p>
        </w:tc>
        <w:tc>
          <w:tcPr>
            <w:tcW w:w="2551" w:type="dxa"/>
            <w:vAlign w:val="center"/>
          </w:tcPr>
          <w:p>
            <w:pPr>
              <w:pStyle w:val="12"/>
            </w:pPr>
            <w:r>
              <w:t>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4.97</w:t>
            </w:r>
          </w:p>
        </w:tc>
        <w:tc>
          <w:tcPr>
            <w:tcW w:w="2551" w:type="dxa"/>
            <w:vAlign w:val="center"/>
          </w:tcPr>
          <w:p>
            <w:pPr>
              <w:pStyle w:val="12"/>
            </w:pPr>
          </w:p>
        </w:tc>
        <w:tc>
          <w:tcPr>
            <w:tcW w:w="2551" w:type="dxa"/>
            <w:vAlign w:val="center"/>
          </w:tcPr>
          <w:p>
            <w:pPr>
              <w:pStyle w:val="12"/>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4.60</w:t>
            </w:r>
          </w:p>
        </w:tc>
        <w:tc>
          <w:tcPr>
            <w:tcW w:w="2551" w:type="dxa"/>
            <w:vAlign w:val="center"/>
          </w:tcPr>
          <w:p>
            <w:pPr>
              <w:pStyle w:val="12"/>
            </w:pPr>
          </w:p>
        </w:tc>
        <w:tc>
          <w:tcPr>
            <w:tcW w:w="2551" w:type="dxa"/>
            <w:vAlign w:val="center"/>
          </w:tcPr>
          <w:p>
            <w:pPr>
              <w:pStyle w:val="12"/>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8.57</w:t>
            </w:r>
          </w:p>
        </w:tc>
        <w:tc>
          <w:tcPr>
            <w:tcW w:w="2551" w:type="dxa"/>
            <w:vAlign w:val="center"/>
          </w:tcPr>
          <w:p>
            <w:pPr>
              <w:pStyle w:val="12"/>
            </w:pPr>
          </w:p>
        </w:tc>
        <w:tc>
          <w:tcPr>
            <w:tcW w:w="2551" w:type="dxa"/>
            <w:vAlign w:val="center"/>
          </w:tcPr>
          <w:p>
            <w:pPr>
              <w:pStyle w:val="12"/>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0.78</w:t>
            </w:r>
          </w:p>
        </w:tc>
        <w:tc>
          <w:tcPr>
            <w:tcW w:w="2551" w:type="dxa"/>
            <w:vAlign w:val="center"/>
          </w:tcPr>
          <w:p>
            <w:pPr>
              <w:pStyle w:val="12"/>
            </w:pPr>
          </w:p>
        </w:tc>
        <w:tc>
          <w:tcPr>
            <w:tcW w:w="2551" w:type="dxa"/>
            <w:vAlign w:val="center"/>
          </w:tcPr>
          <w:p>
            <w:pPr>
              <w:pStyle w:val="12"/>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13.50</w:t>
            </w:r>
          </w:p>
        </w:tc>
        <w:tc>
          <w:tcPr>
            <w:tcW w:w="2381" w:type="dxa"/>
            <w:vAlign w:val="center"/>
          </w:tcPr>
          <w:p>
            <w:pPr>
              <w:pStyle w:val="16"/>
            </w:pPr>
            <w:r>
              <w:t>13.50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13.50</w:t>
            </w:r>
          </w:p>
        </w:tc>
        <w:tc>
          <w:tcPr>
            <w:tcW w:w="2381" w:type="dxa"/>
            <w:vAlign w:val="center"/>
          </w:tcPr>
          <w:p>
            <w:pPr>
              <w:pStyle w:val="12"/>
            </w:pPr>
            <w:r>
              <w:t>13.50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9.50</w:t>
            </w:r>
          </w:p>
        </w:tc>
        <w:tc>
          <w:tcPr>
            <w:tcW w:w="2381" w:type="dxa"/>
            <w:vAlign w:val="center"/>
          </w:tcPr>
          <w:p>
            <w:pPr>
              <w:pStyle w:val="12"/>
            </w:pPr>
            <w:r>
              <w:t>9.50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涞源县独山城金属矿开发工业园区管理委员会2024年部门预算信息公开情况说明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涞源县独山城金属矿开发工业园区管理委员会2024年部门预算信息公开情况说明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按照《中华人民共和国预算法》、《地方预决算公开操作规程》和《关于进一步推进预算公开工作的实施意见》规定，现将涞源县独山城金属矿开发工业园区管理委员会2024年部门预算公开如下：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1、编制园区产业发展规划和建设整体规划，经批准后组织实施。对固定资产投资项目进行审批和批复，负责辖区基础设施，公用设施建设与管理。</w:t>
      </w:r>
    </w:p>
    <w:p>
      <w:pPr>
        <w:pStyle w:val="26"/>
      </w:pPr>
      <w:r>
        <w:t>2、负责辖区内财政管理，实施辖区内国有资产管理和财政监督工作。</w:t>
      </w:r>
    </w:p>
    <w:p>
      <w:pPr>
        <w:pStyle w:val="26"/>
      </w:pPr>
      <w:r>
        <w:t>3、负责辖区内招商引资、进出口贸易和国内外经济技术合作工作。</w:t>
      </w:r>
    </w:p>
    <w:p>
      <w:pPr>
        <w:pStyle w:val="26"/>
      </w:pPr>
      <w:r>
        <w:t>4、按照既定政策，加快资源整合工作。</w:t>
      </w:r>
    </w:p>
    <w:p>
      <w:pPr>
        <w:pStyle w:val="26"/>
      </w:pPr>
      <w:r>
        <w:t>5、负责辖区环境保护和安全生产监督管理工作。</w:t>
      </w:r>
    </w:p>
    <w:p>
      <w:pPr>
        <w:pStyle w:val="26"/>
      </w:pPr>
      <w:r>
        <w:t>6、按照省、市、县有关信访政策，做好辖区内信访稳定工作。</w:t>
      </w:r>
    </w:p>
    <w:p>
      <w:pPr>
        <w:pStyle w:val="26"/>
      </w:pPr>
      <w:r>
        <w:t>7、按照省、市、县有关防汛、防火文件，做好辖区内防汛、防火工作。</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涞源县独山城金属矿开发工业园区管理委员会本级</w:t>
            </w:r>
          </w:p>
        </w:tc>
        <w:tc>
          <w:tcPr>
            <w:tcW w:w="1843" w:type="dxa"/>
            <w:vAlign w:val="center"/>
          </w:tcPr>
          <w:p>
            <w:pPr>
              <w:pStyle w:val="14"/>
            </w:pPr>
            <w:r>
              <w:t>行政</w:t>
            </w:r>
          </w:p>
        </w:tc>
        <w:tc>
          <w:tcPr>
            <w:tcW w:w="2126" w:type="dxa"/>
            <w:vAlign w:val="center"/>
          </w:tcPr>
          <w:p>
            <w:pPr>
              <w:pStyle w:val="14"/>
            </w:pPr>
            <w:r>
              <w:t>未定行政级别</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按照预算管理有关规定，目前部门预算的编制实行综合预算管理，即全部收入和支出都反映在预算中。涞源县独山城金属矿开发工业园区管理委员会机关及所属事业单位的收支包含在部门预算中。</w:t>
      </w:r>
    </w:p>
    <w:p>
      <w:pPr>
        <w:pStyle w:val="19"/>
      </w:pPr>
      <w:r>
        <w:t>1、收入说明</w:t>
      </w:r>
    </w:p>
    <w:p>
      <w:pPr>
        <w:pStyle w:val="19"/>
      </w:pPr>
      <w:r>
        <w:t>反映本部门当年全部收入。2024年预算收入433.91万元，其中：一般公共预算收入433.91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独山城金属矿开发工业园区管理委员会年度部门预算中支出预算的总体情况。2024年支出预算433.91万元，其中基本支出433.91万元，包括人员经费390.85万元和日常公用经费43.06万元；项目支出0.00万元，主要为无</w:t>
      </w:r>
    </w:p>
    <w:p>
      <w:pPr>
        <w:pStyle w:val="19"/>
      </w:pPr>
      <w:r>
        <w:t>3、比上年增减情况</w:t>
      </w:r>
    </w:p>
    <w:p>
      <w:pPr>
        <w:pStyle w:val="19"/>
        <w:rPr>
          <w:rFonts w:hint="eastAsia" w:eastAsia="方正仿宋_GBK"/>
          <w:lang w:eastAsia="zh-CN"/>
        </w:rPr>
      </w:pPr>
      <w:r>
        <w:t>2024年预算收支安排433.91万元，较2023年预算减少104.94万元，其中：基本支出减少104.94万元，主要为减少人员经费支出项目支出增加0.00万元，主要为无</w:t>
      </w:r>
      <w:r>
        <w:rPr>
          <w:rFonts w:hint="eastAsia"/>
          <w:lang w:eastAsia="zh-CN"/>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2024年，我部门运行经费共计安排43.06万元，主要用于日常维修、办公用房水电费、办公用房取暖费、办公用房物业管理费等日常运行支出。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2024年我部门财政拨款“三公”经费预算安排13.50万元，其中因公出国（境）费0.00万元，公务用车购置及运维费用4.00万元（其中：公务用车费为0.00万元，公务用车运维费4.00万元）；公务接待费9.5万元。与2023年相比减少0.50万元，减少的主要原因。</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组织矿区企业积极参与资源整合重组工作，克服重重困难，协调1、4、5、6和叶树沟西矿段五个整合区内的民营企业出资委托中钢设计院，编写五个整合区的整合重组方案，完成了整合重组方案的编制上报工作。</w:t>
      </w:r>
    </w:p>
    <w:p>
      <w:pPr>
        <w:pStyle w:val="22"/>
      </w:pPr>
      <w:r>
        <w:t>加快推进砂石骨料项目建设，在为已投产砂石骨料项目搞好服务的同时，积极推动矿区企业与外来资金合作，新上砂石骨料加工项目，加大招商引资工作。</w:t>
      </w:r>
    </w:p>
    <w:p>
      <w:pPr>
        <w:pStyle w:val="22"/>
      </w:pPr>
      <w:r>
        <w:t>保护好园区生态环境，鼓励企业覆土造田、种植树木、恢复植被。做好园区内的防火、防汛、信访工作。要求各企业严格执行操作规划，防范各类安全生产事故发生，维护好园区内的信访稳定工作。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1、加强推进资源整合工作。</w:t>
      </w:r>
    </w:p>
    <w:p>
      <w:pPr>
        <w:pStyle w:val="23"/>
      </w:pPr>
      <w:r>
        <w:t>绩效目标: 组织矿区企业积极参与资源整合重组工作。</w:t>
      </w:r>
    </w:p>
    <w:p>
      <w:pPr>
        <w:pStyle w:val="23"/>
      </w:pPr>
      <w:r>
        <w:t>绩效指标: 全年完成</w:t>
      </w:r>
    </w:p>
    <w:p>
      <w:pPr>
        <w:pStyle w:val="23"/>
      </w:pPr>
      <w:r>
        <w:t>2、全面做好辖区防火、防汛、信访和安全生产工作</w:t>
      </w:r>
    </w:p>
    <w:p>
      <w:pPr>
        <w:pStyle w:val="23"/>
      </w:pPr>
      <w:r>
        <w:t>绩效目标:确保园区信访稳定，无火灾发生、无安全生产事故发生。</w:t>
      </w:r>
    </w:p>
    <w:p>
      <w:pPr>
        <w:pStyle w:val="23"/>
      </w:pPr>
      <w:r>
        <w:t>绩效指标:全年完成</w:t>
      </w:r>
    </w:p>
    <w:p>
      <w:pPr>
        <w:pStyle w:val="23"/>
      </w:pPr>
      <w:r>
        <w:t>3、加大矿区招商引资和规划工作力度</w:t>
      </w:r>
    </w:p>
    <w:p>
      <w:pPr>
        <w:pStyle w:val="23"/>
      </w:pPr>
      <w:r>
        <w:t>绩效目标: 极力促成中材绿建和中国五矿集团的项目合作。</w:t>
      </w:r>
    </w:p>
    <w:p>
      <w:pPr>
        <w:pStyle w:val="23"/>
      </w:pPr>
      <w:r>
        <w:t>绩效指标:全年完成</w:t>
      </w:r>
    </w:p>
    <w:p>
      <w:pPr>
        <w:pStyle w:val="23"/>
      </w:pPr>
      <w:r>
        <w:t>4、加强矿区生态修复治理工作</w:t>
      </w:r>
    </w:p>
    <w:p>
      <w:pPr>
        <w:pStyle w:val="23"/>
      </w:pPr>
      <w:r>
        <w:t>绩效目标：完成省第四专员办督办问题的整改任务。</w:t>
      </w:r>
    </w:p>
    <w:p>
      <w:pPr>
        <w:pStyle w:val="23"/>
      </w:pPr>
      <w:r>
        <w:t>绩效指标：全年完成。</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从严工作纪律，狠抓机关工作作风，落实全面从严治党要求，扎实推进单位工作再上新台阶。抓学习，全面提高业务水平和自身素质，转作风全面加强工作建设，积极搭建谈判平台，联系矿区企业与河钢涞源有色公司见面沟通交换意见，借助省、市、县有关矿山综合治理政策的东风，创新思路，因地制宜，采取灵活的整合思路，最终促成整合。</w:t>
      </w:r>
    </w:p>
    <w:p>
      <w:pPr>
        <w:pStyle w:val="24"/>
      </w:pPr>
      <w:r>
        <w:t>认真做好防火防汛工作，与矿区企业签订防火防汛责任状，把防火防汛工作作为安全生产一项重要内容来抓，成立组织机构、建章立制，组建防火防汛应急小分队，加大宣传力度，张贴标语等。同时对因河钢整合不到位，部分企业停产多年而引发的租续地等一系列上访事件，我们主动与水堡和走马驿两镇负责领导进行沟通，共同寻求解决办法，做好辖区信访稳控工作。</w:t>
      </w:r>
    </w:p>
    <w:p>
      <w:pPr>
        <w:pStyle w:val="24"/>
      </w:pPr>
      <w:r>
        <w:t>2、加强支出管理。通过优化支出结构、编细编实预算、加快履行政府采购手续、尽快启动项目、及时支付资金、细化代编预算、按规定及时下达资金等多种措施，确保支出进度达标。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年，涞源县独山城金属矿开发工业园区管理委员会安排政府采购预算0.00万元。具体内容见下表。</w:t>
      </w:r>
    </w:p>
    <w:p>
      <w:pPr>
        <w:spacing w:before="10" w:after="10" w:line="240" w:lineRule="auto"/>
        <w:ind w:firstLine="640"/>
        <w:jc w:val="left"/>
        <w:outlineLvl w:val="2"/>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涞源县独山城金属矿开发工业园区管理委员会（含所属单位）上年末固定资产金额为</w:t>
      </w:r>
      <w:r>
        <w:rPr>
          <w:rFonts w:hint="eastAsia" w:eastAsia="方正仿宋_GBK" w:cs="Times New Roman"/>
          <w:b w:val="0"/>
          <w:color w:val="000000"/>
          <w:sz w:val="28"/>
          <w:lang w:val="en-US" w:eastAsia="zh-CN"/>
        </w:rPr>
        <w:t>367.38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98"/>
        <w:gridCol w:w="5057"/>
        <w:gridCol w:w="5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31" w:type="pct"/>
            <w:tcBorders>
              <w:top w:val="single" w:color="FFFFFF" w:sz="6" w:space="0"/>
              <w:left w:val="single" w:color="FFFFFF" w:sz="6" w:space="0"/>
              <w:right w:val="single" w:color="FFFFFF" w:sz="6" w:space="0"/>
            </w:tcBorders>
            <w:vAlign w:val="center"/>
          </w:tcPr>
          <w:p>
            <w:pPr>
              <w:pStyle w:val="10"/>
            </w:pPr>
            <w:r>
              <w:t>803涞源县独山城金属矿开发工业园区管理委员会</w:t>
            </w:r>
          </w:p>
        </w:tc>
        <w:tc>
          <w:tcPr>
            <w:tcW w:w="3368" w:type="pct"/>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31" w:type="pct"/>
            <w:vAlign w:val="center"/>
          </w:tcPr>
          <w:p>
            <w:pPr>
              <w:pStyle w:val="11"/>
            </w:pPr>
            <w:r>
              <w:t>项   目</w:t>
            </w:r>
          </w:p>
        </w:tc>
        <w:tc>
          <w:tcPr>
            <w:tcW w:w="1684" w:type="pct"/>
            <w:vAlign w:val="center"/>
          </w:tcPr>
          <w:p>
            <w:pPr>
              <w:pStyle w:val="11"/>
            </w:pPr>
            <w:r>
              <w:t>数量</w:t>
            </w:r>
          </w:p>
        </w:tc>
        <w:tc>
          <w:tcPr>
            <w:tcW w:w="1684" w:type="pct"/>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eastAsia" w:eastAsia="方正书宋_GBK"/>
                <w:lang w:eastAsia="zh-CN"/>
              </w:rPr>
            </w:pPr>
            <w:r>
              <w:rPr>
                <w:rFonts w:hint="eastAsia"/>
                <w:lang w:eastAsia="zh-CN"/>
              </w:rPr>
              <w:t>资产总额</w:t>
            </w:r>
          </w:p>
        </w:tc>
        <w:tc>
          <w:tcPr>
            <w:tcW w:w="1684" w:type="pct"/>
            <w:vAlign w:val="center"/>
          </w:tcPr>
          <w:p>
            <w:pPr>
              <w:pStyle w:val="14"/>
              <w:rPr>
                <w:rFonts w:hint="default" w:eastAsia="方正书宋_GBK"/>
                <w:lang w:val="en-US" w:eastAsia="zh-CN"/>
              </w:rPr>
            </w:pPr>
          </w:p>
        </w:tc>
        <w:tc>
          <w:tcPr>
            <w:tcW w:w="1684" w:type="pct"/>
            <w:vAlign w:val="center"/>
          </w:tcPr>
          <w:p>
            <w:pPr>
              <w:pStyle w:val="12"/>
              <w:jc w:val="right"/>
              <w:rPr>
                <w:rFonts w:hint="default" w:eastAsia="方正书宋_GBK"/>
                <w:lang w:val="en-US" w:eastAsia="zh-CN"/>
              </w:rPr>
            </w:pPr>
            <w:r>
              <w:rPr>
                <w:rFonts w:hint="eastAsia"/>
                <w:lang w:val="en-US" w:eastAsia="zh-CN"/>
              </w:rPr>
              <w:t>367.38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eastAsia" w:eastAsia="方正书宋_GBK"/>
                <w:lang w:eastAsia="zh-CN"/>
              </w:rPr>
            </w:pPr>
            <w:r>
              <w:rPr>
                <w:rFonts w:hint="eastAsia"/>
                <w:lang w:val="en-US" w:eastAsia="zh-CN"/>
              </w:rPr>
              <w:t>1、</w:t>
            </w:r>
            <w:r>
              <w:rPr>
                <w:rFonts w:hint="eastAsia"/>
                <w:lang w:eastAsia="zh-CN"/>
              </w:rPr>
              <w:t>房屋（平方米）</w:t>
            </w:r>
          </w:p>
        </w:tc>
        <w:tc>
          <w:tcPr>
            <w:tcW w:w="1684" w:type="pct"/>
            <w:vAlign w:val="center"/>
          </w:tcPr>
          <w:p>
            <w:pPr>
              <w:pStyle w:val="14"/>
              <w:ind w:firstLine="0" w:firstLineChars="0"/>
              <w:jc w:val="center"/>
              <w:rPr>
                <w:rFonts w:hint="default" w:eastAsia="方正书宋_GBK"/>
                <w:lang w:val="en-US" w:eastAsia="zh-CN"/>
              </w:rPr>
            </w:pPr>
            <w:r>
              <w:rPr>
                <w:rFonts w:hint="eastAsia"/>
                <w:lang w:val="en-US" w:eastAsia="zh-CN"/>
              </w:rPr>
              <w:t>2500</w:t>
            </w:r>
          </w:p>
        </w:tc>
        <w:tc>
          <w:tcPr>
            <w:tcW w:w="1684" w:type="pct"/>
            <w:vAlign w:val="center"/>
          </w:tcPr>
          <w:p>
            <w:pPr>
              <w:pStyle w:val="12"/>
              <w:jc w:val="right"/>
              <w:rPr>
                <w:rFonts w:hint="default" w:eastAsia="方正书宋_GBK"/>
                <w:lang w:val="en-US" w:eastAsia="zh-CN"/>
              </w:rPr>
            </w:pPr>
            <w:r>
              <w:rPr>
                <w:rFonts w:hint="eastAsia"/>
                <w:lang w:val="en-US" w:eastAsia="zh-CN"/>
              </w:rPr>
              <w:t>262.43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eastAsia" w:eastAsia="方正书宋_GBK"/>
                <w:lang w:eastAsia="zh-CN"/>
              </w:rPr>
            </w:pPr>
            <w:r>
              <w:rPr>
                <w:rFonts w:hint="eastAsia"/>
                <w:lang w:eastAsia="zh-CN"/>
              </w:rPr>
              <w:t>其中：办公用房（平方米）</w:t>
            </w:r>
          </w:p>
        </w:tc>
        <w:tc>
          <w:tcPr>
            <w:tcW w:w="1684" w:type="pct"/>
            <w:vAlign w:val="center"/>
          </w:tcPr>
          <w:p>
            <w:pPr>
              <w:pStyle w:val="14"/>
              <w:ind w:firstLine="0" w:firstLineChars="0"/>
              <w:jc w:val="center"/>
              <w:rPr>
                <w:rFonts w:hint="default" w:eastAsia="方正书宋_GBK"/>
                <w:lang w:val="en-US" w:eastAsia="zh-CN"/>
              </w:rPr>
            </w:pPr>
            <w:r>
              <w:rPr>
                <w:rFonts w:hint="eastAsia"/>
                <w:lang w:val="en-US" w:eastAsia="zh-CN"/>
              </w:rPr>
              <w:t>2500</w:t>
            </w:r>
          </w:p>
        </w:tc>
        <w:tc>
          <w:tcPr>
            <w:tcW w:w="1684" w:type="pct"/>
            <w:vAlign w:val="center"/>
          </w:tcPr>
          <w:p>
            <w:pPr>
              <w:pStyle w:val="12"/>
              <w:jc w:val="right"/>
              <w:rPr>
                <w:rFonts w:hint="default" w:eastAsia="方正书宋_GBK"/>
                <w:lang w:val="en-US" w:eastAsia="zh-CN"/>
              </w:rPr>
            </w:pPr>
            <w:r>
              <w:rPr>
                <w:rFonts w:hint="eastAsia"/>
                <w:lang w:val="en-US" w:eastAsia="zh-CN"/>
              </w:rPr>
              <w:t>262.43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eastAsia" w:eastAsia="方正书宋_GBK"/>
                <w:lang w:eastAsia="zh-CN"/>
              </w:rPr>
            </w:pPr>
            <w:r>
              <w:rPr>
                <w:rFonts w:hint="eastAsia"/>
                <w:lang w:val="en-US" w:eastAsia="zh-CN"/>
              </w:rPr>
              <w:t>2、</w:t>
            </w:r>
            <w:r>
              <w:rPr>
                <w:rFonts w:hint="eastAsia"/>
                <w:lang w:eastAsia="zh-CN"/>
              </w:rPr>
              <w:t>车辆（台、辆）</w:t>
            </w:r>
          </w:p>
        </w:tc>
        <w:tc>
          <w:tcPr>
            <w:tcW w:w="1684" w:type="pct"/>
            <w:vAlign w:val="center"/>
          </w:tcPr>
          <w:p>
            <w:pPr>
              <w:pStyle w:val="14"/>
              <w:ind w:firstLine="0" w:firstLineChars="0"/>
              <w:jc w:val="center"/>
              <w:rPr>
                <w:rFonts w:hint="default" w:eastAsia="方正书宋_GBK"/>
                <w:lang w:val="en-US" w:eastAsia="zh-CN"/>
              </w:rPr>
            </w:pPr>
            <w:r>
              <w:rPr>
                <w:rFonts w:hint="eastAsia"/>
                <w:lang w:val="en-US" w:eastAsia="zh-CN"/>
              </w:rPr>
              <w:t>1</w:t>
            </w:r>
          </w:p>
        </w:tc>
        <w:tc>
          <w:tcPr>
            <w:tcW w:w="1684" w:type="pct"/>
            <w:vAlign w:val="center"/>
          </w:tcPr>
          <w:p>
            <w:pPr>
              <w:pStyle w:val="12"/>
              <w:jc w:val="right"/>
              <w:rPr>
                <w:rFonts w:hint="default" w:eastAsia="方正书宋_GBK"/>
                <w:lang w:val="en-US" w:eastAsia="zh-CN"/>
              </w:rPr>
            </w:pPr>
            <w:r>
              <w:rPr>
                <w:rFonts w:hint="eastAsia"/>
                <w:lang w:val="en-US" w:eastAsia="zh-CN"/>
              </w:rP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default" w:eastAsia="方正书宋_GBK"/>
                <w:lang w:val="en-US" w:eastAsia="zh-CN"/>
              </w:rPr>
            </w:pPr>
            <w:r>
              <w:rPr>
                <w:rFonts w:hint="eastAsia"/>
                <w:lang w:val="en-US" w:eastAsia="zh-CN"/>
              </w:rPr>
              <w:t>3、单价在20万元以上的设备</w:t>
            </w:r>
          </w:p>
        </w:tc>
        <w:tc>
          <w:tcPr>
            <w:tcW w:w="1684" w:type="pct"/>
            <w:vAlign w:val="center"/>
          </w:tcPr>
          <w:p>
            <w:pPr>
              <w:pStyle w:val="14"/>
              <w:ind w:firstLine="0" w:firstLineChars="0"/>
              <w:jc w:val="center"/>
              <w:rPr>
                <w:rFonts w:hint="default" w:eastAsia="方正书宋_GBK"/>
                <w:lang w:val="en-US" w:eastAsia="zh-CN"/>
              </w:rPr>
            </w:pPr>
            <w:r>
              <w:rPr>
                <w:rFonts w:hint="eastAsia"/>
                <w:lang w:val="en-US" w:eastAsia="zh-CN"/>
              </w:rPr>
              <w:t>1</w:t>
            </w:r>
          </w:p>
        </w:tc>
        <w:tc>
          <w:tcPr>
            <w:tcW w:w="1684" w:type="pct"/>
            <w:vAlign w:val="center"/>
          </w:tcPr>
          <w:p>
            <w:pPr>
              <w:pStyle w:val="12"/>
              <w:jc w:val="right"/>
              <w:rPr>
                <w:rFonts w:hint="default" w:eastAsia="方正书宋_GBK"/>
                <w:lang w:val="en-US" w:eastAsia="zh-CN"/>
              </w:rPr>
            </w:pPr>
            <w:r>
              <w:rPr>
                <w:rFonts w:hint="eastAsia"/>
                <w:lang w:val="en-US" w:eastAsia="zh-CN"/>
              </w:rP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31" w:type="pct"/>
            <w:vAlign w:val="center"/>
          </w:tcPr>
          <w:p>
            <w:pPr>
              <w:pStyle w:val="13"/>
              <w:rPr>
                <w:rFonts w:hint="default"/>
                <w:lang w:val="en-US" w:eastAsia="zh-CN"/>
              </w:rPr>
            </w:pPr>
            <w:r>
              <w:rPr>
                <w:rFonts w:hint="eastAsia"/>
                <w:lang w:val="en-US" w:eastAsia="zh-CN"/>
              </w:rPr>
              <w:t>4、其他固定资产</w:t>
            </w:r>
          </w:p>
        </w:tc>
        <w:tc>
          <w:tcPr>
            <w:tcW w:w="1684" w:type="pct"/>
            <w:vAlign w:val="center"/>
          </w:tcPr>
          <w:p>
            <w:pPr>
              <w:pStyle w:val="14"/>
              <w:ind w:firstLine="0" w:firstLineChars="0"/>
              <w:jc w:val="center"/>
              <w:rPr>
                <w:rFonts w:hint="default"/>
                <w:lang w:val="en-US" w:eastAsia="zh-CN"/>
              </w:rPr>
            </w:pPr>
            <w:r>
              <w:rPr>
                <w:rFonts w:hint="eastAsia"/>
                <w:lang w:val="en-US" w:eastAsia="zh-CN"/>
              </w:rPr>
              <w:t>112</w:t>
            </w:r>
          </w:p>
        </w:tc>
        <w:tc>
          <w:tcPr>
            <w:tcW w:w="1684" w:type="pct"/>
            <w:vAlign w:val="center"/>
          </w:tcPr>
          <w:p>
            <w:pPr>
              <w:pStyle w:val="12"/>
              <w:jc w:val="right"/>
              <w:rPr>
                <w:rFonts w:hint="default"/>
                <w:lang w:val="en-US" w:eastAsia="zh-CN"/>
              </w:rPr>
            </w:pPr>
            <w:r>
              <w:rPr>
                <w:rFonts w:hint="eastAsia"/>
                <w:lang w:val="en-US" w:eastAsia="zh-CN"/>
              </w:rPr>
              <w:t>36.11</w:t>
            </w:r>
            <w:bookmarkStart w:id="20" w:name="_GoBack"/>
            <w:bookmarkEnd w:id="20"/>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6081A"/>
    <w:multiLevelType w:val="singleLevel"/>
    <w:tmpl w:val="FA6608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TUzYzE4YmQ0OTU4MGE2NDFlMmFiMDI4MmIwNTkifQ=="/>
  </w:docVars>
  <w:rsids>
    <w:rsidRoot w:val="00000000"/>
    <w:rsid w:val="00ED0F79"/>
    <w:rsid w:val="082223BA"/>
    <w:rsid w:val="0E8611C8"/>
    <w:rsid w:val="15253679"/>
    <w:rsid w:val="299B6018"/>
    <w:rsid w:val="2EA37DC3"/>
    <w:rsid w:val="324E00CB"/>
    <w:rsid w:val="33CC083A"/>
    <w:rsid w:val="3AD36AEF"/>
    <w:rsid w:val="4F885990"/>
    <w:rsid w:val="5E9465B6"/>
    <w:rsid w:val="5EC424E9"/>
    <w:rsid w:val="6280132C"/>
    <w:rsid w:val="661E1587"/>
    <w:rsid w:val="6C2076DB"/>
    <w:rsid w:val="6C240482"/>
    <w:rsid w:val="75A31161"/>
    <w:rsid w:val="76AA6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2024-03-06T10:41:14Z</dcterms:created>
  <dcterms:modified xsi:type="dcterms:W3CDTF">2024-03-06T02:41:14Z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2024-03-06T10:41:15Z</dcterms:created>
  <dcterms:modified xsi:type="dcterms:W3CDTF">2024-03-06T02:41:15Z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2024-03-06T10:41:14Z</dcterms:created>
  <dcterms:modified xsi:type="dcterms:W3CDTF">2024-03-06T02:41:14Z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2024-03-06T10:41:14Z</dcterms:created>
  <dcterms:modified xsi:type="dcterms:W3CDTF">2024-03-06T02:41:14Z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e8194c-2604-420f-bec3-2a176c514c19}">
  <ds:schemaRefs/>
</ds:datastoreItem>
</file>

<file path=customXml/itemProps2.xml><?xml version="1.0" encoding="utf-8"?>
<ds:datastoreItem xmlns:ds="http://schemas.openxmlformats.org/officeDocument/2006/customXml" ds:itemID="{d5777536-7e9f-444a-8092-1039a60ffa7e}">
  <ds:schemaRefs/>
</ds:datastoreItem>
</file>

<file path=customXml/itemProps3.xml><?xml version="1.0" encoding="utf-8"?>
<ds:datastoreItem xmlns:ds="http://schemas.openxmlformats.org/officeDocument/2006/customXml" ds:itemID="{8a8f04cc-ae70-4de4-bf53-1918f57f0460}">
  <ds:schemaRefs/>
</ds:datastoreItem>
</file>

<file path=customXml/itemProps4.xml><?xml version="1.0" encoding="utf-8"?>
<ds:datastoreItem xmlns:ds="http://schemas.openxmlformats.org/officeDocument/2006/customXml" ds:itemID="{32a39ed6-8b7c-4267-995d-0147c033c3fe}">
  <ds:schemaRefs/>
</ds:datastoreItem>
</file>

<file path=customXml/itemProps5.xml><?xml version="1.0" encoding="utf-8"?>
<ds:datastoreItem xmlns:ds="http://schemas.openxmlformats.org/officeDocument/2006/customXml" ds:itemID="{d65a8c96-11ff-4617-9664-aa77d0a2f4c3}">
  <ds:schemaRefs/>
</ds:datastoreItem>
</file>

<file path=customXml/itemProps6.xml><?xml version="1.0" encoding="utf-8"?>
<ds:datastoreItem xmlns:ds="http://schemas.openxmlformats.org/officeDocument/2006/customXml" ds:itemID="{b92814d1-5b3a-4663-aef1-9c8c1e4a3b15}">
  <ds:schemaRefs/>
</ds:datastoreItem>
</file>

<file path=customXml/itemProps7.xml><?xml version="1.0" encoding="utf-8"?>
<ds:datastoreItem xmlns:ds="http://schemas.openxmlformats.org/officeDocument/2006/customXml" ds:itemID="{36ac699f-6a0a-4181-a7fe-5e72ffb69d27}">
  <ds:schemaRefs/>
</ds:datastoreItem>
</file>

<file path=customXml/itemProps8.xml><?xml version="1.0" encoding="utf-8"?>
<ds:datastoreItem xmlns:ds="http://schemas.openxmlformats.org/officeDocument/2006/customXml" ds:itemID="{c47a9142-cf5f-4513-a873-5595c6fa3035}">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2024-03-06T10:41:00Z</dcterms:created>
  <dc:creator>Administrator</dc:creator>
  <cp:lastModifiedBy>糖糖</cp:lastModifiedBy>
  <dcterms:modified xsi:type="dcterms:W3CDTF">2024-03-12T07:34:10Z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79782C75045248C09480375CBB5BE454</vt:lpwstr>
  </property>
</Properties>
</file>