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r>
        <w:fldChar w:fldCharType="end"/>
      </w:r>
    </w:p>
    <w:p>
      <w:r>
        <w:br w:type="page"/>
      </w:r>
    </w:p>
    <w:tbl>
      <w:tblPr>
        <w:tblStyle w:val="8"/>
        <w:tblW w:w="14850" w:type="dxa"/>
        <w:tblInd w:w="0" w:type="dxa"/>
        <w:tblLayout w:type="autofit"/>
        <w:tblCellMar>
          <w:top w:w="0" w:type="dxa"/>
          <w:left w:w="108" w:type="dxa"/>
          <w:bottom w:w="0" w:type="dxa"/>
          <w:right w:w="108" w:type="dxa"/>
        </w:tblCellMar>
      </w:tblPr>
      <w:tblGrid>
        <w:gridCol w:w="93"/>
        <w:gridCol w:w="479"/>
        <w:gridCol w:w="99"/>
        <w:gridCol w:w="217"/>
        <w:gridCol w:w="65"/>
        <w:gridCol w:w="257"/>
        <w:gridCol w:w="923"/>
        <w:gridCol w:w="60"/>
        <w:gridCol w:w="100"/>
        <w:gridCol w:w="135"/>
        <w:gridCol w:w="944"/>
        <w:gridCol w:w="644"/>
        <w:gridCol w:w="286"/>
        <w:gridCol w:w="828"/>
        <w:gridCol w:w="404"/>
        <w:gridCol w:w="386"/>
        <w:gridCol w:w="284"/>
        <w:gridCol w:w="447"/>
        <w:gridCol w:w="261"/>
        <w:gridCol w:w="650"/>
        <w:gridCol w:w="128"/>
        <w:gridCol w:w="73"/>
        <w:gridCol w:w="90"/>
        <w:gridCol w:w="52"/>
        <w:gridCol w:w="141"/>
        <w:gridCol w:w="734"/>
        <w:gridCol w:w="259"/>
        <w:gridCol w:w="298"/>
        <w:gridCol w:w="59"/>
        <w:gridCol w:w="68"/>
        <w:gridCol w:w="701"/>
        <w:gridCol w:w="149"/>
        <w:gridCol w:w="68"/>
        <w:gridCol w:w="325"/>
        <w:gridCol w:w="174"/>
        <w:gridCol w:w="142"/>
        <w:gridCol w:w="219"/>
        <w:gridCol w:w="195"/>
        <w:gridCol w:w="153"/>
        <w:gridCol w:w="83"/>
        <w:gridCol w:w="381"/>
        <w:gridCol w:w="245"/>
        <w:gridCol w:w="709"/>
        <w:gridCol w:w="71"/>
        <w:gridCol w:w="212"/>
        <w:gridCol w:w="142"/>
        <w:gridCol w:w="567"/>
        <w:gridCol w:w="94"/>
        <w:gridCol w:w="19"/>
        <w:gridCol w:w="40"/>
        <w:gridCol w:w="496"/>
        <w:gridCol w:w="201"/>
      </w:tblGrid>
      <w:tr>
        <w:tblPrEx>
          <w:tblCellMar>
            <w:top w:w="0" w:type="dxa"/>
            <w:left w:w="108" w:type="dxa"/>
            <w:bottom w:w="0" w:type="dxa"/>
            <w:right w:w="108" w:type="dxa"/>
          </w:tblCellMar>
        </w:tblPrEx>
        <w:trPr>
          <w:gridAfter w:val="1"/>
          <w:wAfter w:w="201" w:type="dxa"/>
          <w:trHeight w:val="615" w:hRule="atLeast"/>
        </w:trPr>
        <w:tc>
          <w:tcPr>
            <w:tcW w:w="14649" w:type="dxa"/>
            <w:gridSpan w:val="51"/>
            <w:tcBorders>
              <w:top w:val="nil"/>
              <w:left w:val="nil"/>
              <w:bottom w:val="nil"/>
              <w:right w:val="nil"/>
            </w:tcBorders>
            <w:shd w:val="clear" w:color="auto" w:fill="auto"/>
            <w:noWrap/>
            <w:vAlign w:val="center"/>
          </w:tcPr>
          <w:p>
            <w:pPr>
              <w:jc w:val="center"/>
              <w:rPr>
                <w:rFonts w:ascii="宋体" w:hAnsi="宋体" w:eastAsia="宋体" w:cs="宋体"/>
                <w:color w:val="000000"/>
                <w:sz w:val="32"/>
                <w:szCs w:val="32"/>
                <w:lang w:eastAsia="zh-CN"/>
              </w:rPr>
            </w:pPr>
            <w:r>
              <w:rPr>
                <w:rFonts w:hint="eastAsia" w:ascii="宋体" w:hAnsi="宋体" w:eastAsia="宋体" w:cs="宋体"/>
                <w:color w:val="000000"/>
                <w:sz w:val="32"/>
                <w:szCs w:val="32"/>
                <w:lang w:eastAsia="zh-CN"/>
              </w:rPr>
              <w:t>部门预算收支总表</w:t>
            </w:r>
          </w:p>
        </w:tc>
      </w:tr>
      <w:tr>
        <w:tblPrEx>
          <w:tblCellMar>
            <w:top w:w="0" w:type="dxa"/>
            <w:left w:w="108" w:type="dxa"/>
            <w:bottom w:w="0" w:type="dxa"/>
            <w:right w:w="108" w:type="dxa"/>
          </w:tblCellMar>
        </w:tblPrEx>
        <w:trPr>
          <w:gridAfter w:val="1"/>
          <w:wAfter w:w="201" w:type="dxa"/>
          <w:trHeight w:val="360" w:hRule="atLeast"/>
        </w:trPr>
        <w:tc>
          <w:tcPr>
            <w:tcW w:w="7562" w:type="dxa"/>
            <w:gridSpan w:val="20"/>
            <w:tcBorders>
              <w:top w:val="nil"/>
              <w:left w:val="nil"/>
              <w:bottom w:val="nil"/>
              <w:right w:val="nil"/>
            </w:tcBorders>
            <w:shd w:val="clear" w:color="auto" w:fill="auto"/>
            <w:noWrap/>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预算单位编码及名称：[9</w:t>
            </w:r>
            <w:r>
              <w:rPr>
                <w:rFonts w:hint="eastAsia" w:ascii="宋体" w:hAnsi="宋体" w:eastAsia="宋体" w:cs="宋体"/>
                <w:color w:val="000000"/>
                <w:sz w:val="22"/>
                <w:szCs w:val="22"/>
                <w:lang w:val="en-US" w:eastAsia="zh-CN"/>
              </w:rPr>
              <w:t>97</w:t>
            </w:r>
            <w:r>
              <w:rPr>
                <w:rFonts w:hint="eastAsia" w:ascii="宋体" w:hAnsi="宋体" w:eastAsia="宋体" w:cs="宋体"/>
                <w:color w:val="000000"/>
                <w:sz w:val="22"/>
                <w:szCs w:val="22"/>
                <w:lang w:eastAsia="zh-CN"/>
              </w:rPr>
              <w:t>]涞源县</w:t>
            </w:r>
            <w:r>
              <w:rPr>
                <w:rFonts w:hint="eastAsia" w:ascii="宋体" w:hAnsi="宋体" w:eastAsia="宋体" w:cs="宋体"/>
                <w:color w:val="000000"/>
                <w:sz w:val="22"/>
                <w:szCs w:val="22"/>
                <w:lang w:val="en-US" w:eastAsia="zh-CN"/>
              </w:rPr>
              <w:t>泉坊镇</w:t>
            </w:r>
            <w:r>
              <w:rPr>
                <w:rFonts w:hint="eastAsia" w:ascii="宋体" w:hAnsi="宋体" w:eastAsia="宋体" w:cs="宋体"/>
                <w:color w:val="000000"/>
                <w:sz w:val="22"/>
                <w:szCs w:val="22"/>
                <w:lang w:eastAsia="zh-CN"/>
              </w:rPr>
              <w:t>人民政府</w:t>
            </w:r>
          </w:p>
        </w:tc>
        <w:tc>
          <w:tcPr>
            <w:tcW w:w="1775" w:type="dxa"/>
            <w:gridSpan w:val="8"/>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5312" w:type="dxa"/>
            <w:gridSpan w:val="23"/>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tblPrEx>
          <w:tblCellMar>
            <w:top w:w="0" w:type="dxa"/>
            <w:left w:w="108" w:type="dxa"/>
            <w:bottom w:w="0" w:type="dxa"/>
            <w:right w:w="108" w:type="dxa"/>
          </w:tblCellMar>
        </w:tblPrEx>
        <w:trPr>
          <w:gridAfter w:val="1"/>
          <w:wAfter w:w="201" w:type="dxa"/>
          <w:trHeight w:val="360" w:hRule="atLeast"/>
        </w:trPr>
        <w:tc>
          <w:tcPr>
            <w:tcW w:w="57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990" w:type="dxa"/>
            <w:gridSpan w:val="18"/>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7087" w:type="dxa"/>
            <w:gridSpan w:val="31"/>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tblPrEx>
          <w:tblCellMar>
            <w:top w:w="0" w:type="dxa"/>
            <w:left w:w="108" w:type="dxa"/>
            <w:bottom w:w="0" w:type="dxa"/>
            <w:right w:w="108" w:type="dxa"/>
          </w:tblCellMar>
        </w:tblPrEx>
        <w:trPr>
          <w:gridAfter w:val="1"/>
          <w:wAfter w:w="201" w:type="dxa"/>
          <w:trHeight w:val="360" w:hRule="atLeast"/>
        </w:trPr>
        <w:tc>
          <w:tcPr>
            <w:tcW w:w="57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3730" w:type="dxa"/>
            <w:gridSpan w:val="11"/>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3260" w:type="dxa"/>
            <w:gridSpan w:val="7"/>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c>
          <w:tcPr>
            <w:tcW w:w="4111" w:type="dxa"/>
            <w:gridSpan w:val="20"/>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2976" w:type="dxa"/>
            <w:gridSpan w:val="11"/>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r>
      <w:tr>
        <w:tblPrEx>
          <w:tblCellMar>
            <w:top w:w="0" w:type="dxa"/>
            <w:left w:w="108" w:type="dxa"/>
            <w:bottom w:w="0" w:type="dxa"/>
            <w:right w:w="108" w:type="dxa"/>
          </w:tblCellMar>
        </w:tblPrEx>
        <w:trPr>
          <w:gridAfter w:val="1"/>
          <w:wAfter w:w="201" w:type="dxa"/>
          <w:trHeight w:val="360" w:hRule="atLeast"/>
        </w:trPr>
        <w:tc>
          <w:tcPr>
            <w:tcW w:w="572"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3730" w:type="dxa"/>
            <w:gridSpan w:val="11"/>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260" w:type="dxa"/>
            <w:gridSpan w:val="7"/>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4111" w:type="dxa"/>
            <w:gridSpan w:val="20"/>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976" w:type="dxa"/>
            <w:gridSpan w:val="11"/>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一、一般公共预算拨款收入</w:t>
            </w:r>
          </w:p>
        </w:tc>
        <w:tc>
          <w:tcPr>
            <w:tcW w:w="3260"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一、一般公共服务支出</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二、政府性基金预算拨款收入</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二、外交支出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三、国有资本经营预算拨款收入</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三、国防支出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四、财政专户管理资金收入</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四、公共安全支出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五、事业收入</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五、教育支出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六、事业单位经营收入</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六、科学技术支出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七、上级补助收入</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七、文化旅游体育与传媒支出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八、附属单位上缴收入</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八、社会保障和就业支出</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98.05</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九、其他收入</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九、社会保险基金支出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十、卫生健康支出</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十一、节能环保支出</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十二、城乡社区支出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十三、农林水支出</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十四、交通运输支出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十五、资源勘探工业信息等支出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十六、商业服务业等支出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十七、金融支出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十八、援助其他地区支出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十九、自然资源海洋气象等支出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二十、住房保障支出</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二十一、粮油物资储备支出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二十二、国有资本经营预算支出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二十三、灾害防治及应急管理支出</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二十四、预备费</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二十五、其他支出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二十六、转移性支出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二十七、债务还本支出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二十八、债务付息支出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29</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二十九、债务发行费用支出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三十、抗疫特别国债安排的支出</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本年收入合计</w:t>
            </w:r>
          </w:p>
        </w:tc>
        <w:tc>
          <w:tcPr>
            <w:tcW w:w="3260"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本年支出合计</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32</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上年结转结余</w:t>
            </w:r>
          </w:p>
        </w:tc>
        <w:tc>
          <w:tcPr>
            <w:tcW w:w="3260"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年终结转结余</w:t>
            </w:r>
          </w:p>
        </w:tc>
        <w:tc>
          <w:tcPr>
            <w:tcW w:w="2976" w:type="dxa"/>
            <w:gridSpan w:val="11"/>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After w:val="1"/>
          <w:wAfter w:w="201" w:type="dxa"/>
          <w:trHeight w:val="330" w:hRule="atLeast"/>
        </w:trPr>
        <w:tc>
          <w:tcPr>
            <w:tcW w:w="572"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33</w:t>
            </w:r>
          </w:p>
        </w:tc>
        <w:tc>
          <w:tcPr>
            <w:tcW w:w="3730"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收入总计</w:t>
            </w:r>
          </w:p>
        </w:tc>
        <w:tc>
          <w:tcPr>
            <w:tcW w:w="3260"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4111" w:type="dxa"/>
            <w:gridSpan w:val="20"/>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支出总计</w:t>
            </w:r>
          </w:p>
        </w:tc>
        <w:tc>
          <w:tcPr>
            <w:tcW w:w="2976"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r>
      <w:tr>
        <w:tblPrEx>
          <w:tblCellMar>
            <w:top w:w="0" w:type="dxa"/>
            <w:left w:w="108" w:type="dxa"/>
            <w:bottom w:w="0" w:type="dxa"/>
            <w:right w:w="108" w:type="dxa"/>
          </w:tblCellMar>
        </w:tblPrEx>
        <w:trPr>
          <w:gridBefore w:val="1"/>
          <w:wBefore w:w="93" w:type="dxa"/>
          <w:trHeight w:val="360" w:hRule="atLeast"/>
        </w:trPr>
        <w:tc>
          <w:tcPr>
            <w:tcW w:w="14757" w:type="dxa"/>
            <w:gridSpan w:val="51"/>
            <w:tcBorders>
              <w:top w:val="nil"/>
              <w:left w:val="nil"/>
              <w:bottom w:val="nil"/>
              <w:right w:val="nil"/>
            </w:tcBorders>
            <w:shd w:val="clear" w:color="auto" w:fill="auto"/>
            <w:noWrap/>
            <w:vAlign w:val="center"/>
          </w:tcPr>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ascii="宋体" w:hAnsi="宋体" w:eastAsia="宋体" w:cs="宋体"/>
                <w:color w:val="000000"/>
                <w:sz w:val="32"/>
                <w:szCs w:val="32"/>
                <w:lang w:eastAsia="zh-CN"/>
              </w:rPr>
            </w:pPr>
            <w:r>
              <w:rPr>
                <w:rFonts w:hint="eastAsia" w:ascii="宋体" w:hAnsi="宋体" w:eastAsia="宋体" w:cs="宋体"/>
                <w:color w:val="000000"/>
                <w:sz w:val="32"/>
                <w:szCs w:val="32"/>
                <w:lang w:eastAsia="zh-CN"/>
              </w:rPr>
              <w:t>部门预算收入总表</w:t>
            </w:r>
          </w:p>
        </w:tc>
      </w:tr>
      <w:tr>
        <w:tblPrEx>
          <w:tblCellMar>
            <w:top w:w="0" w:type="dxa"/>
            <w:left w:w="108" w:type="dxa"/>
            <w:bottom w:w="0" w:type="dxa"/>
            <w:right w:w="108" w:type="dxa"/>
          </w:tblCellMar>
        </w:tblPrEx>
        <w:trPr>
          <w:gridBefore w:val="1"/>
          <w:wBefore w:w="93" w:type="dxa"/>
          <w:trHeight w:val="360" w:hRule="atLeast"/>
        </w:trPr>
        <w:tc>
          <w:tcPr>
            <w:tcW w:w="11149" w:type="dxa"/>
            <w:gridSpan w:val="36"/>
            <w:tcBorders>
              <w:top w:val="nil"/>
              <w:left w:val="nil"/>
              <w:bottom w:val="nil"/>
              <w:right w:val="nil"/>
            </w:tcBorders>
            <w:shd w:val="clear" w:color="auto" w:fill="auto"/>
            <w:noWrap/>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预算单位编码及名称：[9</w:t>
            </w:r>
            <w:r>
              <w:rPr>
                <w:rFonts w:hint="eastAsia" w:ascii="宋体" w:hAnsi="宋体" w:eastAsia="宋体" w:cs="宋体"/>
                <w:color w:val="000000"/>
                <w:sz w:val="22"/>
                <w:szCs w:val="22"/>
                <w:lang w:val="en-US" w:eastAsia="zh-CN"/>
              </w:rPr>
              <w:t>97</w:t>
            </w:r>
            <w:r>
              <w:rPr>
                <w:rFonts w:hint="eastAsia" w:ascii="宋体" w:hAnsi="宋体" w:eastAsia="宋体" w:cs="宋体"/>
                <w:color w:val="000000"/>
                <w:sz w:val="22"/>
                <w:szCs w:val="22"/>
                <w:lang w:eastAsia="zh-CN"/>
              </w:rPr>
              <w:t>]涞源县</w:t>
            </w:r>
            <w:r>
              <w:rPr>
                <w:rFonts w:hint="eastAsia" w:ascii="宋体" w:hAnsi="宋体" w:eastAsia="宋体" w:cs="宋体"/>
                <w:color w:val="000000"/>
                <w:sz w:val="22"/>
                <w:szCs w:val="22"/>
                <w:lang w:val="en-US" w:eastAsia="zh-CN"/>
              </w:rPr>
              <w:t>泉坊镇</w:t>
            </w:r>
            <w:r>
              <w:rPr>
                <w:rFonts w:hint="eastAsia" w:ascii="宋体" w:hAnsi="宋体" w:eastAsia="宋体" w:cs="宋体"/>
                <w:color w:val="000000"/>
                <w:sz w:val="22"/>
                <w:szCs w:val="22"/>
                <w:lang w:eastAsia="zh-CN"/>
              </w:rPr>
              <w:t>人民政府             预算年度：2022</w:t>
            </w:r>
          </w:p>
        </w:tc>
        <w:tc>
          <w:tcPr>
            <w:tcW w:w="3608" w:type="dxa"/>
            <w:gridSpan w:val="15"/>
            <w:tcBorders>
              <w:top w:val="nil"/>
              <w:left w:val="nil"/>
              <w:bottom w:val="single" w:color="auto" w:sz="4" w:space="0"/>
              <w:right w:val="nil"/>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tblPrEx>
          <w:tblCellMar>
            <w:top w:w="0" w:type="dxa"/>
            <w:left w:w="108" w:type="dxa"/>
            <w:bottom w:w="0" w:type="dxa"/>
            <w:right w:w="108" w:type="dxa"/>
          </w:tblCellMar>
        </w:tblPrEx>
        <w:trPr>
          <w:gridBefore w:val="1"/>
          <w:wBefore w:w="93" w:type="dxa"/>
          <w:trHeight w:val="360" w:hRule="atLeast"/>
        </w:trPr>
        <w:tc>
          <w:tcPr>
            <w:tcW w:w="86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967" w:type="dxa"/>
            <w:gridSpan w:val="11"/>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功能分类科目</w:t>
            </w:r>
          </w:p>
        </w:tc>
        <w:tc>
          <w:tcPr>
            <w:tcW w:w="99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7088" w:type="dxa"/>
            <w:gridSpan w:val="28"/>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本年收入</w:t>
            </w:r>
          </w:p>
        </w:tc>
        <w:tc>
          <w:tcPr>
            <w:tcW w:w="85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上年结转</w:t>
            </w:r>
          </w:p>
        </w:tc>
      </w:tr>
      <w:tr>
        <w:tblPrEx>
          <w:tblCellMar>
            <w:top w:w="0" w:type="dxa"/>
            <w:left w:w="108" w:type="dxa"/>
            <w:bottom w:w="0" w:type="dxa"/>
            <w:right w:w="108" w:type="dxa"/>
          </w:tblCellMar>
        </w:tblPrEx>
        <w:trPr>
          <w:gridBefore w:val="1"/>
          <w:wBefore w:w="93" w:type="dxa"/>
          <w:trHeight w:val="720" w:hRule="atLeast"/>
        </w:trPr>
        <w:tc>
          <w:tcPr>
            <w:tcW w:w="86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18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787" w:type="dxa"/>
            <w:gridSpan w:val="9"/>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99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993" w:type="dxa"/>
            <w:gridSpan w:val="5"/>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559" w:type="dxa"/>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财政拨款收入</w:t>
            </w:r>
          </w:p>
        </w:tc>
        <w:tc>
          <w:tcPr>
            <w:tcW w:w="7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财政专户收入</w:t>
            </w:r>
          </w:p>
        </w:tc>
        <w:tc>
          <w:tcPr>
            <w:tcW w:w="716" w:type="dxa"/>
            <w:gridSpan w:val="4"/>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事业收入</w:t>
            </w:r>
          </w:p>
        </w:tc>
        <w:tc>
          <w:tcPr>
            <w:tcW w:w="709" w:type="dxa"/>
            <w:gridSpan w:val="4"/>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经营收入</w:t>
            </w:r>
          </w:p>
        </w:tc>
        <w:tc>
          <w:tcPr>
            <w:tcW w:w="709"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上级补助收入</w:t>
            </w:r>
          </w:p>
        </w:tc>
        <w:tc>
          <w:tcPr>
            <w:tcW w:w="992"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附属单位上缴收入</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其他收入</w:t>
            </w:r>
          </w:p>
        </w:tc>
        <w:tc>
          <w:tcPr>
            <w:tcW w:w="85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lang w:eastAsia="zh-CN"/>
              </w:rPr>
            </w:pPr>
          </w:p>
        </w:tc>
      </w:tr>
      <w:tr>
        <w:tblPrEx>
          <w:tblCellMar>
            <w:top w:w="0" w:type="dxa"/>
            <w:left w:w="108" w:type="dxa"/>
            <w:bottom w:w="0" w:type="dxa"/>
            <w:right w:w="108" w:type="dxa"/>
          </w:tblCellMar>
        </w:tblPrEx>
        <w:trPr>
          <w:gridBefore w:val="1"/>
          <w:wBefore w:w="93" w:type="dxa"/>
          <w:trHeight w:val="360" w:hRule="atLeast"/>
        </w:trPr>
        <w:tc>
          <w:tcPr>
            <w:tcW w:w="860"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18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787" w:type="dxa"/>
            <w:gridSpan w:val="9"/>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992"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993"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559" w:type="dxa"/>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7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716"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709"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709"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9</w:t>
            </w:r>
          </w:p>
        </w:tc>
        <w:tc>
          <w:tcPr>
            <w:tcW w:w="992"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10</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11</w:t>
            </w:r>
          </w:p>
        </w:tc>
        <w:tc>
          <w:tcPr>
            <w:tcW w:w="850"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12</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180" w:type="dxa"/>
            <w:gridSpan w:val="2"/>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87"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一般公共服务支出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640.67</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640.67</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640.67</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人大事务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2010101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594.67</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594.67</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594.67</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588.67</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588.67</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588.67</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2010308</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信访事务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20132</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组织事务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2013201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98.05</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98.05</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98.05</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20802</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民政管理事务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2080201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行政单位离退休</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2080505</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2080506</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20809</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退役安置</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2080999</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其他退役安置支出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卫生健康支出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21007</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计划生育事务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2100717</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计划生育服务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21099</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其他卫生健康支出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2109999</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其他卫生健康支出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节能环保支出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21104</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自然生态保护</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2110402</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农村环境保护</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农林水支出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21303</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水利</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29</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2130314</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防汛</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21305</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扶贫</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78"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w:t>
            </w:r>
          </w:p>
        </w:tc>
        <w:tc>
          <w:tcPr>
            <w:tcW w:w="1180" w:type="dxa"/>
            <w:gridSpan w:val="2"/>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2130599</w:t>
            </w:r>
          </w:p>
        </w:tc>
        <w:tc>
          <w:tcPr>
            <w:tcW w:w="3787"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其他扶贫支出</w:t>
            </w:r>
          </w:p>
        </w:tc>
        <w:tc>
          <w:tcPr>
            <w:tcW w:w="992"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993"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701" w:type="dxa"/>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32</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21307</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农村综合改革</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33</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2130705</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对村民委员会和村党支部的补助</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住房保障支出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35</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22102</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住房改革支出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2210201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住房公积金</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灾害防治及应急管理支出</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38</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22401</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应急管理事务</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w:t>
            </w:r>
          </w:p>
        </w:tc>
        <w:tc>
          <w:tcPr>
            <w:tcW w:w="1180"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2240104</w:t>
            </w:r>
          </w:p>
        </w:tc>
        <w:tc>
          <w:tcPr>
            <w:tcW w:w="3787"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灾害风险防治</w:t>
            </w:r>
          </w:p>
        </w:tc>
        <w:tc>
          <w:tcPr>
            <w:tcW w:w="992"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993"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701" w:type="dxa"/>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16"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2"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09" w:type="dxa"/>
            <w:gridSpan w:val="2"/>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0" w:type="dxa"/>
            <w:gridSpan w:val="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60" w:hRule="atLeast"/>
        </w:trPr>
        <w:tc>
          <w:tcPr>
            <w:tcW w:w="14757" w:type="dxa"/>
            <w:gridSpan w:val="51"/>
            <w:tcBorders>
              <w:top w:val="nil"/>
              <w:left w:val="nil"/>
              <w:bottom w:val="nil"/>
              <w:right w:val="nil"/>
            </w:tcBorders>
            <w:shd w:val="clear" w:color="auto" w:fill="auto"/>
            <w:noWrap/>
            <w:vAlign w:val="center"/>
          </w:tcPr>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ascii="宋体" w:hAnsi="宋体" w:eastAsia="宋体" w:cs="宋体"/>
                <w:color w:val="000000"/>
                <w:sz w:val="32"/>
                <w:szCs w:val="32"/>
                <w:lang w:eastAsia="zh-CN"/>
              </w:rPr>
            </w:pPr>
            <w:r>
              <w:rPr>
                <w:rFonts w:hint="eastAsia" w:ascii="宋体" w:hAnsi="宋体" w:eastAsia="宋体" w:cs="宋体"/>
                <w:color w:val="000000"/>
                <w:sz w:val="32"/>
                <w:szCs w:val="32"/>
                <w:lang w:eastAsia="zh-CN"/>
              </w:rPr>
              <w:t>部门预算支出总表</w:t>
            </w:r>
          </w:p>
        </w:tc>
      </w:tr>
      <w:tr>
        <w:tblPrEx>
          <w:tblCellMar>
            <w:top w:w="0" w:type="dxa"/>
            <w:left w:w="108" w:type="dxa"/>
            <w:bottom w:w="0" w:type="dxa"/>
            <w:right w:w="108" w:type="dxa"/>
          </w:tblCellMar>
        </w:tblPrEx>
        <w:trPr>
          <w:gridBefore w:val="1"/>
          <w:wBefore w:w="93" w:type="dxa"/>
          <w:trHeight w:val="360" w:hRule="atLeast"/>
        </w:trPr>
        <w:tc>
          <w:tcPr>
            <w:tcW w:w="12206" w:type="dxa"/>
            <w:gridSpan w:val="41"/>
            <w:tcBorders>
              <w:top w:val="nil"/>
              <w:left w:val="nil"/>
              <w:bottom w:val="nil"/>
              <w:right w:val="nil"/>
            </w:tcBorders>
            <w:shd w:val="clear" w:color="auto" w:fill="auto"/>
            <w:noWrap/>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预算单位编码及名称：[9</w:t>
            </w:r>
            <w:r>
              <w:rPr>
                <w:rFonts w:hint="eastAsia" w:ascii="宋体" w:hAnsi="宋体" w:eastAsia="宋体" w:cs="宋体"/>
                <w:color w:val="000000"/>
                <w:sz w:val="22"/>
                <w:szCs w:val="22"/>
                <w:lang w:val="en-US" w:eastAsia="zh-CN"/>
              </w:rPr>
              <w:t>97</w:t>
            </w:r>
            <w:r>
              <w:rPr>
                <w:rFonts w:hint="eastAsia" w:ascii="宋体" w:hAnsi="宋体" w:eastAsia="宋体" w:cs="宋体"/>
                <w:color w:val="000000"/>
                <w:sz w:val="22"/>
                <w:szCs w:val="22"/>
                <w:lang w:eastAsia="zh-CN"/>
              </w:rPr>
              <w:t>]涞源县</w:t>
            </w:r>
            <w:r>
              <w:rPr>
                <w:rFonts w:hint="eastAsia" w:ascii="宋体" w:hAnsi="宋体" w:eastAsia="宋体" w:cs="宋体"/>
                <w:color w:val="000000"/>
                <w:sz w:val="22"/>
                <w:szCs w:val="22"/>
                <w:lang w:val="en-US" w:eastAsia="zh-CN"/>
              </w:rPr>
              <w:t>泉坊镇</w:t>
            </w:r>
            <w:r>
              <w:rPr>
                <w:rFonts w:hint="eastAsia" w:ascii="宋体" w:hAnsi="宋体" w:eastAsia="宋体" w:cs="宋体"/>
                <w:color w:val="000000"/>
                <w:sz w:val="22"/>
                <w:szCs w:val="22"/>
                <w:lang w:eastAsia="zh-CN"/>
              </w:rPr>
              <w:t>人民政府      预算年度：2022</w:t>
            </w:r>
          </w:p>
        </w:tc>
        <w:tc>
          <w:tcPr>
            <w:tcW w:w="2551" w:type="dxa"/>
            <w:gridSpan w:val="10"/>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tblPrEx>
          <w:tblCellMar>
            <w:top w:w="0" w:type="dxa"/>
            <w:left w:w="108" w:type="dxa"/>
            <w:bottom w:w="0" w:type="dxa"/>
            <w:right w:w="108" w:type="dxa"/>
          </w:tblCellMar>
        </w:tblPrEx>
        <w:trPr>
          <w:gridBefore w:val="1"/>
          <w:wBefore w:w="93" w:type="dxa"/>
          <w:trHeight w:val="360" w:hRule="atLeast"/>
        </w:trPr>
        <w:tc>
          <w:tcPr>
            <w:tcW w:w="86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5251" w:type="dxa"/>
            <w:gridSpan w:val="1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842"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本年支出合计</w:t>
            </w:r>
          </w:p>
        </w:tc>
        <w:tc>
          <w:tcPr>
            <w:tcW w:w="1418"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559"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c>
          <w:tcPr>
            <w:tcW w:w="1276"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经营支出</w:t>
            </w:r>
          </w:p>
        </w:tc>
        <w:tc>
          <w:tcPr>
            <w:tcW w:w="113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上缴上级支出</w:t>
            </w:r>
          </w:p>
        </w:tc>
        <w:tc>
          <w:tcPr>
            <w:tcW w:w="1417"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对附属单位补助支出</w:t>
            </w:r>
          </w:p>
        </w:tc>
      </w:tr>
      <w:tr>
        <w:tblPrEx>
          <w:tblCellMar>
            <w:top w:w="0" w:type="dxa"/>
            <w:left w:w="108" w:type="dxa"/>
            <w:bottom w:w="0" w:type="dxa"/>
            <w:right w:w="108" w:type="dxa"/>
          </w:tblCellMar>
        </w:tblPrEx>
        <w:trPr>
          <w:gridBefore w:val="1"/>
          <w:wBefore w:w="93" w:type="dxa"/>
          <w:trHeight w:val="360" w:hRule="atLeast"/>
        </w:trPr>
        <w:tc>
          <w:tcPr>
            <w:tcW w:w="86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24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011" w:type="dxa"/>
            <w:gridSpan w:val="9"/>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842"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418"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559"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134"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41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r>
      <w:tr>
        <w:tblPrEx>
          <w:tblCellMar>
            <w:top w:w="0" w:type="dxa"/>
            <w:left w:w="108" w:type="dxa"/>
            <w:bottom w:w="0" w:type="dxa"/>
            <w:right w:w="108" w:type="dxa"/>
          </w:tblCellMar>
        </w:tblPrEx>
        <w:trPr>
          <w:gridBefore w:val="1"/>
          <w:wBefore w:w="93" w:type="dxa"/>
          <w:trHeight w:val="360" w:hRule="atLeast"/>
        </w:trPr>
        <w:tc>
          <w:tcPr>
            <w:tcW w:w="860"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24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011" w:type="dxa"/>
            <w:gridSpan w:val="9"/>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842" w:type="dxa"/>
            <w:gridSpan w:val="8"/>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418"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559" w:type="dxa"/>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276" w:type="dxa"/>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134"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1417" w:type="dxa"/>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240" w:type="dxa"/>
            <w:gridSpan w:val="3"/>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011"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1842" w:type="dxa"/>
            <w:gridSpan w:val="8"/>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1418"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669.55</w:t>
            </w: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294.21</w:t>
            </w:r>
          </w:p>
        </w:tc>
        <w:tc>
          <w:tcPr>
            <w:tcW w:w="1276"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640.67</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552.67</w:t>
            </w: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88.00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人大事务</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2010101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594.67</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552.67</w:t>
            </w: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42.00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588.67</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552.67</w:t>
            </w: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36.00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2010308</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信访事务</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20132</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组织事务</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2013201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98.05</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7.12</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20802</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民政管理事务</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2080201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559" w:type="dxa"/>
            <w:gridSpan w:val="6"/>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行政单位离退休</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1559" w:type="dxa"/>
            <w:gridSpan w:val="6"/>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292"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2080505</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1559" w:type="dxa"/>
            <w:gridSpan w:val="6"/>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41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2080506</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559" w:type="dxa"/>
            <w:gridSpan w:val="6"/>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20809</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退役安置</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2080999</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其他退役安置支出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卫生健康支出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21007</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计划生育事务</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2100717</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计划生育服务</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21099</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其他卫生健康支出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2109999</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其他卫生健康支出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节能环保支出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21104</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自然生态保护</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2110402</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农村环境保护</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农林水支出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21303</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水利</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29</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2130314</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防汛</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21305</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扶贫</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4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2130599</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其他扶贫支出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32</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21307</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农村综合改革</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33</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2130705</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对村民委员会和村党支部的补助</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住房保障支出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559" w:type="dxa"/>
            <w:gridSpan w:val="6"/>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402"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35</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22102</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住房改革支出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559" w:type="dxa"/>
            <w:gridSpan w:val="6"/>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2210201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住房公积金</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418"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559" w:type="dxa"/>
            <w:gridSpan w:val="6"/>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灾害防治及应急管理支出</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38</w:t>
            </w:r>
          </w:p>
        </w:tc>
        <w:tc>
          <w:tcPr>
            <w:tcW w:w="124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22401</w:t>
            </w:r>
          </w:p>
        </w:tc>
        <w:tc>
          <w:tcPr>
            <w:tcW w:w="4011"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应急管理事务</w:t>
            </w:r>
          </w:p>
        </w:tc>
        <w:tc>
          <w:tcPr>
            <w:tcW w:w="1842" w:type="dxa"/>
            <w:gridSpan w:val="8"/>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418"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6"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w:t>
            </w:r>
          </w:p>
        </w:tc>
        <w:tc>
          <w:tcPr>
            <w:tcW w:w="1240" w:type="dxa"/>
            <w:gridSpan w:val="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2240104</w:t>
            </w:r>
          </w:p>
        </w:tc>
        <w:tc>
          <w:tcPr>
            <w:tcW w:w="4011"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灾害风险防治</w:t>
            </w:r>
          </w:p>
        </w:tc>
        <w:tc>
          <w:tcPr>
            <w:tcW w:w="1842" w:type="dxa"/>
            <w:gridSpan w:val="8"/>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418"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559"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6"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4" w:type="dxa"/>
            <w:gridSpan w:val="4"/>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17"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420" w:hRule="atLeast"/>
        </w:trPr>
        <w:tc>
          <w:tcPr>
            <w:tcW w:w="14060" w:type="dxa"/>
            <w:gridSpan w:val="49"/>
            <w:tcBorders>
              <w:top w:val="nil"/>
              <w:left w:val="nil"/>
              <w:bottom w:val="nil"/>
              <w:right w:val="nil"/>
            </w:tcBorders>
            <w:shd w:val="clear" w:color="auto" w:fill="auto"/>
            <w:noWrap/>
            <w:vAlign w:val="center"/>
          </w:tcPr>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ascii="宋体" w:hAnsi="宋体" w:eastAsia="宋体" w:cs="宋体"/>
                <w:color w:val="000000"/>
                <w:sz w:val="32"/>
                <w:szCs w:val="32"/>
                <w:lang w:eastAsia="zh-CN"/>
              </w:rPr>
            </w:pPr>
            <w:r>
              <w:rPr>
                <w:rFonts w:hint="eastAsia" w:ascii="宋体" w:hAnsi="宋体" w:eastAsia="宋体" w:cs="宋体"/>
                <w:color w:val="000000"/>
                <w:sz w:val="32"/>
                <w:szCs w:val="32"/>
                <w:lang w:eastAsia="zh-CN"/>
              </w:rPr>
              <w:t>部门预算财政拨款收支总表</w:t>
            </w:r>
          </w:p>
        </w:tc>
      </w:tr>
      <w:tr>
        <w:tblPrEx>
          <w:tblCellMar>
            <w:top w:w="0" w:type="dxa"/>
            <w:left w:w="108" w:type="dxa"/>
            <w:bottom w:w="0" w:type="dxa"/>
            <w:right w:w="108" w:type="dxa"/>
          </w:tblCellMar>
        </w:tblPrEx>
        <w:trPr>
          <w:gridBefore w:val="1"/>
          <w:gridAfter w:val="2"/>
          <w:wBefore w:w="93" w:type="dxa"/>
          <w:wAfter w:w="697" w:type="dxa"/>
          <w:trHeight w:val="360" w:hRule="atLeast"/>
        </w:trPr>
        <w:tc>
          <w:tcPr>
            <w:tcW w:w="11961" w:type="dxa"/>
            <w:gridSpan w:val="40"/>
            <w:tcBorders>
              <w:top w:val="nil"/>
              <w:left w:val="nil"/>
              <w:bottom w:val="nil"/>
              <w:right w:val="nil"/>
            </w:tcBorders>
            <w:shd w:val="clear" w:color="auto" w:fill="auto"/>
            <w:noWrap/>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预算单位编码及名称：[9</w:t>
            </w:r>
            <w:r>
              <w:rPr>
                <w:rFonts w:hint="eastAsia" w:ascii="宋体" w:hAnsi="宋体" w:eastAsia="宋体" w:cs="宋体"/>
                <w:color w:val="000000"/>
                <w:sz w:val="22"/>
                <w:szCs w:val="22"/>
                <w:lang w:val="en-US" w:eastAsia="zh-CN"/>
              </w:rPr>
              <w:t>97</w:t>
            </w:r>
            <w:r>
              <w:rPr>
                <w:rFonts w:hint="eastAsia" w:ascii="宋体" w:hAnsi="宋体" w:eastAsia="宋体" w:cs="宋体"/>
                <w:color w:val="000000"/>
                <w:sz w:val="22"/>
                <w:szCs w:val="22"/>
                <w:lang w:eastAsia="zh-CN"/>
              </w:rPr>
              <w:t>]涞源县</w:t>
            </w:r>
            <w:r>
              <w:rPr>
                <w:rFonts w:hint="eastAsia" w:ascii="宋体" w:hAnsi="宋体" w:eastAsia="宋体" w:cs="宋体"/>
                <w:color w:val="000000"/>
                <w:sz w:val="22"/>
                <w:szCs w:val="22"/>
                <w:lang w:val="en-US" w:eastAsia="zh-CN"/>
              </w:rPr>
              <w:t>泉坊镇</w:t>
            </w:r>
            <w:r>
              <w:rPr>
                <w:rFonts w:hint="eastAsia" w:ascii="宋体" w:hAnsi="宋体" w:eastAsia="宋体" w:cs="宋体"/>
                <w:color w:val="000000"/>
                <w:sz w:val="22"/>
                <w:szCs w:val="22"/>
                <w:lang w:eastAsia="zh-CN"/>
              </w:rPr>
              <w:t>人民政府                          预算年度：2022</w:t>
            </w:r>
          </w:p>
        </w:tc>
        <w:tc>
          <w:tcPr>
            <w:tcW w:w="2099" w:type="dxa"/>
            <w:gridSpan w:val="9"/>
            <w:tcBorders>
              <w:top w:val="nil"/>
              <w:left w:val="nil"/>
              <w:bottom w:val="single" w:color="auto" w:sz="4" w:space="0"/>
              <w:right w:val="nil"/>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tblPrEx>
          <w:tblCellMar>
            <w:top w:w="0" w:type="dxa"/>
            <w:left w:w="108" w:type="dxa"/>
            <w:bottom w:w="0" w:type="dxa"/>
            <w:right w:w="108" w:type="dxa"/>
          </w:tblCellMar>
        </w:tblPrEx>
        <w:trPr>
          <w:gridBefore w:val="1"/>
          <w:gridAfter w:val="2"/>
          <w:wBefore w:w="93" w:type="dxa"/>
          <w:wAfter w:w="697" w:type="dxa"/>
          <w:trHeight w:val="360" w:hRule="atLeast"/>
        </w:trPr>
        <w:tc>
          <w:tcPr>
            <w:tcW w:w="57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459" w:type="dxa"/>
            <w:gridSpan w:val="11"/>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9023" w:type="dxa"/>
            <w:gridSpan w:val="3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tblPrEx>
          <w:tblCellMar>
            <w:top w:w="0" w:type="dxa"/>
            <w:left w:w="108" w:type="dxa"/>
            <w:bottom w:w="0" w:type="dxa"/>
            <w:right w:w="108" w:type="dxa"/>
          </w:tblCellMar>
        </w:tblPrEx>
        <w:trPr>
          <w:gridBefore w:val="1"/>
          <w:gridAfter w:val="2"/>
          <w:wBefore w:w="93" w:type="dxa"/>
          <w:wAfter w:w="697" w:type="dxa"/>
          <w:trHeight w:val="645" w:hRule="atLeast"/>
        </w:trPr>
        <w:tc>
          <w:tcPr>
            <w:tcW w:w="57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3345" w:type="dxa"/>
            <w:gridSpan w:val="9"/>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11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w:t>
            </w:r>
          </w:p>
        </w:tc>
        <w:tc>
          <w:tcPr>
            <w:tcW w:w="4266" w:type="dxa"/>
            <w:gridSpan w:val="15"/>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311" w:type="dxa"/>
            <w:gridSpan w:val="5"/>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347" w:type="dxa"/>
            <w:gridSpan w:val="7"/>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1025"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政府性基金预算财政拨款</w:t>
            </w:r>
          </w:p>
        </w:tc>
        <w:tc>
          <w:tcPr>
            <w:tcW w:w="1074" w:type="dxa"/>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tblPrEx>
          <w:tblCellMar>
            <w:top w:w="0" w:type="dxa"/>
            <w:left w:w="108" w:type="dxa"/>
            <w:bottom w:w="0" w:type="dxa"/>
            <w:right w:w="108" w:type="dxa"/>
          </w:tblCellMar>
        </w:tblPrEx>
        <w:trPr>
          <w:gridBefore w:val="1"/>
          <w:gridAfter w:val="2"/>
          <w:wBefore w:w="93" w:type="dxa"/>
          <w:wAfter w:w="697" w:type="dxa"/>
          <w:trHeight w:val="360" w:hRule="atLeast"/>
        </w:trPr>
        <w:tc>
          <w:tcPr>
            <w:tcW w:w="57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3345" w:type="dxa"/>
            <w:gridSpan w:val="9"/>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11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4266" w:type="dxa"/>
            <w:gridSpan w:val="1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311"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347" w:type="dxa"/>
            <w:gridSpan w:val="7"/>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025"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074" w:type="dxa"/>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一、一般公共预算拨款</w:t>
            </w:r>
          </w:p>
        </w:tc>
        <w:tc>
          <w:tcPr>
            <w:tcW w:w="1114"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一、一般公共服务支出</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640.67</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640.67</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二、政府性基金预算拨款</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二、外交支出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三、国有资本经营预算拨款</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三、国防支出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四、公共安全支出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五、教育支出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六、科学技术支出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七、文化旅游体育与传媒支出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八、社会保障和就业支出</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98.05</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98.05</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九、社会保险基金支出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十、卫生健康支出</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十一、节能环保支出</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十二、城乡社区支出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十三、农林水支出</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十四、交通运输支出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十五、资源勘探工业信息等支出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十六、商业服务业等支出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十七、金融支出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十八、援助其他地区支出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十九、自然资源海洋气象等支出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二十、住房保障支出</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二十一、粮油物资储备支出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二十二、国有资本经营预算支出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二十三、灾害防治及应急管理支出</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二十四、预备费</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二十五、其他支出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二十六、转移性支出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二十七、债务还本支出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二十八、债务付息支出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29</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二十九、债务发行费用支出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三十、抗疫特别国债安排的支出</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本年收入合计</w:t>
            </w:r>
          </w:p>
        </w:tc>
        <w:tc>
          <w:tcPr>
            <w:tcW w:w="1114"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本年支出合计</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32</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年初财政拨款结转和结余</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年末财政拨款结转和结余</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33</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一、一般公共预算拨款</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二、政府性基金预算拨款</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35</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三、国有资本经营预算拨款</w:t>
            </w:r>
          </w:p>
        </w:tc>
        <w:tc>
          <w:tcPr>
            <w:tcW w:w="1114" w:type="dxa"/>
            <w:gridSpan w:val="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11"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347"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gridAfter w:val="2"/>
          <w:wBefore w:w="93" w:type="dxa"/>
          <w:wAfter w:w="697" w:type="dxa"/>
          <w:trHeight w:val="330" w:hRule="atLeast"/>
        </w:trPr>
        <w:tc>
          <w:tcPr>
            <w:tcW w:w="578" w:type="dxa"/>
            <w:gridSpan w:val="2"/>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w:t>
            </w:r>
          </w:p>
        </w:tc>
        <w:tc>
          <w:tcPr>
            <w:tcW w:w="3345" w:type="dxa"/>
            <w:gridSpan w:val="9"/>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收入总计</w:t>
            </w:r>
          </w:p>
        </w:tc>
        <w:tc>
          <w:tcPr>
            <w:tcW w:w="1114"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4266" w:type="dxa"/>
            <w:gridSpan w:val="1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支出总计</w:t>
            </w:r>
          </w:p>
        </w:tc>
        <w:tc>
          <w:tcPr>
            <w:tcW w:w="1311"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1347"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1025"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4" w:type="dxa"/>
            <w:gridSpan w:val="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tblPrEx>
          <w:tblCellMar>
            <w:top w:w="0" w:type="dxa"/>
            <w:left w:w="108" w:type="dxa"/>
            <w:bottom w:w="0" w:type="dxa"/>
            <w:right w:w="108" w:type="dxa"/>
          </w:tblCellMar>
        </w:tblPrEx>
        <w:trPr>
          <w:gridBefore w:val="1"/>
          <w:wBefore w:w="93" w:type="dxa"/>
          <w:trHeight w:val="360" w:hRule="atLeast"/>
        </w:trPr>
        <w:tc>
          <w:tcPr>
            <w:tcW w:w="14757" w:type="dxa"/>
            <w:gridSpan w:val="51"/>
            <w:tcBorders>
              <w:top w:val="nil"/>
              <w:left w:val="nil"/>
              <w:bottom w:val="nil"/>
              <w:right w:val="nil"/>
            </w:tcBorders>
            <w:shd w:val="clear" w:color="auto" w:fill="auto"/>
            <w:noWrap/>
            <w:vAlign w:val="center"/>
          </w:tcPr>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ascii="宋体" w:hAnsi="宋体" w:eastAsia="宋体" w:cs="宋体"/>
                <w:color w:val="000000"/>
                <w:sz w:val="32"/>
                <w:szCs w:val="32"/>
                <w:lang w:eastAsia="zh-CN"/>
              </w:rPr>
            </w:pPr>
            <w:r>
              <w:rPr>
                <w:rFonts w:hint="eastAsia" w:ascii="宋体" w:hAnsi="宋体" w:eastAsia="宋体" w:cs="宋体"/>
                <w:color w:val="000000"/>
                <w:sz w:val="32"/>
                <w:szCs w:val="32"/>
                <w:lang w:eastAsia="zh-CN"/>
              </w:rPr>
              <w:t>部门预算一般公共预算财政拨款支出表</w:t>
            </w:r>
          </w:p>
        </w:tc>
      </w:tr>
      <w:tr>
        <w:tblPrEx>
          <w:tblCellMar>
            <w:top w:w="0" w:type="dxa"/>
            <w:left w:w="108" w:type="dxa"/>
            <w:bottom w:w="0" w:type="dxa"/>
            <w:right w:w="108" w:type="dxa"/>
          </w:tblCellMar>
        </w:tblPrEx>
        <w:trPr>
          <w:gridBefore w:val="1"/>
          <w:wBefore w:w="93" w:type="dxa"/>
          <w:trHeight w:val="360" w:hRule="atLeast"/>
        </w:trPr>
        <w:tc>
          <w:tcPr>
            <w:tcW w:w="7760" w:type="dxa"/>
            <w:gridSpan w:val="22"/>
            <w:tcBorders>
              <w:top w:val="nil"/>
              <w:left w:val="nil"/>
              <w:bottom w:val="nil"/>
              <w:right w:val="nil"/>
            </w:tcBorders>
            <w:shd w:val="clear" w:color="auto" w:fill="auto"/>
            <w:noWrap/>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预算单位编码及名称：[9</w:t>
            </w:r>
            <w:r>
              <w:rPr>
                <w:rFonts w:hint="eastAsia" w:ascii="宋体" w:hAnsi="宋体" w:eastAsia="宋体" w:cs="宋体"/>
                <w:color w:val="000000"/>
                <w:sz w:val="22"/>
                <w:szCs w:val="22"/>
                <w:lang w:val="en-US" w:eastAsia="zh-CN"/>
              </w:rPr>
              <w:t>97</w:t>
            </w:r>
            <w:r>
              <w:rPr>
                <w:rFonts w:hint="eastAsia" w:ascii="宋体" w:hAnsi="宋体" w:eastAsia="宋体" w:cs="宋体"/>
                <w:color w:val="000000"/>
                <w:sz w:val="22"/>
                <w:szCs w:val="22"/>
                <w:lang w:eastAsia="zh-CN"/>
              </w:rPr>
              <w:t>]涞源县</w:t>
            </w:r>
            <w:r>
              <w:rPr>
                <w:rFonts w:hint="eastAsia" w:ascii="宋体" w:hAnsi="宋体" w:eastAsia="宋体" w:cs="宋体"/>
                <w:color w:val="000000"/>
                <w:sz w:val="22"/>
                <w:szCs w:val="22"/>
                <w:lang w:val="en-US" w:eastAsia="zh-CN"/>
              </w:rPr>
              <w:t>泉坊镇</w:t>
            </w:r>
            <w:r>
              <w:rPr>
                <w:rFonts w:hint="eastAsia" w:ascii="宋体" w:hAnsi="宋体" w:eastAsia="宋体" w:cs="宋体"/>
                <w:color w:val="000000"/>
                <w:sz w:val="22"/>
                <w:szCs w:val="22"/>
                <w:lang w:eastAsia="zh-CN"/>
              </w:rPr>
              <w:t>人民政府</w:t>
            </w:r>
          </w:p>
        </w:tc>
        <w:tc>
          <w:tcPr>
            <w:tcW w:w="5155" w:type="dxa"/>
            <w:gridSpan w:val="20"/>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1842" w:type="dxa"/>
            <w:gridSpan w:val="9"/>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tblPrEx>
          <w:tblCellMar>
            <w:top w:w="0" w:type="dxa"/>
            <w:left w:w="108" w:type="dxa"/>
            <w:bottom w:w="0" w:type="dxa"/>
            <w:right w:w="108" w:type="dxa"/>
          </w:tblCellMar>
        </w:tblPrEx>
        <w:trPr>
          <w:gridBefore w:val="1"/>
          <w:wBefore w:w="93" w:type="dxa"/>
          <w:trHeight w:val="360" w:hRule="atLeast"/>
        </w:trPr>
        <w:tc>
          <w:tcPr>
            <w:tcW w:w="86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810" w:type="dxa"/>
            <w:gridSpan w:val="17"/>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276"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969" w:type="dxa"/>
            <w:gridSpan w:val="1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842"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tblPrEx>
          <w:tblCellMar>
            <w:top w:w="0" w:type="dxa"/>
            <w:left w:w="108" w:type="dxa"/>
            <w:bottom w:w="0" w:type="dxa"/>
            <w:right w:w="108" w:type="dxa"/>
          </w:tblCellMar>
        </w:tblPrEx>
        <w:trPr>
          <w:gridBefore w:val="1"/>
          <w:wBefore w:w="93" w:type="dxa"/>
          <w:trHeight w:val="360" w:hRule="atLeast"/>
        </w:trPr>
        <w:tc>
          <w:tcPr>
            <w:tcW w:w="86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340"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5470" w:type="dxa"/>
            <w:gridSpan w:val="1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276"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275"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276" w:type="dxa"/>
            <w:gridSpan w:val="7"/>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1418"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c>
          <w:tcPr>
            <w:tcW w:w="1842" w:type="dxa"/>
            <w:gridSpan w:val="9"/>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r>
      <w:tr>
        <w:tblPrEx>
          <w:tblCellMar>
            <w:top w:w="0" w:type="dxa"/>
            <w:left w:w="108" w:type="dxa"/>
            <w:bottom w:w="0" w:type="dxa"/>
            <w:right w:w="108" w:type="dxa"/>
          </w:tblCellMar>
        </w:tblPrEx>
        <w:trPr>
          <w:gridBefore w:val="1"/>
          <w:wBefore w:w="93" w:type="dxa"/>
          <w:trHeight w:val="360" w:hRule="atLeast"/>
        </w:trPr>
        <w:tc>
          <w:tcPr>
            <w:tcW w:w="860"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340"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470" w:type="dxa"/>
            <w:gridSpan w:val="1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276"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275"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276" w:type="dxa"/>
            <w:gridSpan w:val="7"/>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418"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842" w:type="dxa"/>
            <w:gridSpan w:val="9"/>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340" w:type="dxa"/>
            <w:gridSpan w:val="4"/>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70" w:type="dxa"/>
            <w:gridSpan w:val="13"/>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963.76</w:t>
            </w:r>
          </w:p>
        </w:tc>
        <w:tc>
          <w:tcPr>
            <w:tcW w:w="1275"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669.55</w:t>
            </w:r>
          </w:p>
        </w:tc>
        <w:tc>
          <w:tcPr>
            <w:tcW w:w="1276"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624.28</w:t>
            </w:r>
          </w:p>
        </w:tc>
        <w:tc>
          <w:tcPr>
            <w:tcW w:w="1418"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45.27</w:t>
            </w: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294.21</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640.67</w:t>
            </w:r>
          </w:p>
        </w:tc>
        <w:tc>
          <w:tcPr>
            <w:tcW w:w="1275"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552.67</w:t>
            </w:r>
          </w:p>
        </w:tc>
        <w:tc>
          <w:tcPr>
            <w:tcW w:w="1276"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507.40</w:t>
            </w:r>
          </w:p>
        </w:tc>
        <w:tc>
          <w:tcPr>
            <w:tcW w:w="1418"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45.27</w:t>
            </w: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88.00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人大事务</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2010101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gridBefore w:val="1"/>
          <w:wBefore w:w="93" w:type="dxa"/>
          <w:trHeight w:val="392"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340" w:type="dxa"/>
            <w:gridSpan w:val="4"/>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w:t>
            </w:r>
          </w:p>
        </w:tc>
        <w:tc>
          <w:tcPr>
            <w:tcW w:w="5470" w:type="dxa"/>
            <w:gridSpan w:val="1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1276"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594.67</w:t>
            </w:r>
          </w:p>
        </w:tc>
        <w:tc>
          <w:tcPr>
            <w:tcW w:w="1275"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552.67</w:t>
            </w:r>
          </w:p>
        </w:tc>
        <w:tc>
          <w:tcPr>
            <w:tcW w:w="1276" w:type="dxa"/>
            <w:gridSpan w:val="7"/>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507.40</w:t>
            </w:r>
          </w:p>
        </w:tc>
        <w:tc>
          <w:tcPr>
            <w:tcW w:w="1418" w:type="dxa"/>
            <w:gridSpan w:val="4"/>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45.27</w:t>
            </w:r>
          </w:p>
        </w:tc>
        <w:tc>
          <w:tcPr>
            <w:tcW w:w="1842"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42.00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588.67</w:t>
            </w:r>
          </w:p>
        </w:tc>
        <w:tc>
          <w:tcPr>
            <w:tcW w:w="1275"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552.67</w:t>
            </w:r>
          </w:p>
        </w:tc>
        <w:tc>
          <w:tcPr>
            <w:tcW w:w="1276"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507.40</w:t>
            </w:r>
          </w:p>
        </w:tc>
        <w:tc>
          <w:tcPr>
            <w:tcW w:w="1418"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45.27</w:t>
            </w: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36.00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2010308</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信访事务</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20132</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组织事务</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2013201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98.05</w:t>
            </w:r>
          </w:p>
        </w:tc>
        <w:tc>
          <w:tcPr>
            <w:tcW w:w="1275"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276"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7.12</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20802</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民政管理事务</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2080201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275"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276"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90.93</w:t>
            </w: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行政单位离退休</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1275"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1276"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wBefore w:w="93" w:type="dxa"/>
          <w:trHeight w:val="328"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340" w:type="dxa"/>
            <w:gridSpan w:val="4"/>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2080505</w:t>
            </w:r>
          </w:p>
        </w:tc>
        <w:tc>
          <w:tcPr>
            <w:tcW w:w="5470" w:type="dxa"/>
            <w:gridSpan w:val="1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276"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1275"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1276" w:type="dxa"/>
            <w:gridSpan w:val="7"/>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1418" w:type="dxa"/>
            <w:gridSpan w:val="4"/>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wBefore w:w="93" w:type="dxa"/>
          <w:trHeight w:val="404" w:hRule="atLeast"/>
        </w:trPr>
        <w:tc>
          <w:tcPr>
            <w:tcW w:w="860" w:type="dxa"/>
            <w:gridSpan w:val="4"/>
            <w:tcBorders>
              <w:top w:val="nil"/>
              <w:left w:val="single" w:color="auto" w:sz="4" w:space="0"/>
              <w:bottom w:val="single" w:color="auto" w:sz="4" w:space="0"/>
              <w:right w:val="single" w:color="auto" w:sz="4" w:space="0"/>
            </w:tcBorders>
            <w:shd w:val="clear" w:color="auto" w:fill="auto"/>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340" w:type="dxa"/>
            <w:gridSpan w:val="4"/>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2080506</w:t>
            </w:r>
          </w:p>
        </w:tc>
        <w:tc>
          <w:tcPr>
            <w:tcW w:w="5470" w:type="dxa"/>
            <w:gridSpan w:val="1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276"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275"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276" w:type="dxa"/>
            <w:gridSpan w:val="7"/>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418" w:type="dxa"/>
            <w:gridSpan w:val="4"/>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20809</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退役安置</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2080999</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其他退役安置支出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卫生健康支出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2.75</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21007</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计划生育事务</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2100717</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计划生育服务</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1.83</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21099</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其他卫生健康支出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2109999</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其他卫生健康支出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0.92</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节能环保支出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21104</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自然生态保护</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2110402</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农村环境保护</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农林水支出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192.34</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21303</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水利</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29</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2130314</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防汛</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21305</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扶贫</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r>
      <w:tr>
        <w:tblPrEx>
          <w:tblCellMar>
            <w:top w:w="0" w:type="dxa"/>
            <w:left w:w="108" w:type="dxa"/>
            <w:bottom w:w="0" w:type="dxa"/>
            <w:right w:w="108" w:type="dxa"/>
          </w:tblCellMar>
        </w:tblPrEx>
        <w:trPr>
          <w:gridBefore w:val="1"/>
          <w:wBefore w:w="93" w:type="dxa"/>
          <w:trHeight w:val="378" w:hRule="atLeast"/>
        </w:trPr>
        <w:tc>
          <w:tcPr>
            <w:tcW w:w="860"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w:t>
            </w:r>
          </w:p>
        </w:tc>
        <w:tc>
          <w:tcPr>
            <w:tcW w:w="1340" w:type="dxa"/>
            <w:gridSpan w:val="4"/>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2130599</w:t>
            </w:r>
          </w:p>
        </w:tc>
        <w:tc>
          <w:tcPr>
            <w:tcW w:w="5470" w:type="dxa"/>
            <w:gridSpan w:val="1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其他扶贫支出</w:t>
            </w:r>
          </w:p>
        </w:tc>
        <w:tc>
          <w:tcPr>
            <w:tcW w:w="1276"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c>
          <w:tcPr>
            <w:tcW w:w="1275" w:type="dxa"/>
            <w:gridSpan w:val="5"/>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26.07</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32</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21307</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农村综合改革</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33</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2130705</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对村民委员会和村党支部的补助</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165.27</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住房保障支出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275"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276"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wBefore w:w="93" w:type="dxa"/>
          <w:trHeight w:val="384" w:hRule="atLeast"/>
        </w:trPr>
        <w:tc>
          <w:tcPr>
            <w:tcW w:w="860"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35</w:t>
            </w:r>
          </w:p>
        </w:tc>
        <w:tc>
          <w:tcPr>
            <w:tcW w:w="1340" w:type="dxa"/>
            <w:gridSpan w:val="4"/>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22102</w:t>
            </w:r>
          </w:p>
        </w:tc>
        <w:tc>
          <w:tcPr>
            <w:tcW w:w="5470" w:type="dxa"/>
            <w:gridSpan w:val="13"/>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住房改革支出</w:t>
            </w:r>
          </w:p>
        </w:tc>
        <w:tc>
          <w:tcPr>
            <w:tcW w:w="1276"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275" w:type="dxa"/>
            <w:gridSpan w:val="5"/>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276" w:type="dxa"/>
            <w:gridSpan w:val="7"/>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418" w:type="dxa"/>
            <w:gridSpan w:val="4"/>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2210201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住房公积金</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275"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276" w:type="dxa"/>
            <w:gridSpan w:val="7"/>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灾害防治及应急管理支出</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38</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22401</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应急管理事务</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Before w:val="1"/>
          <w:wBefore w:w="93" w:type="dxa"/>
          <w:trHeight w:val="330" w:hRule="atLeast"/>
        </w:trPr>
        <w:tc>
          <w:tcPr>
            <w:tcW w:w="860" w:type="dxa"/>
            <w:gridSpan w:val="4"/>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w:t>
            </w:r>
          </w:p>
        </w:tc>
        <w:tc>
          <w:tcPr>
            <w:tcW w:w="1340" w:type="dxa"/>
            <w:gridSpan w:val="4"/>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2240104</w:t>
            </w:r>
          </w:p>
        </w:tc>
        <w:tc>
          <w:tcPr>
            <w:tcW w:w="5470" w:type="dxa"/>
            <w:gridSpan w:val="13"/>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灾害风险防治</w:t>
            </w:r>
          </w:p>
        </w:tc>
        <w:tc>
          <w:tcPr>
            <w:tcW w:w="1276"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1275" w:type="dxa"/>
            <w:gridSpan w:val="5"/>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276" w:type="dxa"/>
            <w:gridSpan w:val="7"/>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418" w:type="dxa"/>
            <w:gridSpan w:val="4"/>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1842" w:type="dxa"/>
            <w:gridSpan w:val="9"/>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Before w:val="1"/>
          <w:gridAfter w:val="4"/>
          <w:wBefore w:w="93" w:type="dxa"/>
          <w:wAfter w:w="756" w:type="dxa"/>
          <w:trHeight w:val="360" w:hRule="atLeast"/>
        </w:trPr>
        <w:tc>
          <w:tcPr>
            <w:tcW w:w="14001" w:type="dxa"/>
            <w:gridSpan w:val="47"/>
            <w:tcBorders>
              <w:top w:val="nil"/>
              <w:left w:val="nil"/>
              <w:right w:val="nil"/>
            </w:tcBorders>
            <w:shd w:val="clear" w:color="auto" w:fill="auto"/>
            <w:noWrap/>
            <w:vAlign w:val="center"/>
          </w:tcPr>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ascii="宋体" w:hAnsi="宋体" w:eastAsia="宋体" w:cs="宋体"/>
                <w:color w:val="000000"/>
                <w:sz w:val="32"/>
                <w:szCs w:val="32"/>
                <w:lang w:eastAsia="zh-CN"/>
              </w:rPr>
            </w:pPr>
            <w:r>
              <w:rPr>
                <w:rFonts w:hint="eastAsia" w:ascii="宋体" w:hAnsi="宋体" w:eastAsia="宋体" w:cs="宋体"/>
                <w:color w:val="000000"/>
                <w:sz w:val="32"/>
                <w:szCs w:val="32"/>
                <w:lang w:eastAsia="zh-CN"/>
              </w:rPr>
              <w:t>部门预算一般公共预算财政拨款基本支出表</w:t>
            </w:r>
          </w:p>
        </w:tc>
      </w:tr>
      <w:tr>
        <w:tblPrEx>
          <w:tblCellMar>
            <w:top w:w="0" w:type="dxa"/>
            <w:left w:w="108" w:type="dxa"/>
            <w:bottom w:w="0" w:type="dxa"/>
            <w:right w:w="108" w:type="dxa"/>
          </w:tblCellMar>
        </w:tblPrEx>
        <w:trPr>
          <w:gridBefore w:val="1"/>
          <w:gridAfter w:val="4"/>
          <w:wBefore w:w="93" w:type="dxa"/>
          <w:wAfter w:w="756" w:type="dxa"/>
          <w:trHeight w:val="360" w:hRule="atLeast"/>
        </w:trPr>
        <w:tc>
          <w:tcPr>
            <w:tcW w:w="8687" w:type="dxa"/>
            <w:gridSpan w:val="25"/>
            <w:tcBorders>
              <w:bottom w:val="single" w:color="auto" w:sz="4" w:space="0"/>
            </w:tcBorders>
            <w:shd w:val="clear" w:color="auto" w:fill="auto"/>
            <w:noWrap/>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预算单位编码及名称：[9</w:t>
            </w:r>
            <w:r>
              <w:rPr>
                <w:rFonts w:hint="eastAsia" w:ascii="宋体" w:hAnsi="宋体" w:eastAsia="宋体" w:cs="宋体"/>
                <w:color w:val="000000"/>
                <w:sz w:val="22"/>
                <w:szCs w:val="22"/>
                <w:lang w:val="en-US" w:eastAsia="zh-CN"/>
              </w:rPr>
              <w:t>97</w:t>
            </w:r>
            <w:r>
              <w:rPr>
                <w:rFonts w:hint="eastAsia" w:ascii="宋体" w:hAnsi="宋体" w:eastAsia="宋体" w:cs="宋体"/>
                <w:color w:val="000000"/>
                <w:sz w:val="22"/>
                <w:szCs w:val="22"/>
                <w:lang w:eastAsia="zh-CN"/>
              </w:rPr>
              <w:t>]涞源县</w:t>
            </w:r>
            <w:r>
              <w:rPr>
                <w:rFonts w:hint="eastAsia" w:ascii="宋体" w:hAnsi="宋体" w:eastAsia="宋体" w:cs="宋体"/>
                <w:color w:val="000000"/>
                <w:sz w:val="22"/>
                <w:szCs w:val="22"/>
                <w:lang w:val="en-US" w:eastAsia="zh-CN"/>
              </w:rPr>
              <w:t>泉坊镇</w:t>
            </w:r>
            <w:r>
              <w:rPr>
                <w:rFonts w:hint="eastAsia" w:ascii="宋体" w:hAnsi="宋体" w:eastAsia="宋体" w:cs="宋体"/>
                <w:color w:val="000000"/>
                <w:sz w:val="22"/>
                <w:szCs w:val="22"/>
                <w:lang w:eastAsia="zh-CN"/>
              </w:rPr>
              <w:t>人民政府</w:t>
            </w:r>
          </w:p>
        </w:tc>
        <w:tc>
          <w:tcPr>
            <w:tcW w:w="2657" w:type="dxa"/>
            <w:gridSpan w:val="12"/>
            <w:tcBorders>
              <w:bottom w:val="single" w:color="auto" w:sz="4" w:space="0"/>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2657" w:type="dxa"/>
            <w:gridSpan w:val="10"/>
            <w:tcBorders>
              <w:bottom w:val="single" w:color="auto" w:sz="4" w:space="0"/>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tblPrEx>
          <w:tblCellMar>
            <w:top w:w="0" w:type="dxa"/>
            <w:left w:w="108" w:type="dxa"/>
            <w:bottom w:w="0" w:type="dxa"/>
            <w:right w:w="108" w:type="dxa"/>
          </w:tblCellMar>
        </w:tblPrEx>
        <w:trPr>
          <w:gridBefore w:val="1"/>
          <w:gridAfter w:val="4"/>
          <w:wBefore w:w="93" w:type="dxa"/>
          <w:wAfter w:w="756" w:type="dxa"/>
          <w:trHeight w:val="360" w:hRule="atLeast"/>
        </w:trPr>
        <w:tc>
          <w:tcPr>
            <w:tcW w:w="79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802"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支出部门经济分类科目</w:t>
            </w:r>
          </w:p>
        </w:tc>
        <w:tc>
          <w:tcPr>
            <w:tcW w:w="6404" w:type="dxa"/>
            <w:gridSpan w:val="2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一般公共预算基本支出</w:t>
            </w:r>
          </w:p>
        </w:tc>
      </w:tr>
      <w:tr>
        <w:tblPrEx>
          <w:tblCellMar>
            <w:top w:w="0" w:type="dxa"/>
            <w:left w:w="108" w:type="dxa"/>
            <w:bottom w:w="0" w:type="dxa"/>
            <w:right w:w="108" w:type="dxa"/>
          </w:tblCellMar>
        </w:tblPrEx>
        <w:trPr>
          <w:gridBefore w:val="1"/>
          <w:gridAfter w:val="4"/>
          <w:wBefore w:w="93" w:type="dxa"/>
          <w:wAfter w:w="756" w:type="dxa"/>
          <w:trHeight w:val="360" w:hRule="atLeast"/>
        </w:trPr>
        <w:tc>
          <w:tcPr>
            <w:tcW w:w="79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5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526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9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65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657"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r>
      <w:tr>
        <w:tblPrEx>
          <w:tblCellMar>
            <w:top w:w="0" w:type="dxa"/>
            <w:left w:w="108" w:type="dxa"/>
            <w:bottom w:w="0" w:type="dxa"/>
            <w:right w:w="108" w:type="dxa"/>
          </w:tblCellMar>
        </w:tblPrEx>
        <w:trPr>
          <w:gridBefore w:val="1"/>
          <w:gridAfter w:val="4"/>
          <w:wBefore w:w="93" w:type="dxa"/>
          <w:wAfter w:w="756" w:type="dxa"/>
          <w:trHeight w:val="360" w:hRule="atLeast"/>
        </w:trPr>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540"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262" w:type="dxa"/>
            <w:gridSpan w:val="11"/>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90"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657" w:type="dxa"/>
            <w:gridSpan w:val="1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657" w:type="dxa"/>
            <w:gridSpan w:val="10"/>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540" w:type="dxa"/>
            <w:gridSpan w:val="6"/>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262" w:type="dxa"/>
            <w:gridSpan w:val="11"/>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669.55</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624.28</w:t>
            </w: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45.27</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工资福利支出</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558.40</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558.40</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30101</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基本工资</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139.66</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139.66</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30102</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津贴补贴</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131.70</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131.70</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30103</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奖金</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21.00</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21.00</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30107</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绩效工资</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32.03</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32.03</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30108</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51.90</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30109</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职业年金缴费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30110</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20.76</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20.76</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30112</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其他社会保障缴费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2.53</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2.53</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30113</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住房公积金</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25.95</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30199</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其他工资福利支出</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106.92</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106.92</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商品和服务支出</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92.27</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47.00</w:t>
            </w: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45.27</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30201</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办公费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11.77</w:t>
            </w:r>
          </w:p>
        </w:tc>
        <w:tc>
          <w:tcPr>
            <w:tcW w:w="2657" w:type="dxa"/>
            <w:gridSpan w:val="1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11.77</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30202</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印刷费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4.00</w:t>
            </w:r>
          </w:p>
        </w:tc>
        <w:tc>
          <w:tcPr>
            <w:tcW w:w="2657" w:type="dxa"/>
            <w:gridSpan w:val="1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30206</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电费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2.90</w:t>
            </w:r>
          </w:p>
        </w:tc>
        <w:tc>
          <w:tcPr>
            <w:tcW w:w="2657" w:type="dxa"/>
            <w:gridSpan w:val="1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2.90</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30207</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邮电费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w:t>
            </w:r>
          </w:p>
        </w:tc>
        <w:tc>
          <w:tcPr>
            <w:tcW w:w="2657" w:type="dxa"/>
            <w:gridSpan w:val="1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2.60</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30208</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取暖费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21.36</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11.36</w:t>
            </w: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30209</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物业管理费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19.20</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19.20</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30211</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差旅费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c>
          <w:tcPr>
            <w:tcW w:w="2657" w:type="dxa"/>
            <w:gridSpan w:val="1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30217</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公务接待费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5.00</w:t>
            </w:r>
          </w:p>
        </w:tc>
        <w:tc>
          <w:tcPr>
            <w:tcW w:w="2657" w:type="dxa"/>
            <w:gridSpan w:val="1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30231</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7.00</w:t>
            </w:r>
          </w:p>
        </w:tc>
        <w:tc>
          <w:tcPr>
            <w:tcW w:w="2657" w:type="dxa"/>
            <w:gridSpan w:val="12"/>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c>
          <w:tcPr>
            <w:tcW w:w="2657" w:type="dxa"/>
            <w:gridSpan w:val="10"/>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30239</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其他交通费用</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16.44</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16.44</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303</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18.88</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18.88</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30302</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退休费</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13.08</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30305</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生活补助</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4.80</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4.80</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4"/>
          <w:wBefore w:w="93" w:type="dxa"/>
          <w:wAfter w:w="756" w:type="dxa"/>
          <w:trHeight w:val="330" w:hRule="atLeast"/>
        </w:trPr>
        <w:tc>
          <w:tcPr>
            <w:tcW w:w="795" w:type="dxa"/>
            <w:gridSpan w:val="3"/>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1540" w:type="dxa"/>
            <w:gridSpan w:val="6"/>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30399</w:t>
            </w:r>
          </w:p>
        </w:tc>
        <w:tc>
          <w:tcPr>
            <w:tcW w:w="5262" w:type="dxa"/>
            <w:gridSpan w:val="11"/>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1090" w:type="dxa"/>
            <w:gridSpan w:val="5"/>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2657" w:type="dxa"/>
            <w:gridSpan w:val="1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ascii="Calibri" w:hAnsi="Calibri" w:eastAsia="宋体" w:cs="Calibri"/>
                <w:color w:val="000000"/>
                <w:sz w:val="2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2657" w:type="dxa"/>
            <w:gridSpan w:val="10"/>
            <w:tcBorders>
              <w:top w:val="nil"/>
              <w:left w:val="nil"/>
              <w:bottom w:val="single" w:color="auto" w:sz="4" w:space="0"/>
              <w:right w:val="single" w:color="auto" w:sz="4" w:space="0"/>
            </w:tcBorders>
            <w:shd w:val="clear" w:color="auto" w:fill="auto"/>
            <w:noWrap/>
            <w:vAlign w:val="top"/>
          </w:tcPr>
          <w:p>
            <w:pPr>
              <w:jc w:val="right"/>
              <w:rPr>
                <w:rFonts w:ascii="Calibri" w:hAnsi="Calibri" w:eastAsia="宋体" w:cs="Calibri"/>
                <w:color w:val="000000"/>
                <w:sz w:val="22"/>
                <w:szCs w:val="22"/>
                <w:lang w:eastAsia="zh-CN"/>
              </w:rPr>
            </w:pPr>
          </w:p>
        </w:tc>
      </w:tr>
      <w:tr>
        <w:tblPrEx>
          <w:tblCellMar>
            <w:top w:w="0" w:type="dxa"/>
            <w:left w:w="108" w:type="dxa"/>
            <w:bottom w:w="0" w:type="dxa"/>
            <w:right w:w="108" w:type="dxa"/>
          </w:tblCellMar>
        </w:tblPrEx>
        <w:trPr>
          <w:gridBefore w:val="1"/>
          <w:gridAfter w:val="3"/>
          <w:wBefore w:w="93" w:type="dxa"/>
          <w:wAfter w:w="737" w:type="dxa"/>
          <w:trHeight w:val="360" w:hRule="atLeast"/>
        </w:trPr>
        <w:tc>
          <w:tcPr>
            <w:tcW w:w="14020" w:type="dxa"/>
            <w:gridSpan w:val="48"/>
            <w:tcBorders>
              <w:top w:val="nil"/>
              <w:left w:val="nil"/>
              <w:bottom w:val="nil"/>
              <w:right w:val="nil"/>
            </w:tcBorders>
            <w:shd w:val="clear" w:color="auto" w:fill="auto"/>
            <w:noWrap/>
            <w:vAlign w:val="center"/>
          </w:tcPr>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hint="eastAsia" w:ascii="宋体" w:hAnsi="宋体" w:eastAsia="宋体" w:cs="宋体"/>
                <w:color w:val="000000"/>
                <w:sz w:val="32"/>
                <w:szCs w:val="32"/>
                <w:lang w:eastAsia="zh-CN"/>
              </w:rPr>
            </w:pPr>
          </w:p>
          <w:p>
            <w:pPr>
              <w:jc w:val="center"/>
              <w:rPr>
                <w:rFonts w:ascii="宋体" w:hAnsi="宋体" w:eastAsia="宋体" w:cs="宋体"/>
                <w:color w:val="000000"/>
                <w:sz w:val="32"/>
                <w:szCs w:val="32"/>
                <w:lang w:eastAsia="zh-CN"/>
              </w:rPr>
            </w:pPr>
            <w:r>
              <w:rPr>
                <w:rFonts w:hint="eastAsia" w:ascii="宋体" w:hAnsi="宋体" w:eastAsia="宋体" w:cs="宋体"/>
                <w:color w:val="000000"/>
                <w:sz w:val="32"/>
                <w:szCs w:val="32"/>
                <w:lang w:eastAsia="zh-CN"/>
              </w:rPr>
              <w:t>部门预算政府基金预算财政拨款支出表</w:t>
            </w:r>
          </w:p>
        </w:tc>
      </w:tr>
      <w:tr>
        <w:tblPrEx>
          <w:tblCellMar>
            <w:top w:w="0" w:type="dxa"/>
            <w:left w:w="108" w:type="dxa"/>
            <w:bottom w:w="0" w:type="dxa"/>
            <w:right w:w="108" w:type="dxa"/>
          </w:tblCellMar>
        </w:tblPrEx>
        <w:trPr>
          <w:gridBefore w:val="1"/>
          <w:gridAfter w:val="3"/>
          <w:wBefore w:w="93" w:type="dxa"/>
          <w:wAfter w:w="737" w:type="dxa"/>
          <w:trHeight w:val="360" w:hRule="atLeast"/>
        </w:trPr>
        <w:tc>
          <w:tcPr>
            <w:tcW w:w="6558" w:type="dxa"/>
            <w:gridSpan w:val="17"/>
            <w:tcBorders>
              <w:top w:val="nil"/>
              <w:left w:val="nil"/>
              <w:bottom w:val="nil"/>
              <w:right w:val="nil"/>
            </w:tcBorders>
            <w:shd w:val="clear" w:color="auto" w:fill="auto"/>
            <w:noWrap/>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预算单位编码及名称：[9</w:t>
            </w:r>
            <w:r>
              <w:rPr>
                <w:rFonts w:hint="eastAsia" w:ascii="宋体" w:hAnsi="宋体" w:eastAsia="宋体" w:cs="宋体"/>
                <w:color w:val="000000"/>
                <w:sz w:val="22"/>
                <w:szCs w:val="22"/>
                <w:lang w:val="en-US" w:eastAsia="zh-CN"/>
              </w:rPr>
              <w:t>97</w:t>
            </w:r>
            <w:r>
              <w:rPr>
                <w:rFonts w:hint="eastAsia" w:ascii="宋体" w:hAnsi="宋体" w:eastAsia="宋体" w:cs="宋体"/>
                <w:color w:val="000000"/>
                <w:sz w:val="22"/>
                <w:szCs w:val="22"/>
                <w:lang w:eastAsia="zh-CN"/>
              </w:rPr>
              <w:t>]涞源县</w:t>
            </w:r>
            <w:r>
              <w:rPr>
                <w:rFonts w:hint="eastAsia" w:ascii="宋体" w:hAnsi="宋体" w:eastAsia="宋体" w:cs="宋体"/>
                <w:color w:val="000000"/>
                <w:sz w:val="22"/>
                <w:szCs w:val="22"/>
                <w:lang w:val="en-US" w:eastAsia="zh-CN"/>
              </w:rPr>
              <w:t>泉坊镇</w:t>
            </w:r>
            <w:r>
              <w:rPr>
                <w:rFonts w:hint="eastAsia" w:ascii="宋体" w:hAnsi="宋体" w:eastAsia="宋体" w:cs="宋体"/>
                <w:color w:val="000000"/>
                <w:sz w:val="22"/>
                <w:szCs w:val="22"/>
                <w:lang w:eastAsia="zh-CN"/>
              </w:rPr>
              <w:t>人民政府</w:t>
            </w:r>
          </w:p>
        </w:tc>
        <w:tc>
          <w:tcPr>
            <w:tcW w:w="3731" w:type="dxa"/>
            <w:gridSpan w:val="15"/>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3731" w:type="dxa"/>
            <w:gridSpan w:val="16"/>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tblPrEx>
          <w:tblCellMar>
            <w:top w:w="0" w:type="dxa"/>
            <w:left w:w="108" w:type="dxa"/>
            <w:bottom w:w="0" w:type="dxa"/>
            <w:right w:w="108" w:type="dxa"/>
          </w:tblCellMar>
        </w:tblPrEx>
        <w:trPr>
          <w:gridBefore w:val="1"/>
          <w:gridAfter w:val="3"/>
          <w:wBefore w:w="93" w:type="dxa"/>
          <w:wAfter w:w="737" w:type="dxa"/>
          <w:trHeight w:val="360" w:hRule="atLeast"/>
        </w:trPr>
        <w:tc>
          <w:tcPr>
            <w:tcW w:w="1117"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324" w:type="dxa"/>
            <w:gridSpan w:val="9"/>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11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731"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731" w:type="dxa"/>
            <w:gridSpan w:val="16"/>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tblPrEx>
          <w:tblCellMar>
            <w:top w:w="0" w:type="dxa"/>
            <w:left w:w="108" w:type="dxa"/>
            <w:bottom w:w="0" w:type="dxa"/>
            <w:right w:w="108" w:type="dxa"/>
          </w:tblCellMar>
        </w:tblPrEx>
        <w:trPr>
          <w:gridBefore w:val="1"/>
          <w:gridAfter w:val="3"/>
          <w:wBefore w:w="93" w:type="dxa"/>
          <w:wAfter w:w="737" w:type="dxa"/>
          <w:trHeight w:val="360" w:hRule="atLeast"/>
        </w:trPr>
        <w:tc>
          <w:tcPr>
            <w:tcW w:w="1117"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2162"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162"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117"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3731" w:type="dxa"/>
            <w:gridSpan w:val="1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3731" w:type="dxa"/>
            <w:gridSpan w:val="1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r>
      <w:tr>
        <w:tblPrEx>
          <w:tblCellMar>
            <w:top w:w="0" w:type="dxa"/>
            <w:left w:w="108" w:type="dxa"/>
            <w:bottom w:w="0" w:type="dxa"/>
            <w:right w:w="108" w:type="dxa"/>
          </w:tblCellMar>
        </w:tblPrEx>
        <w:trPr>
          <w:gridBefore w:val="1"/>
          <w:gridAfter w:val="3"/>
          <w:wBefore w:w="93" w:type="dxa"/>
          <w:wAfter w:w="737" w:type="dxa"/>
          <w:trHeight w:val="360" w:hRule="atLeast"/>
        </w:trPr>
        <w:tc>
          <w:tcPr>
            <w:tcW w:w="1117" w:type="dxa"/>
            <w:gridSpan w:val="5"/>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162"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162"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11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731" w:type="dxa"/>
            <w:gridSpan w:val="15"/>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731" w:type="dxa"/>
            <w:gridSpan w:val="1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tblPrEx>
          <w:tblCellMar>
            <w:top w:w="0" w:type="dxa"/>
            <w:left w:w="108" w:type="dxa"/>
            <w:bottom w:w="0" w:type="dxa"/>
            <w:right w:w="108" w:type="dxa"/>
          </w:tblCellMar>
        </w:tblPrEx>
        <w:trPr>
          <w:gridBefore w:val="1"/>
          <w:gridAfter w:val="3"/>
          <w:wBefore w:w="93" w:type="dxa"/>
          <w:wAfter w:w="737" w:type="dxa"/>
          <w:trHeight w:val="300" w:hRule="atLeast"/>
        </w:trPr>
        <w:tc>
          <w:tcPr>
            <w:tcW w:w="1117" w:type="dxa"/>
            <w:gridSpan w:val="5"/>
            <w:tcBorders>
              <w:top w:val="nil"/>
              <w:left w:val="single" w:color="auto" w:sz="4" w:space="0"/>
              <w:bottom w:val="single" w:color="auto" w:sz="4" w:space="0"/>
              <w:right w:val="single" w:color="auto" w:sz="4" w:space="0"/>
            </w:tcBorders>
            <w:shd w:val="clear" w:color="auto" w:fill="auto"/>
            <w:noWrap/>
          </w:tcPr>
          <w:p>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162" w:type="dxa"/>
            <w:gridSpan w:val="5"/>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162" w:type="dxa"/>
            <w:gridSpan w:val="4"/>
            <w:tcBorders>
              <w:top w:val="nil"/>
              <w:left w:val="nil"/>
              <w:bottom w:val="single" w:color="auto" w:sz="4" w:space="0"/>
              <w:right w:val="single" w:color="auto" w:sz="4" w:space="0"/>
            </w:tcBorders>
            <w:shd w:val="clear" w:color="auto" w:fill="auto"/>
            <w:noWrap/>
          </w:tcPr>
          <w:p>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17" w:type="dxa"/>
            <w:gridSpan w:val="3"/>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31" w:type="dxa"/>
            <w:gridSpan w:val="15"/>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31" w:type="dxa"/>
            <w:gridSpan w:val="16"/>
            <w:tcBorders>
              <w:top w:val="nil"/>
              <w:left w:val="nil"/>
              <w:bottom w:val="single" w:color="auto" w:sz="4" w:space="0"/>
              <w:right w:val="single" w:color="auto" w:sz="4" w:space="0"/>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left"/>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tbl>
      <w:tblPr>
        <w:tblStyle w:val="8"/>
        <w:tblW w:w="14020" w:type="dxa"/>
        <w:tblInd w:w="93" w:type="dxa"/>
        <w:tblLayout w:type="autofit"/>
        <w:tblCellMar>
          <w:top w:w="0" w:type="dxa"/>
          <w:left w:w="108" w:type="dxa"/>
          <w:bottom w:w="0" w:type="dxa"/>
          <w:right w:w="108" w:type="dxa"/>
        </w:tblCellMar>
      </w:tblPr>
      <w:tblGrid>
        <w:gridCol w:w="1117"/>
        <w:gridCol w:w="2162"/>
        <w:gridCol w:w="2162"/>
        <w:gridCol w:w="1117"/>
        <w:gridCol w:w="3731"/>
        <w:gridCol w:w="3731"/>
      </w:tblGrid>
      <w:tr>
        <w:tblPrEx>
          <w:tblCellMar>
            <w:top w:w="0" w:type="dxa"/>
            <w:left w:w="108" w:type="dxa"/>
            <w:bottom w:w="0" w:type="dxa"/>
            <w:right w:w="108" w:type="dxa"/>
          </w:tblCellMar>
        </w:tblPrEx>
        <w:trPr>
          <w:trHeight w:val="360" w:hRule="atLeast"/>
        </w:trPr>
        <w:tc>
          <w:tcPr>
            <w:tcW w:w="14020" w:type="dxa"/>
            <w:gridSpan w:val="6"/>
            <w:tcBorders>
              <w:top w:val="nil"/>
              <w:left w:val="nil"/>
              <w:bottom w:val="nil"/>
              <w:right w:val="nil"/>
            </w:tcBorders>
            <w:shd w:val="clear" w:color="auto" w:fill="auto"/>
            <w:noWrap/>
            <w:vAlign w:val="center"/>
          </w:tcPr>
          <w:p>
            <w:pPr>
              <w:jc w:val="center"/>
              <w:rPr>
                <w:rFonts w:ascii="宋体" w:hAnsi="宋体" w:eastAsia="宋体" w:cs="宋体"/>
                <w:color w:val="000000"/>
                <w:sz w:val="32"/>
                <w:szCs w:val="32"/>
                <w:lang w:eastAsia="zh-CN"/>
              </w:rPr>
            </w:pPr>
            <w:r>
              <w:rPr>
                <w:rFonts w:hint="eastAsia" w:ascii="宋体" w:hAnsi="宋体" w:eastAsia="宋体" w:cs="宋体"/>
                <w:color w:val="000000"/>
                <w:sz w:val="32"/>
                <w:szCs w:val="32"/>
                <w:lang w:eastAsia="zh-CN"/>
              </w:rPr>
              <w:t>部门预算国有资本经营预算财政拨款支出表</w:t>
            </w:r>
          </w:p>
        </w:tc>
      </w:tr>
      <w:tr>
        <w:tblPrEx>
          <w:tblCellMar>
            <w:top w:w="0" w:type="dxa"/>
            <w:left w:w="108" w:type="dxa"/>
            <w:bottom w:w="0" w:type="dxa"/>
            <w:right w:w="108" w:type="dxa"/>
          </w:tblCellMar>
        </w:tblPrEx>
        <w:trPr>
          <w:trHeight w:val="360" w:hRule="atLeast"/>
        </w:trPr>
        <w:tc>
          <w:tcPr>
            <w:tcW w:w="6558" w:type="dxa"/>
            <w:gridSpan w:val="4"/>
            <w:tcBorders>
              <w:top w:val="nil"/>
              <w:left w:val="nil"/>
              <w:bottom w:val="nil"/>
              <w:right w:val="nil"/>
            </w:tcBorders>
            <w:shd w:val="clear" w:color="auto" w:fill="auto"/>
            <w:noWrap/>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预算单位编码及名称：[9</w:t>
            </w:r>
            <w:r>
              <w:rPr>
                <w:rFonts w:hint="eastAsia" w:ascii="宋体" w:hAnsi="宋体" w:eastAsia="宋体" w:cs="宋体"/>
                <w:color w:val="000000"/>
                <w:sz w:val="22"/>
                <w:szCs w:val="22"/>
                <w:lang w:val="en-US" w:eastAsia="zh-CN"/>
              </w:rPr>
              <w:t>97</w:t>
            </w:r>
            <w:r>
              <w:rPr>
                <w:rFonts w:hint="eastAsia" w:ascii="宋体" w:hAnsi="宋体" w:eastAsia="宋体" w:cs="宋体"/>
                <w:color w:val="000000"/>
                <w:sz w:val="22"/>
                <w:szCs w:val="22"/>
                <w:lang w:eastAsia="zh-CN"/>
              </w:rPr>
              <w:t>]涞源县</w:t>
            </w:r>
            <w:r>
              <w:rPr>
                <w:rFonts w:hint="eastAsia" w:ascii="宋体" w:hAnsi="宋体" w:eastAsia="宋体" w:cs="宋体"/>
                <w:color w:val="000000"/>
                <w:sz w:val="22"/>
                <w:szCs w:val="22"/>
                <w:lang w:val="en-US" w:eastAsia="zh-CN"/>
              </w:rPr>
              <w:t>泉坊镇</w:t>
            </w:r>
            <w:r>
              <w:rPr>
                <w:rFonts w:hint="eastAsia" w:ascii="宋体" w:hAnsi="宋体" w:eastAsia="宋体" w:cs="宋体"/>
                <w:color w:val="000000"/>
                <w:sz w:val="22"/>
                <w:szCs w:val="22"/>
                <w:lang w:eastAsia="zh-CN"/>
              </w:rPr>
              <w:t>人民政府</w:t>
            </w:r>
          </w:p>
        </w:tc>
        <w:tc>
          <w:tcPr>
            <w:tcW w:w="3731" w:type="dxa"/>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3731" w:type="dxa"/>
            <w:tcBorders>
              <w:top w:val="nil"/>
              <w:left w:val="nil"/>
              <w:bottom w:val="nil"/>
              <w:right w:val="nil"/>
            </w:tcBorders>
            <w:shd w:val="clear" w:color="auto" w:fill="auto"/>
            <w:noWrap/>
            <w:vAlign w:val="center"/>
          </w:tcPr>
          <w:p>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11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32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1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7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7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tblPrEx>
          <w:tblCellMar>
            <w:top w:w="0" w:type="dxa"/>
            <w:left w:w="108" w:type="dxa"/>
            <w:bottom w:w="0" w:type="dxa"/>
            <w:right w:w="108" w:type="dxa"/>
          </w:tblCellMar>
        </w:tblPrEx>
        <w:trPr>
          <w:trHeight w:val="360"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21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1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37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37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r>
      <w:tr>
        <w:tblPrEx>
          <w:tblCellMar>
            <w:top w:w="0" w:type="dxa"/>
            <w:left w:w="108" w:type="dxa"/>
            <w:bottom w:w="0" w:type="dxa"/>
            <w:right w:w="108" w:type="dxa"/>
          </w:tblCellMar>
        </w:tblPrEx>
        <w:trPr>
          <w:trHeight w:val="360" w:hRule="atLeast"/>
        </w:trPr>
        <w:tc>
          <w:tcPr>
            <w:tcW w:w="11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1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1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7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7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bl>
    <w:p>
      <w:pPr>
        <w:ind w:firstLine="420"/>
        <w:sectPr>
          <w:footerReference r:id="rId3" w:type="default"/>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81"/>
        <w:gridCol w:w="1643"/>
        <w:gridCol w:w="458"/>
        <w:gridCol w:w="2381"/>
        <w:gridCol w:w="447"/>
        <w:gridCol w:w="1934"/>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315"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997涞源县泉坊镇人民政府</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7"/>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gridSpan w:val="3"/>
            <w:vAlign w:val="center"/>
          </w:tcPr>
          <w:p>
            <w:pPr>
              <w:pStyle w:val="14"/>
            </w:pPr>
            <w:r>
              <w:t>合计</w:t>
            </w:r>
          </w:p>
        </w:tc>
        <w:tc>
          <w:tcPr>
            <w:tcW w:w="2381" w:type="dxa"/>
            <w:vAlign w:val="center"/>
          </w:tcPr>
          <w:p>
            <w:pPr>
              <w:pStyle w:val="14"/>
            </w:pPr>
            <w:r>
              <w:t>一般公共预算              财政拨款</w:t>
            </w:r>
          </w:p>
        </w:tc>
        <w:tc>
          <w:tcPr>
            <w:tcW w:w="2381" w:type="dxa"/>
            <w:gridSpan w:val="2"/>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gridSpan w:val="3"/>
            <w:vAlign w:val="center"/>
          </w:tcPr>
          <w:p>
            <w:pPr>
              <w:pStyle w:val="14"/>
            </w:pPr>
            <w:r>
              <w:t>2</w:t>
            </w:r>
          </w:p>
        </w:tc>
        <w:tc>
          <w:tcPr>
            <w:tcW w:w="2381" w:type="dxa"/>
            <w:vAlign w:val="center"/>
          </w:tcPr>
          <w:p>
            <w:pPr>
              <w:pStyle w:val="14"/>
            </w:pPr>
            <w:r>
              <w:t>3</w:t>
            </w:r>
          </w:p>
        </w:tc>
        <w:tc>
          <w:tcPr>
            <w:tcW w:w="2381" w:type="dxa"/>
            <w:gridSpan w:val="2"/>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gridSpan w:val="3"/>
            <w:vAlign w:val="center"/>
          </w:tcPr>
          <w:p>
            <w:pPr>
              <w:pStyle w:val="19"/>
              <w:rPr>
                <w:rFonts w:hint="default" w:eastAsia="方正书宋_GBK"/>
                <w:lang w:val="en-US" w:eastAsia="zh-CN"/>
              </w:rPr>
            </w:pPr>
            <w:r>
              <w:rPr>
                <w:rFonts w:hint="eastAsia"/>
                <w:lang w:val="en-US" w:eastAsia="zh-CN"/>
              </w:rPr>
              <w:t>12</w:t>
            </w:r>
          </w:p>
        </w:tc>
        <w:tc>
          <w:tcPr>
            <w:tcW w:w="2381" w:type="dxa"/>
            <w:vAlign w:val="center"/>
          </w:tcPr>
          <w:p>
            <w:pPr>
              <w:pStyle w:val="19"/>
              <w:rPr>
                <w:rFonts w:hint="default" w:eastAsia="方正书宋_GBK"/>
                <w:lang w:val="en-US" w:eastAsia="zh-CN"/>
              </w:rPr>
            </w:pPr>
            <w:r>
              <w:rPr>
                <w:rFonts w:hint="eastAsia"/>
                <w:lang w:val="en-US" w:eastAsia="zh-CN"/>
              </w:rPr>
              <w:t>12</w:t>
            </w:r>
          </w:p>
        </w:tc>
        <w:tc>
          <w:tcPr>
            <w:tcW w:w="2381" w:type="dxa"/>
            <w:gridSpan w:val="2"/>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gridSpan w:val="3"/>
            <w:vAlign w:val="center"/>
          </w:tcPr>
          <w:p>
            <w:pPr>
              <w:pStyle w:val="15"/>
            </w:pPr>
          </w:p>
        </w:tc>
        <w:tc>
          <w:tcPr>
            <w:tcW w:w="2381" w:type="dxa"/>
            <w:vAlign w:val="center"/>
          </w:tcPr>
          <w:p>
            <w:pPr>
              <w:pStyle w:val="15"/>
            </w:pPr>
          </w:p>
        </w:tc>
        <w:tc>
          <w:tcPr>
            <w:tcW w:w="2381" w:type="dxa"/>
            <w:gridSpan w:val="2"/>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t>二、公务用车购置及运维费</w:t>
            </w:r>
          </w:p>
        </w:tc>
        <w:tc>
          <w:tcPr>
            <w:tcW w:w="2382" w:type="dxa"/>
            <w:gridSpan w:val="3"/>
            <w:vAlign w:val="center"/>
          </w:tcPr>
          <w:p>
            <w:pPr>
              <w:pStyle w:val="15"/>
            </w:pPr>
            <w:r>
              <w:t>7</w:t>
            </w:r>
          </w:p>
        </w:tc>
        <w:tc>
          <w:tcPr>
            <w:tcW w:w="2381" w:type="dxa"/>
            <w:vAlign w:val="center"/>
          </w:tcPr>
          <w:p>
            <w:pPr>
              <w:pStyle w:val="15"/>
            </w:pPr>
            <w:r>
              <w:t>7</w:t>
            </w:r>
          </w:p>
        </w:tc>
        <w:tc>
          <w:tcPr>
            <w:tcW w:w="2381" w:type="dxa"/>
            <w:gridSpan w:val="2"/>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gridSpan w:val="3"/>
            <w:vAlign w:val="center"/>
          </w:tcPr>
          <w:p>
            <w:pPr>
              <w:pStyle w:val="15"/>
            </w:pPr>
          </w:p>
        </w:tc>
        <w:tc>
          <w:tcPr>
            <w:tcW w:w="2381" w:type="dxa"/>
            <w:vAlign w:val="center"/>
          </w:tcPr>
          <w:p>
            <w:pPr>
              <w:pStyle w:val="15"/>
            </w:pPr>
          </w:p>
        </w:tc>
        <w:tc>
          <w:tcPr>
            <w:tcW w:w="2381" w:type="dxa"/>
            <w:gridSpan w:val="2"/>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gridSpan w:val="3"/>
            <w:vAlign w:val="center"/>
          </w:tcPr>
          <w:p>
            <w:pPr>
              <w:pStyle w:val="15"/>
            </w:pPr>
            <w:r>
              <w:t>7</w:t>
            </w:r>
          </w:p>
        </w:tc>
        <w:tc>
          <w:tcPr>
            <w:tcW w:w="2381" w:type="dxa"/>
            <w:vAlign w:val="center"/>
          </w:tcPr>
          <w:p>
            <w:pPr>
              <w:pStyle w:val="15"/>
            </w:pPr>
            <w:r>
              <w:t>7</w:t>
            </w:r>
          </w:p>
        </w:tc>
        <w:tc>
          <w:tcPr>
            <w:tcW w:w="2381" w:type="dxa"/>
            <w:gridSpan w:val="2"/>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gridSpan w:val="3"/>
            <w:vAlign w:val="center"/>
          </w:tcPr>
          <w:p>
            <w:pPr>
              <w:pStyle w:val="15"/>
              <w:rPr>
                <w:rFonts w:hint="eastAsia" w:eastAsia="方正书宋_GBK"/>
                <w:lang w:eastAsia="zh-CN"/>
              </w:rPr>
            </w:pPr>
            <w:r>
              <w:rPr>
                <w:rFonts w:hint="eastAsia"/>
                <w:lang w:val="en-US" w:eastAsia="zh-CN"/>
              </w:rPr>
              <w:t>5</w:t>
            </w:r>
          </w:p>
        </w:tc>
        <w:tc>
          <w:tcPr>
            <w:tcW w:w="2381" w:type="dxa"/>
            <w:vAlign w:val="center"/>
          </w:tcPr>
          <w:p>
            <w:pPr>
              <w:pStyle w:val="15"/>
              <w:rPr>
                <w:rFonts w:hint="eastAsia" w:eastAsia="方正书宋_GBK"/>
                <w:lang w:eastAsia="zh-CN"/>
              </w:rPr>
            </w:pPr>
            <w:r>
              <w:rPr>
                <w:rFonts w:hint="eastAsia"/>
                <w:lang w:val="en-US" w:eastAsia="zh-CN"/>
              </w:rPr>
              <w:t>5</w:t>
            </w:r>
          </w:p>
        </w:tc>
        <w:tc>
          <w:tcPr>
            <w:tcW w:w="2381" w:type="dxa"/>
            <w:gridSpan w:val="2"/>
            <w:vAlign w:val="center"/>
          </w:tcPr>
          <w:p>
            <w:pPr>
              <w:pStyle w:val="15"/>
            </w:pPr>
          </w:p>
        </w:tc>
        <w:tc>
          <w:tcPr>
            <w:tcW w:w="2381" w:type="dxa"/>
            <w:vAlign w:val="center"/>
          </w:tcPr>
          <w:p>
            <w:pPr>
              <w:pStyle w:val="15"/>
            </w:pPr>
          </w:p>
        </w:tc>
      </w:tr>
    </w:tbl>
    <w:p>
      <w:pPr>
        <w:spacing w:before="0" w:after="0" w:line="240" w:lineRule="auto"/>
        <w:ind w:firstLine="420"/>
        <w:jc w:val="left"/>
        <w:outlineLvl w:val="9"/>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涞源县泉坊镇人民政府2022年部门预算信息公开情况说明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》、《地方预决算公开操作规程》和《关于进一步推进预算公开工作的实施意见》规定，现将涞源县泉坊镇人民政府2022年部门预算公开如下：</w:t>
      </w:r>
    </w:p>
    <w:p>
      <w:pPr>
        <w:spacing w:before="10" w:after="10" w:line="360" w:lineRule="auto"/>
        <w:ind w:firstLine="640"/>
        <w:jc w:val="left"/>
        <w:outlineLvl w:val="2"/>
      </w:pPr>
      <w:bookmarkStart w:id="0" w:name="_Toc_3_3_0000000010"/>
      <w:r>
        <w:rPr>
          <w:rFonts w:ascii="黑体" w:hAnsi="黑体" w:eastAsia="黑体" w:cs="黑体"/>
          <w:color w:val="000000"/>
          <w:sz w:val="32"/>
        </w:rPr>
        <w:t>一、部门职责及机构设置情况</w:t>
      </w:r>
      <w:bookmarkEnd w:id="0"/>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根据《涞源县泉坊镇人民政府职能配置、内设机构和人员编制规定》， 涞源县泉坊镇人民政府的主要职责是：</w:t>
      </w:r>
    </w:p>
    <w:p>
      <w:pPr>
        <w:pStyle w:val="2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pPr>
      <w:r>
        <w:t>（二）加强党对基层治理的全面领导，统筹抓好基层党建工作和基层党组织建设各项制度。推进全面从严治党，强化“两个责任”，确保党的路线方针政策在基层得到全面贯彻落实。</w:t>
      </w:r>
    </w:p>
    <w:p>
      <w:pPr>
        <w:pStyle w:val="21"/>
      </w:pPr>
      <w:r>
        <w:t>（三）讨论和决定本镇经济建设、政治建设、文化建设、社会建设、生态文明建设和党的建设以及乡村振兴中的重大问题。</w:t>
      </w:r>
    </w:p>
    <w:p>
      <w:pPr>
        <w:pStyle w:val="21"/>
      </w:pPr>
      <w:r>
        <w:t>（四）组织召开本级人民代表大会，充分行使重大事项决定权、监督权和任免权，做好人大代表工作，联系选民、反映群众意见和要求。</w:t>
      </w:r>
    </w:p>
    <w:p>
      <w:pPr>
        <w:pStyle w:val="21"/>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21"/>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1"/>
      </w:pPr>
      <w:r>
        <w:t>（七）镇党委领导本镇政权机关、群团组织和其他各类组织,加强指导和规范，支持和保证这些机关和组织依照国家法律法规以及各自章程履行职责。坚持党管武装的根本原则和制度, 协调各方力量，对本镇人民武装工作实行统一领导。</w:t>
      </w:r>
    </w:p>
    <w:p>
      <w:pPr>
        <w:pStyle w:val="21"/>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21"/>
      </w:pPr>
      <w:r>
        <w:t>（九）按照干部管理权限，负责对干部的教育、培训、选拔、考核和监督。协助管理上级有关部门驻乡镇单位的干部。做好人才服务工作。</w:t>
      </w:r>
    </w:p>
    <w:p>
      <w:pPr>
        <w:pStyle w:val="21"/>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1"/>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涞源县泉坊镇人民政府本级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 w:name="_Toc_3_3_0000000011"/>
      <w:r>
        <w:rPr>
          <w:rFonts w:ascii="黑体" w:hAnsi="黑体" w:eastAsia="黑体" w:cs="黑体"/>
          <w:color w:val="000000"/>
          <w:sz w:val="32"/>
        </w:rPr>
        <w:t>二、部门预算安排的总体情况</w:t>
      </w:r>
      <w:bookmarkEnd w:id="1"/>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按照预算管理有关规定，目前我省部门预算的编制实行综合预算管理，即全部收入和支出都反映在预算中。涞源县泉坊镇人民政府机关及所属事业单位的收支包含在部门预算中。</w:t>
      </w:r>
    </w:p>
    <w:p>
      <w:pPr>
        <w:pStyle w:val="22"/>
      </w:pPr>
      <w:r>
        <w:t>按照预算管理有关规定，目前我省部门预算的编制实行综合预算管理，即全部收入和支出都反映在预算中。泉坊镇人民政府机关及所属事业单位的收支包含在部门预算中。</w:t>
      </w:r>
    </w:p>
    <w:p>
      <w:pPr>
        <w:pStyle w:val="22"/>
      </w:pPr>
      <w:r>
        <w:t>1、收入说明</w:t>
      </w:r>
    </w:p>
    <w:p>
      <w:pPr>
        <w:pStyle w:val="22"/>
      </w:pPr>
      <w:r>
        <w:t>反映本部门当年全部收入。2022年预算收入963.76万元，其中：一般公共预算收入963.76万元，基金预算收入0万元，国有资本经营预算收入0万元，财政专户核拨收入0万元，单位资金收入0万元，上年结转结余0万元。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泉坊镇人民政府年度部门预算中支出预算的总体情况。2022年支出预算963.76万元，其中基本支出669.55万元，包括人员经费624.28万元和日常公用经费45.27万元；项目支出294.21万元，主要增加了村级服务群众专项经费及党组织活动经费等。</w:t>
      </w:r>
    </w:p>
    <w:p>
      <w:pPr>
        <w:pStyle w:val="22"/>
      </w:pPr>
      <w:r>
        <w:t>3、比上年增减情况</w:t>
      </w:r>
    </w:p>
    <w:p>
      <w:pPr>
        <w:pStyle w:val="22"/>
      </w:pPr>
      <w:r>
        <w:t>2022年预算收支安排963.76万元，较2021年预算减少2241.91万元，其中：基本支出增加119.39万元，主要为增加人员经费支出；项目支出较少2512.83万元，主要为减少政府性基金预算财政拨款（棚户区改造资金）专项资金。</w:t>
      </w:r>
    </w:p>
    <w:p>
      <w:pPr>
        <w:spacing w:before="10" w:after="10" w:line="360" w:lineRule="auto"/>
        <w:ind w:firstLine="640"/>
        <w:jc w:val="left"/>
        <w:outlineLvl w:val="2"/>
      </w:pPr>
      <w:bookmarkStart w:id="2" w:name="_Toc_3_3_0000000012"/>
      <w:r>
        <w:rPr>
          <w:rFonts w:ascii="黑体" w:hAnsi="黑体" w:eastAsia="黑体" w:cs="黑体"/>
          <w:color w:val="000000"/>
          <w:sz w:val="32"/>
        </w:rPr>
        <w:t>三、机关运行经费安排情况</w:t>
      </w:r>
      <w:bookmarkEnd w:id="2"/>
    </w:p>
    <w:p>
      <w:pPr>
        <w:pStyle w:val="23"/>
      </w:pPr>
      <w:r>
        <w:t>2022年，我部门运行经费共计安排45.27万元，主要用于日常维修、办公用房水电费、办公用房取暖费、差旅费、印刷费等日常运行支出。</w:t>
      </w:r>
    </w:p>
    <w:p>
      <w:pPr>
        <w:spacing w:before="10" w:after="10" w:line="360" w:lineRule="auto"/>
        <w:ind w:firstLine="640"/>
        <w:jc w:val="left"/>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24"/>
      </w:pPr>
      <w:r>
        <w:t>2022年，我部门财政拨款“三公”经费预算安排1</w:t>
      </w:r>
      <w:r>
        <w:rPr>
          <w:rFonts w:hint="eastAsia"/>
          <w:lang w:val="en-US" w:eastAsia="zh-CN"/>
        </w:rPr>
        <w:t>2</w:t>
      </w:r>
      <w:r>
        <w:t>万元，其中因公出国（境）费0万元；公务用车购置及运维费7万元（其中：公务用车购置费为0万元，公务用车运维费7万元)；公务接待费5万元。与2021年相比增加7万元，增加的主要原因是：新增公务用车运维费预算。</w:t>
      </w:r>
    </w:p>
    <w:p>
      <w:pPr>
        <w:spacing w:before="10" w:after="10" w:line="360" w:lineRule="auto"/>
        <w:ind w:firstLine="640"/>
        <w:jc w:val="left"/>
        <w:outlineLvl w:val="2"/>
      </w:pPr>
      <w:bookmarkStart w:id="4" w:name="_Toc_3_3_0000000014"/>
      <w:r>
        <w:rPr>
          <w:rFonts w:ascii="黑体" w:hAnsi="黑体" w:eastAsia="黑体" w:cs="黑体"/>
          <w:color w:val="000000"/>
          <w:sz w:val="32"/>
        </w:rPr>
        <w:t>五、预算绩效信息</w:t>
      </w:r>
      <w:bookmarkEnd w:id="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总体绩效目标：</w:t>
      </w:r>
    </w:p>
    <w:p>
      <w:pPr>
        <w:pStyle w:val="25"/>
      </w:pPr>
      <w:r>
        <w:t>在县委、县政府的坚强领导下，我镇将紧紧围绕</w:t>
      </w:r>
      <w:r>
        <w:rPr>
          <w:rFonts w:hint="eastAsia"/>
        </w:rPr>
        <w:t>县委、县政府</w:t>
      </w:r>
      <w:bookmarkStart w:id="9" w:name="_GoBack"/>
      <w:bookmarkEnd w:id="9"/>
      <w:r>
        <w:t>决策部署，深入开展“解放思想、抢抓机遇、奋发作为、协同发展”大讨论活动，按照“基层组织建设常抓不懈、项目建设全面突破、安全稳定一抓到底、社会事业全面发展”的总体工作思路，重点做好以下几项工作：</w:t>
      </w:r>
    </w:p>
    <w:p>
      <w:pPr>
        <w:pStyle w:val="25"/>
      </w:pPr>
      <w:r>
        <w:t>1、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5"/>
      </w:pPr>
      <w:r>
        <w:t xml:space="preserve">2、围绕项目建设强力推动，在经济社会发展上取得新突破。使各村项目增收增效，逐渐步入正轨。 </w:t>
      </w:r>
    </w:p>
    <w:p>
      <w:pPr>
        <w:pStyle w:val="25"/>
      </w:pPr>
      <w:r>
        <w:t>3、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5"/>
      </w:pPr>
      <w:r>
        <w:t xml:space="preserve">4、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（二）分项绩效目标</w:t>
      </w:r>
    </w:p>
    <w:p>
      <w:pPr>
        <w:pStyle w:val="26"/>
      </w:pPr>
      <w:r>
        <w:t>分项绩效目标：</w:t>
      </w:r>
    </w:p>
    <w:p>
      <w:pPr>
        <w:pStyle w:val="26"/>
      </w:pPr>
      <w:r>
        <w:t>1、加强基层政权建设</w:t>
      </w:r>
    </w:p>
    <w:p>
      <w:pPr>
        <w:pStyle w:val="26"/>
      </w:pPr>
      <w:r>
        <w:t>绩效目标:增加基层党组织战斗力</w:t>
      </w:r>
    </w:p>
    <w:p>
      <w:pPr>
        <w:pStyle w:val="26"/>
      </w:pPr>
      <w:r>
        <w:t>绩效指标:抓住经济发展这个第一要务，加强社会管理和公共服务职能，逐步实现由管理型向服务型转变，努力建设服务型、法制型政府，更好为“三农”服务。</w:t>
      </w:r>
    </w:p>
    <w:p>
      <w:pPr>
        <w:pStyle w:val="26"/>
      </w:pPr>
      <w:r>
        <w:t>2、落实村干部、老党员待遇激励机制</w:t>
      </w:r>
    </w:p>
    <w:p>
      <w:pPr>
        <w:pStyle w:val="26"/>
      </w:pPr>
      <w:r>
        <w:t>绩效目标：将各项待遇补贴落实到位</w:t>
      </w:r>
    </w:p>
    <w:p>
      <w:pPr>
        <w:pStyle w:val="26"/>
      </w:pPr>
      <w:r>
        <w:t>绩效指标：通过落实农村两委干部绩效工资、养老保险补贴、医疗保险补贴、比照公务员待遇，落实离任干部补贴、建国前、优抚老党员慰问等政策激发村干部干事热情。</w:t>
      </w:r>
    </w:p>
    <w:p>
      <w:pPr>
        <w:pStyle w:val="26"/>
      </w:pPr>
      <w:r>
        <w:t>3、协调各单位、各部门之间的关系。</w:t>
      </w:r>
    </w:p>
    <w:p>
      <w:pPr>
        <w:pStyle w:val="26"/>
      </w:pPr>
      <w:r>
        <w:t>绩效目标：各项工作任务顺利完成。</w:t>
      </w:r>
    </w:p>
    <w:p>
      <w:pPr>
        <w:pStyle w:val="26"/>
      </w:pPr>
      <w:r>
        <w:t>绩效指标：保障人大、武装、纪检监察等各项工作顺利开展。</w:t>
      </w:r>
    </w:p>
    <w:p>
      <w:pPr>
        <w:pStyle w:val="26"/>
      </w:pPr>
    </w:p>
    <w:p>
      <w:pPr>
        <w:pStyle w:val="26"/>
      </w:pPr>
      <w:r>
        <w:t>4、处理来信来访、加强法制建设。</w:t>
      </w:r>
    </w:p>
    <w:p>
      <w:pPr>
        <w:pStyle w:val="26"/>
      </w:pPr>
      <w:r>
        <w:t>绩效目标：处理群众来信来访，社会综合治理达到群众满意。</w:t>
      </w:r>
    </w:p>
    <w:p>
      <w:pPr>
        <w:pStyle w:val="26"/>
      </w:pPr>
      <w:r>
        <w:t>绩效指标：及时有效的了解民情民意、扶持弱势群众，加强社会治安管理，维护社会安定秩序。</w:t>
      </w:r>
    </w:p>
    <w:p>
      <w:pPr>
        <w:pStyle w:val="26"/>
      </w:pPr>
      <w:r>
        <w:t xml:space="preserve">5、扶贫工作 </w:t>
      </w:r>
    </w:p>
    <w:p>
      <w:pPr>
        <w:pStyle w:val="26"/>
      </w:pPr>
      <w:r>
        <w:t>绩效目标：促进农村经济发展</w:t>
      </w:r>
    </w:p>
    <w:p>
      <w:pPr>
        <w:pStyle w:val="26"/>
      </w:pPr>
      <w:r>
        <w:t>绩效指标：通过进行扶贫政策宣传，进行贫困人员动态调整，规范档案管理，聘用扶贫政策信息员，联系管理驻村工作队，实施扶贫产业项目，落实五个一批措施，实现脱贫致富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深入学习贯彻党的十九大和省委九届五次全会、市委十一届三次全会、县委十三届二次全会精神为指导，全面落实中央、省、市委要求，突出“开放带动、转型升级、绿色崛起”三大主题，牢牢把握“夜以继日、持续发力、实干实政、决战决胜”的总基调，牢固树立新发展理念，强化争先进位意识，完成主城区与滨湖新区路网改造对接，加大环境治理，营造碧水蓝天的良好环境，不断开创经济和社会各项事业发展新局面。</w:t>
      </w:r>
    </w:p>
    <w:p>
      <w:pPr>
        <w:pStyle w:val="27"/>
      </w:pPr>
      <w:r>
        <w:t>（一）谋划重要项目、重要工程情况</w:t>
      </w:r>
    </w:p>
    <w:p>
      <w:pPr>
        <w:pStyle w:val="27"/>
      </w:pPr>
      <w:r>
        <w:t>1、强力推进滨湖新区建设，继续抓好新民居建设。</w:t>
      </w:r>
    </w:p>
    <w:p>
      <w:pPr>
        <w:pStyle w:val="27"/>
      </w:pPr>
      <w:r>
        <w:t>2、结合全县重点项目，做好协助、承办工作。</w:t>
      </w:r>
    </w:p>
    <w:p>
      <w:pPr>
        <w:pStyle w:val="27"/>
      </w:pPr>
      <w:r>
        <w:t>（二）重要工作安排</w:t>
      </w:r>
    </w:p>
    <w:p>
      <w:pPr>
        <w:pStyle w:val="27"/>
      </w:pPr>
      <w:r>
        <w:t>1、全面贯彻落实学习</w:t>
      </w:r>
      <w:r>
        <w:rPr>
          <w:rFonts w:hint="eastAsia"/>
          <w:lang w:eastAsia="zh-CN"/>
        </w:rPr>
        <w:t>党的</w:t>
      </w:r>
      <w:r>
        <w:t>十九大精神，全力抓好基层党组织建设，全面提升党建工作水平。</w:t>
      </w:r>
    </w:p>
    <w:p>
      <w:pPr>
        <w:pStyle w:val="27"/>
      </w:pPr>
      <w:r>
        <w:t>2、按上级要求，有序推进城镇建设。</w:t>
      </w:r>
    </w:p>
    <w:p>
      <w:pPr>
        <w:pStyle w:val="27"/>
      </w:pPr>
      <w:r>
        <w:t>3、保持稳定乡镇，大力推进社区工作，争创和谐社区。</w:t>
      </w:r>
    </w:p>
    <w:p>
      <w:pPr>
        <w:pStyle w:val="27"/>
      </w:pPr>
      <w:r>
        <w:t>4、做好大气污染治理工作。</w:t>
      </w:r>
    </w:p>
    <w:p>
      <w:pPr>
        <w:pStyle w:val="27"/>
      </w:pPr>
      <w:r>
        <w:t>5、扎实做好防火防汛、安全生产、危房改造等相关工作。</w:t>
      </w:r>
    </w:p>
    <w:p>
      <w:pPr>
        <w:pStyle w:val="27"/>
      </w:pPr>
      <w:r>
        <w:t>6、做好县委、县政府交办的其他工作。</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1、泉坊镇2022年285个村服务群众专项经费绩效目标表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1.确保资金及时拨付到位</w:t>
            </w:r>
          </w:p>
          <w:p>
            <w:pPr>
              <w:pStyle w:val="16"/>
            </w:pPr>
            <w:r>
              <w:t>2.改善农村居住环境</w:t>
            </w:r>
          </w:p>
          <w:p>
            <w:pPr>
              <w:pStyle w:val="16"/>
            </w:pPr>
            <w:r>
              <w:t>3.提高农民生活质量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开展外宣活动数量</w:t>
            </w:r>
          </w:p>
        </w:tc>
        <w:tc>
          <w:tcPr>
            <w:tcW w:w="2835" w:type="dxa"/>
            <w:vAlign w:val="center"/>
          </w:tcPr>
          <w:p>
            <w:pPr>
              <w:pStyle w:val="16"/>
            </w:pPr>
            <w:r>
              <w:t>反映开展外宣活动情况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按照要求和计划完成党组织活动占全年活动的比例（百分比）</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环境改善情况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群众居住条件改善</w:t>
            </w:r>
          </w:p>
        </w:tc>
        <w:tc>
          <w:tcPr>
            <w:tcW w:w="2835" w:type="dxa"/>
            <w:vAlign w:val="center"/>
          </w:tcPr>
          <w:p>
            <w:pPr>
              <w:pStyle w:val="16"/>
            </w:pPr>
            <w:r>
              <w:t>群众居住条件改善</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基本公共服务水平</w:t>
            </w:r>
          </w:p>
        </w:tc>
        <w:tc>
          <w:tcPr>
            <w:tcW w:w="2835" w:type="dxa"/>
            <w:vAlign w:val="center"/>
          </w:tcPr>
          <w:p>
            <w:pPr>
              <w:pStyle w:val="16"/>
            </w:pPr>
            <w:r>
              <w:t>基本公共服务水平</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2、泉坊镇2022年村党组织活动经费绩效目标表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1.确保资金及时拨付到位</w:t>
            </w:r>
          </w:p>
          <w:p>
            <w:pPr>
              <w:pStyle w:val="16"/>
            </w:pPr>
            <w:r>
              <w:t>2.确保资金按时发放到户</w:t>
            </w:r>
          </w:p>
          <w:p>
            <w:pPr>
              <w:pStyle w:val="16"/>
            </w:pPr>
            <w:r>
              <w:t>3.提高党员认识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发放补助人数</w:t>
            </w:r>
          </w:p>
        </w:tc>
        <w:tc>
          <w:tcPr>
            <w:tcW w:w="2835" w:type="dxa"/>
            <w:vAlign w:val="center"/>
          </w:tcPr>
          <w:p>
            <w:pPr>
              <w:pStyle w:val="16"/>
            </w:pPr>
            <w:r>
              <w:t>发放补助人数</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补助资金发放完成率（%）</w:t>
            </w:r>
          </w:p>
        </w:tc>
        <w:tc>
          <w:tcPr>
            <w:tcW w:w="2835" w:type="dxa"/>
            <w:vAlign w:val="center"/>
          </w:tcPr>
          <w:p>
            <w:pPr>
              <w:pStyle w:val="16"/>
            </w:pPr>
            <w:r>
              <w:t>补助资金发放完成率（%）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w:t>
            </w:r>
          </w:p>
        </w:tc>
        <w:tc>
          <w:tcPr>
            <w:tcW w:w="2835" w:type="dxa"/>
            <w:vAlign w:val="center"/>
          </w:tcPr>
          <w:p>
            <w:pPr>
              <w:pStyle w:val="16"/>
            </w:pPr>
            <w:r>
              <w:t>补助发放及时性</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补助成本</w:t>
            </w:r>
          </w:p>
        </w:tc>
        <w:tc>
          <w:tcPr>
            <w:tcW w:w="2835" w:type="dxa"/>
            <w:vAlign w:val="center"/>
          </w:tcPr>
          <w:p>
            <w:pPr>
              <w:pStyle w:val="16"/>
            </w:pPr>
            <w:r>
              <w:t>补助成本</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3、泉坊镇2022年村级组织办公经费绩效目标表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1.确保资金及时拨付</w:t>
            </w:r>
          </w:p>
          <w:p>
            <w:pPr>
              <w:pStyle w:val="16"/>
            </w:pPr>
            <w:r>
              <w:t>2.保障资金按时发放</w:t>
            </w:r>
          </w:p>
          <w:p>
            <w:pPr>
              <w:pStyle w:val="16"/>
            </w:pPr>
            <w:r>
              <w:t>3.保证日常工作顺利进行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服务基层的示范效应</w:t>
            </w:r>
          </w:p>
        </w:tc>
        <w:tc>
          <w:tcPr>
            <w:tcW w:w="2835" w:type="dxa"/>
            <w:vAlign w:val="center"/>
          </w:tcPr>
          <w:p>
            <w:pPr>
              <w:pStyle w:val="16"/>
            </w:pPr>
            <w:r>
              <w:t>服务基层的示范效应</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增强服务保障能力。</w:t>
            </w:r>
          </w:p>
        </w:tc>
        <w:tc>
          <w:tcPr>
            <w:tcW w:w="2835" w:type="dxa"/>
            <w:vAlign w:val="center"/>
          </w:tcPr>
          <w:p>
            <w:pPr>
              <w:pStyle w:val="16"/>
            </w:pPr>
            <w:r>
              <w:t>增强服务保障能力。</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4、泉坊镇2022年农村离任两委干部补贴绩效目标表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1.确保资金及时拨付</w:t>
            </w:r>
          </w:p>
          <w:p>
            <w:pPr>
              <w:pStyle w:val="16"/>
            </w:pPr>
            <w:r>
              <w:t>2.确保资金按时发放</w:t>
            </w:r>
          </w:p>
          <w:p>
            <w:pPr>
              <w:pStyle w:val="16"/>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覆盖率</w:t>
            </w:r>
          </w:p>
        </w:tc>
        <w:tc>
          <w:tcPr>
            <w:tcW w:w="2835" w:type="dxa"/>
            <w:vAlign w:val="center"/>
          </w:tcPr>
          <w:p>
            <w:pPr>
              <w:pStyle w:val="16"/>
            </w:pPr>
            <w:r>
              <w:t>已补助人数占应补助人群的比率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补助资金发放完成率（%）</w:t>
            </w:r>
          </w:p>
        </w:tc>
        <w:tc>
          <w:tcPr>
            <w:tcW w:w="2835" w:type="dxa"/>
            <w:vAlign w:val="center"/>
          </w:tcPr>
          <w:p>
            <w:pPr>
              <w:pStyle w:val="16"/>
            </w:pPr>
            <w:r>
              <w:t>补助资金发放完成率（%）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w:t>
            </w:r>
          </w:p>
        </w:tc>
        <w:tc>
          <w:tcPr>
            <w:tcW w:w="2835" w:type="dxa"/>
            <w:vAlign w:val="center"/>
          </w:tcPr>
          <w:p>
            <w:pPr>
              <w:pStyle w:val="16"/>
            </w:pPr>
            <w:r>
              <w:t>补助发放及时性</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补贴发放标准</w:t>
            </w:r>
          </w:p>
        </w:tc>
        <w:tc>
          <w:tcPr>
            <w:tcW w:w="2835" w:type="dxa"/>
            <w:vAlign w:val="center"/>
          </w:tcPr>
          <w:p>
            <w:pPr>
              <w:pStyle w:val="16"/>
            </w:pPr>
            <w:r>
              <w:t>补贴发放标准</w:t>
            </w:r>
          </w:p>
        </w:tc>
        <w:tc>
          <w:tcPr>
            <w:tcW w:w="2551" w:type="dxa"/>
            <w:vAlign w:val="center"/>
          </w:tcPr>
          <w:p>
            <w:pPr>
              <w:pStyle w:val="16"/>
            </w:pPr>
            <w:r>
              <w:t>&gt;20元</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5、泉坊镇2022年农村现任两委干部养老保险绩效目标表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1.确保资金及时到位</w:t>
            </w:r>
          </w:p>
          <w:p>
            <w:pPr>
              <w:pStyle w:val="16"/>
            </w:pPr>
            <w:r>
              <w:t>2.按时缴纳养老保险</w:t>
            </w:r>
          </w:p>
          <w:p>
            <w:pPr>
              <w:pStyle w:val="16"/>
            </w:pPr>
            <w:r>
              <w:t>3.保证日常工作顺利进行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覆盖率</w:t>
            </w:r>
          </w:p>
        </w:tc>
        <w:tc>
          <w:tcPr>
            <w:tcW w:w="2835" w:type="dxa"/>
            <w:vAlign w:val="center"/>
          </w:tcPr>
          <w:p>
            <w:pPr>
              <w:pStyle w:val="16"/>
            </w:pPr>
            <w:r>
              <w:t>已补助人数占应补助人群的比率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按规定时间缴纳保险</w:t>
            </w:r>
          </w:p>
        </w:tc>
        <w:tc>
          <w:tcPr>
            <w:tcW w:w="2835" w:type="dxa"/>
            <w:vAlign w:val="center"/>
          </w:tcPr>
          <w:p>
            <w:pPr>
              <w:pStyle w:val="16"/>
            </w:pPr>
            <w:r>
              <w:t>按规定时间缴纳保险</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6、泉坊镇]农村环境治理费绩效目标表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1.进一步推进农村环境综合整治工作</w:t>
            </w:r>
          </w:p>
          <w:p>
            <w:pPr>
              <w:pStyle w:val="16"/>
            </w:pPr>
            <w:r>
              <w:t>2.营造良好的农村人居环境和发展环境</w:t>
            </w:r>
          </w:p>
          <w:p>
            <w:pPr>
              <w:pStyle w:val="16"/>
            </w:pPr>
            <w:r>
              <w:t>3.以建设美丽乡村为目标，统筹规划，综合治理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日常巡查次数</w:t>
            </w:r>
          </w:p>
        </w:tc>
        <w:tc>
          <w:tcPr>
            <w:tcW w:w="2835" w:type="dxa"/>
            <w:vAlign w:val="center"/>
          </w:tcPr>
          <w:p>
            <w:pPr>
              <w:pStyle w:val="16"/>
            </w:pPr>
            <w:r>
              <w:t>日常巡查次数</w:t>
            </w:r>
          </w:p>
        </w:tc>
        <w:tc>
          <w:tcPr>
            <w:tcW w:w="2551" w:type="dxa"/>
            <w:vAlign w:val="center"/>
          </w:tcPr>
          <w:p>
            <w:pPr>
              <w:pStyle w:val="16"/>
            </w:pPr>
            <w:r>
              <w:t>≥6次</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环境卫生清理率（%）</w:t>
            </w:r>
          </w:p>
        </w:tc>
        <w:tc>
          <w:tcPr>
            <w:tcW w:w="2835" w:type="dxa"/>
            <w:vAlign w:val="center"/>
          </w:tcPr>
          <w:p>
            <w:pPr>
              <w:pStyle w:val="16"/>
            </w:pPr>
            <w:r>
              <w:t>垃圾清理占垃圾覆盖面积的比率</w:t>
            </w:r>
          </w:p>
        </w:tc>
        <w:tc>
          <w:tcPr>
            <w:tcW w:w="2551" w:type="dxa"/>
            <w:vAlign w:val="center"/>
          </w:tcPr>
          <w:p>
            <w:pPr>
              <w:pStyle w:val="16"/>
            </w:pPr>
            <w:r>
              <w:t>≥95%</w:t>
            </w:r>
          </w:p>
        </w:tc>
        <w:tc>
          <w:tcPr>
            <w:tcW w:w="2268" w:type="dxa"/>
            <w:vAlign w:val="center"/>
          </w:tcPr>
          <w:p>
            <w:pPr>
              <w:pStyle w:val="16"/>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既定工作目标任务完成及时率</w:t>
            </w:r>
          </w:p>
        </w:tc>
        <w:tc>
          <w:tcPr>
            <w:tcW w:w="2551" w:type="dxa"/>
            <w:vAlign w:val="center"/>
          </w:tcPr>
          <w:p>
            <w:pPr>
              <w:pStyle w:val="16"/>
            </w:pPr>
            <w:r>
              <w:t>≥95%</w:t>
            </w:r>
          </w:p>
        </w:tc>
        <w:tc>
          <w:tcPr>
            <w:tcW w:w="2268" w:type="dxa"/>
            <w:vAlign w:val="center"/>
          </w:tcPr>
          <w:p>
            <w:pPr>
              <w:pStyle w:val="16"/>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预算资金控制数</w:t>
            </w:r>
          </w:p>
        </w:tc>
        <w:tc>
          <w:tcPr>
            <w:tcW w:w="2835" w:type="dxa"/>
            <w:vAlign w:val="center"/>
          </w:tcPr>
          <w:p>
            <w:pPr>
              <w:pStyle w:val="16"/>
            </w:pPr>
            <w:r>
              <w:t>预算资金控制数</w:t>
            </w:r>
          </w:p>
        </w:tc>
        <w:tc>
          <w:tcPr>
            <w:tcW w:w="2551" w:type="dxa"/>
            <w:vAlign w:val="center"/>
          </w:tcPr>
          <w:p>
            <w:pPr>
              <w:pStyle w:val="16"/>
            </w:pPr>
            <w:r>
              <w:t>≥95%</w:t>
            </w:r>
          </w:p>
        </w:tc>
        <w:tc>
          <w:tcPr>
            <w:tcW w:w="2268" w:type="dxa"/>
            <w:vAlign w:val="center"/>
          </w:tcPr>
          <w:p>
            <w:pPr>
              <w:pStyle w:val="16"/>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环境改善情况</w:t>
            </w:r>
          </w:p>
        </w:tc>
        <w:tc>
          <w:tcPr>
            <w:tcW w:w="2551" w:type="dxa"/>
            <w:vAlign w:val="center"/>
          </w:tcPr>
          <w:p>
            <w:pPr>
              <w:pStyle w:val="16"/>
            </w:pPr>
            <w:r>
              <w:t>≥95%</w:t>
            </w:r>
          </w:p>
        </w:tc>
        <w:tc>
          <w:tcPr>
            <w:tcW w:w="2268" w:type="dxa"/>
            <w:vAlign w:val="center"/>
          </w:tcPr>
          <w:p>
            <w:pPr>
              <w:pStyle w:val="16"/>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出行环境舒适度</w:t>
            </w:r>
          </w:p>
        </w:tc>
        <w:tc>
          <w:tcPr>
            <w:tcW w:w="2835" w:type="dxa"/>
            <w:vAlign w:val="center"/>
          </w:tcPr>
          <w:p>
            <w:pPr>
              <w:pStyle w:val="16"/>
            </w:pPr>
            <w:r>
              <w:t>出行环境舒适度</w:t>
            </w:r>
          </w:p>
        </w:tc>
        <w:tc>
          <w:tcPr>
            <w:tcW w:w="2551" w:type="dxa"/>
            <w:vAlign w:val="center"/>
          </w:tcPr>
          <w:p>
            <w:pPr>
              <w:pStyle w:val="16"/>
            </w:pPr>
            <w:r>
              <w:t>≥95%</w:t>
            </w:r>
          </w:p>
        </w:tc>
        <w:tc>
          <w:tcPr>
            <w:tcW w:w="2268" w:type="dxa"/>
            <w:vAlign w:val="center"/>
          </w:tcPr>
          <w:p>
            <w:pPr>
              <w:pStyle w:val="16"/>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≥95%</w:t>
            </w:r>
          </w:p>
        </w:tc>
        <w:tc>
          <w:tcPr>
            <w:tcW w:w="2268" w:type="dxa"/>
            <w:vAlign w:val="center"/>
          </w:tcPr>
          <w:p>
            <w:pPr>
              <w:pStyle w:val="16"/>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基本公共卫生服务水平</w:t>
            </w:r>
          </w:p>
        </w:tc>
        <w:tc>
          <w:tcPr>
            <w:tcW w:w="2835" w:type="dxa"/>
            <w:vAlign w:val="center"/>
          </w:tcPr>
          <w:p>
            <w:pPr>
              <w:pStyle w:val="16"/>
            </w:pPr>
            <w:r>
              <w:t>基本公共卫生服务水平</w:t>
            </w:r>
          </w:p>
        </w:tc>
        <w:tc>
          <w:tcPr>
            <w:tcW w:w="2551" w:type="dxa"/>
            <w:vAlign w:val="center"/>
          </w:tcPr>
          <w:p>
            <w:pPr>
              <w:pStyle w:val="16"/>
            </w:pPr>
            <w:r>
              <w:t>≥95%</w:t>
            </w:r>
          </w:p>
        </w:tc>
        <w:tc>
          <w:tcPr>
            <w:tcW w:w="2268" w:type="dxa"/>
            <w:vAlign w:val="center"/>
          </w:tcPr>
          <w:p>
            <w:pPr>
              <w:pStyle w:val="16"/>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根据相关工作方案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7、泉坊镇]卫生补助专项经费绩效目标表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1.加强基层医疗卫生队伍实施建设</w:t>
            </w:r>
          </w:p>
          <w:p>
            <w:pPr>
              <w:pStyle w:val="16"/>
            </w:pPr>
            <w:r>
              <w:t>2.提高农村卫生人员能力和服务水平</w:t>
            </w:r>
          </w:p>
          <w:p>
            <w:pPr>
              <w:pStyle w:val="16"/>
            </w:pPr>
            <w:r>
              <w:t>3.做好辖区专业公共卫生服务的指导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全面建立城乡居民健康档案</w:t>
            </w:r>
          </w:p>
        </w:tc>
        <w:tc>
          <w:tcPr>
            <w:tcW w:w="2835" w:type="dxa"/>
            <w:vAlign w:val="center"/>
          </w:tcPr>
          <w:p>
            <w:pPr>
              <w:pStyle w:val="16"/>
            </w:pPr>
            <w:r>
              <w:t>建立健康档案人数占全镇常住人口的百分比</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提高办事效率（%）</w:t>
            </w:r>
          </w:p>
        </w:tc>
        <w:tc>
          <w:tcPr>
            <w:tcW w:w="2835" w:type="dxa"/>
            <w:vAlign w:val="center"/>
          </w:tcPr>
          <w:p>
            <w:pPr>
              <w:pStyle w:val="16"/>
            </w:pPr>
            <w:r>
              <w:t>办事完成情况占群众事件的总数的比率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8、泉坊镇防火专项经费绩效目标表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1.增强群众防火意识</w:t>
            </w:r>
          </w:p>
          <w:p>
            <w:pPr>
              <w:pStyle w:val="16"/>
            </w:pPr>
            <w:r>
              <w:t>2.自觉遵守防火规定</w:t>
            </w:r>
          </w:p>
          <w:p>
            <w:pPr>
              <w:pStyle w:val="16"/>
            </w:pPr>
            <w:r>
              <w:t>3.保证人民生命财产安全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日常巡查次数（次）</w:t>
            </w:r>
          </w:p>
        </w:tc>
        <w:tc>
          <w:tcPr>
            <w:tcW w:w="2835" w:type="dxa"/>
            <w:vAlign w:val="center"/>
          </w:tcPr>
          <w:p>
            <w:pPr>
              <w:pStyle w:val="16"/>
            </w:pPr>
            <w:r>
              <w:t>当年实际日常巡查次数</w:t>
            </w:r>
          </w:p>
        </w:tc>
        <w:tc>
          <w:tcPr>
            <w:tcW w:w="2551" w:type="dxa"/>
            <w:vAlign w:val="center"/>
          </w:tcPr>
          <w:p>
            <w:pPr>
              <w:pStyle w:val="16"/>
            </w:pPr>
            <w:r>
              <w:t>≥10次</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火情及时发现</w:t>
            </w:r>
          </w:p>
        </w:tc>
        <w:tc>
          <w:tcPr>
            <w:tcW w:w="2835" w:type="dxa"/>
            <w:vAlign w:val="center"/>
          </w:tcPr>
          <w:p>
            <w:pPr>
              <w:pStyle w:val="16"/>
            </w:pPr>
            <w:r>
              <w:t>火情及时发现</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火灾扑火的复燃率（%）</w:t>
            </w:r>
          </w:p>
        </w:tc>
        <w:tc>
          <w:tcPr>
            <w:tcW w:w="2835" w:type="dxa"/>
            <w:vAlign w:val="center"/>
          </w:tcPr>
          <w:p>
            <w:pPr>
              <w:pStyle w:val="16"/>
            </w:pPr>
            <w:r>
              <w:t>火灾扑灭后复燃率占火灾次数的比率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经济损失挽回率</w:t>
            </w:r>
          </w:p>
        </w:tc>
        <w:tc>
          <w:tcPr>
            <w:tcW w:w="2835" w:type="dxa"/>
            <w:vAlign w:val="center"/>
          </w:tcPr>
          <w:p>
            <w:pPr>
              <w:pStyle w:val="16"/>
            </w:pPr>
            <w:r>
              <w:t>经济损失挽回率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9、泉坊镇防贫检测员2021年10月至2022年12月劳务报酬绩效目标表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1.及时拨付信息员工资</w:t>
            </w:r>
          </w:p>
          <w:p>
            <w:pPr>
              <w:pStyle w:val="16"/>
            </w:pPr>
            <w:r>
              <w:t>2.确保资金按时发放</w:t>
            </w:r>
          </w:p>
          <w:p>
            <w:pPr>
              <w:pStyle w:val="16"/>
            </w:pPr>
            <w:r>
              <w:t>3.保障日常工作顺利进行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补助资金支付率</w:t>
            </w:r>
          </w:p>
        </w:tc>
        <w:tc>
          <w:tcPr>
            <w:tcW w:w="2835" w:type="dxa"/>
            <w:vAlign w:val="center"/>
          </w:tcPr>
          <w:p>
            <w:pPr>
              <w:pStyle w:val="16"/>
            </w:pPr>
            <w:r>
              <w:t>补助资金到位后，及时支付给相关人员</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请示件批办单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10、泉坊镇防汛专项经费绩效目标表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1.保障抗旱工作顺利进行</w:t>
            </w:r>
          </w:p>
          <w:p>
            <w:pPr>
              <w:pStyle w:val="16"/>
            </w:pPr>
            <w:r>
              <w:t>2.保证人民生命财产安全</w:t>
            </w:r>
          </w:p>
          <w:p>
            <w:pPr>
              <w:pStyle w:val="16"/>
            </w:pPr>
            <w:r>
              <w:t>3.做好辖区去的防汛工作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防汛天数</w:t>
            </w:r>
          </w:p>
        </w:tc>
        <w:tc>
          <w:tcPr>
            <w:tcW w:w="2835" w:type="dxa"/>
            <w:vAlign w:val="center"/>
          </w:tcPr>
          <w:p>
            <w:pPr>
              <w:pStyle w:val="16"/>
            </w:pPr>
            <w:r>
              <w:t>实际每月防汛天数</w:t>
            </w:r>
          </w:p>
        </w:tc>
        <w:tc>
          <w:tcPr>
            <w:tcW w:w="2551" w:type="dxa"/>
            <w:vAlign w:val="center"/>
          </w:tcPr>
          <w:p>
            <w:pPr>
              <w:pStyle w:val="16"/>
            </w:pPr>
            <w:r>
              <w:t>≥10天</w:t>
            </w:r>
          </w:p>
        </w:tc>
        <w:tc>
          <w:tcPr>
            <w:tcW w:w="2268" w:type="dxa"/>
            <w:vAlign w:val="center"/>
          </w:tcPr>
          <w:p>
            <w:pPr>
              <w:pStyle w:val="16"/>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防汛预案规范实现率</w:t>
            </w:r>
          </w:p>
        </w:tc>
        <w:tc>
          <w:tcPr>
            <w:tcW w:w="2835" w:type="dxa"/>
            <w:vAlign w:val="center"/>
          </w:tcPr>
          <w:p>
            <w:pPr>
              <w:pStyle w:val="16"/>
            </w:pPr>
            <w:r>
              <w:t>防汛预案规范实现率</w:t>
            </w:r>
          </w:p>
        </w:tc>
        <w:tc>
          <w:tcPr>
            <w:tcW w:w="2551" w:type="dxa"/>
            <w:vAlign w:val="center"/>
          </w:tcPr>
          <w:p>
            <w:pPr>
              <w:pStyle w:val="16"/>
            </w:pPr>
            <w:r>
              <w:t>≥95%</w:t>
            </w:r>
          </w:p>
        </w:tc>
        <w:tc>
          <w:tcPr>
            <w:tcW w:w="2268" w:type="dxa"/>
            <w:vAlign w:val="center"/>
          </w:tcPr>
          <w:p>
            <w:pPr>
              <w:pStyle w:val="16"/>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汛情旱情分析材料数量(份)</w:t>
            </w:r>
          </w:p>
        </w:tc>
        <w:tc>
          <w:tcPr>
            <w:tcW w:w="2835" w:type="dxa"/>
            <w:vAlign w:val="center"/>
          </w:tcPr>
          <w:p>
            <w:pPr>
              <w:pStyle w:val="16"/>
            </w:pPr>
            <w:r>
              <w:t>形成的汛期分析材料数量</w:t>
            </w:r>
          </w:p>
        </w:tc>
        <w:tc>
          <w:tcPr>
            <w:tcW w:w="2551" w:type="dxa"/>
            <w:vAlign w:val="center"/>
          </w:tcPr>
          <w:p>
            <w:pPr>
              <w:pStyle w:val="16"/>
            </w:pPr>
            <w:r>
              <w:t>≥20份</w:t>
            </w:r>
          </w:p>
        </w:tc>
        <w:tc>
          <w:tcPr>
            <w:tcW w:w="2268" w:type="dxa"/>
            <w:vAlign w:val="center"/>
          </w:tcPr>
          <w:p>
            <w:pPr>
              <w:pStyle w:val="16"/>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消除隐患，保证安全度汛，减少人</w:t>
            </w:r>
          </w:p>
        </w:tc>
        <w:tc>
          <w:tcPr>
            <w:tcW w:w="2835" w:type="dxa"/>
            <w:vAlign w:val="center"/>
          </w:tcPr>
          <w:p>
            <w:pPr>
              <w:pStyle w:val="16"/>
            </w:pPr>
            <w:r>
              <w:t>消除隐患，保证安全度汛，减少人民生命和财产损失情况</w:t>
            </w:r>
          </w:p>
        </w:tc>
        <w:tc>
          <w:tcPr>
            <w:tcW w:w="2551" w:type="dxa"/>
            <w:vAlign w:val="center"/>
          </w:tcPr>
          <w:p>
            <w:pPr>
              <w:pStyle w:val="16"/>
            </w:pPr>
            <w:r>
              <w:t>≥95%</w:t>
            </w:r>
          </w:p>
        </w:tc>
        <w:tc>
          <w:tcPr>
            <w:tcW w:w="2268" w:type="dxa"/>
            <w:vAlign w:val="center"/>
          </w:tcPr>
          <w:p>
            <w:pPr>
              <w:pStyle w:val="16"/>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促进防汛工作顺利进行</w:t>
            </w:r>
          </w:p>
        </w:tc>
        <w:tc>
          <w:tcPr>
            <w:tcW w:w="2835" w:type="dxa"/>
            <w:vAlign w:val="center"/>
          </w:tcPr>
          <w:p>
            <w:pPr>
              <w:pStyle w:val="16"/>
            </w:pPr>
            <w:r>
              <w:t>促进防汛工作顺利进行</w:t>
            </w:r>
          </w:p>
        </w:tc>
        <w:tc>
          <w:tcPr>
            <w:tcW w:w="2551" w:type="dxa"/>
            <w:vAlign w:val="center"/>
          </w:tcPr>
          <w:p>
            <w:pPr>
              <w:pStyle w:val="16"/>
            </w:pPr>
            <w:r>
              <w:t>≥95%</w:t>
            </w:r>
          </w:p>
        </w:tc>
        <w:tc>
          <w:tcPr>
            <w:tcW w:w="2268" w:type="dxa"/>
            <w:vAlign w:val="center"/>
          </w:tcPr>
          <w:p>
            <w:pPr>
              <w:pStyle w:val="16"/>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≥95%</w:t>
            </w:r>
          </w:p>
        </w:tc>
        <w:tc>
          <w:tcPr>
            <w:tcW w:w="2268" w:type="dxa"/>
            <w:vAlign w:val="center"/>
          </w:tcPr>
          <w:p>
            <w:pPr>
              <w:pStyle w:val="16"/>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 xml:space="preserve">依据预算安排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11、泉坊镇计划生育专项经费绩效目标表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1.切实为计划生育家庭办实事</w:t>
            </w:r>
          </w:p>
          <w:p>
            <w:pPr>
              <w:pStyle w:val="16"/>
            </w:pPr>
            <w:r>
              <w:t>2.增强人民群众福祉</w:t>
            </w:r>
          </w:p>
          <w:p>
            <w:pPr>
              <w:pStyle w:val="16"/>
            </w:pPr>
            <w:r>
              <w:t>3.不断开创人口卫生计生工作的新局面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计划生育家庭特别扶助户数</w:t>
            </w:r>
          </w:p>
        </w:tc>
        <w:tc>
          <w:tcPr>
            <w:tcW w:w="2835" w:type="dxa"/>
            <w:vAlign w:val="center"/>
          </w:tcPr>
          <w:p>
            <w:pPr>
              <w:pStyle w:val="16"/>
            </w:pPr>
            <w:r>
              <w:t>计划生育家庭特别扶助户数</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农村部分计划生育家庭奖励扶助政</w:t>
            </w:r>
          </w:p>
        </w:tc>
        <w:tc>
          <w:tcPr>
            <w:tcW w:w="2835" w:type="dxa"/>
            <w:vAlign w:val="center"/>
          </w:tcPr>
          <w:p>
            <w:pPr>
              <w:pStyle w:val="16"/>
            </w:pPr>
            <w:r>
              <w:t>农村部分计划生育家庭奖励扶助政策落实率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计划生育基层群众村(居)覆盖率</w:t>
            </w:r>
          </w:p>
        </w:tc>
        <w:tc>
          <w:tcPr>
            <w:tcW w:w="2835" w:type="dxa"/>
            <w:vAlign w:val="center"/>
          </w:tcPr>
          <w:p>
            <w:pPr>
              <w:pStyle w:val="16"/>
            </w:pPr>
            <w:r>
              <w:t>实行计划生育的村(居)占全省实行计划生育村(居)的比率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流动人口计划生育服务率</w:t>
            </w:r>
          </w:p>
        </w:tc>
        <w:tc>
          <w:tcPr>
            <w:tcW w:w="2835" w:type="dxa"/>
            <w:vAlign w:val="center"/>
          </w:tcPr>
          <w:p>
            <w:pPr>
              <w:pStyle w:val="16"/>
            </w:pPr>
            <w:r>
              <w:t>对流动人口计划生育工作服务调查满意率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12、泉坊镇民政统筹专项经费绩效目标表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1.确保民政事业的顺利进行</w:t>
            </w:r>
          </w:p>
          <w:p>
            <w:pPr>
              <w:pStyle w:val="16"/>
            </w:pPr>
            <w:r>
              <w:t>2.加强乡镇民镇事业的发展</w:t>
            </w:r>
          </w:p>
          <w:p>
            <w:pPr>
              <w:pStyle w:val="16"/>
            </w:pPr>
            <w:r>
              <w:t>3.加强乡镇民镇建设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综合业务管理完成率(%)</w:t>
            </w:r>
          </w:p>
        </w:tc>
        <w:tc>
          <w:tcPr>
            <w:tcW w:w="2835" w:type="dxa"/>
            <w:vAlign w:val="center"/>
          </w:tcPr>
          <w:p>
            <w:pPr>
              <w:pStyle w:val="16"/>
            </w:pPr>
            <w:r>
              <w:t>综合业务管理完成情况的比率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农村社区建设试点单位试点工作完成率(%)</w:t>
            </w:r>
          </w:p>
        </w:tc>
        <w:tc>
          <w:tcPr>
            <w:tcW w:w="2835" w:type="dxa"/>
            <w:vAlign w:val="center"/>
          </w:tcPr>
          <w:p>
            <w:pPr>
              <w:pStyle w:val="16"/>
            </w:pPr>
            <w:r>
              <w:t>农村社区建设试点单位试点工作完成的比率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社会组织等级合法率(%)</w:t>
            </w:r>
          </w:p>
        </w:tc>
        <w:tc>
          <w:tcPr>
            <w:tcW w:w="2835" w:type="dxa"/>
            <w:vAlign w:val="center"/>
          </w:tcPr>
          <w:p>
            <w:pPr>
              <w:pStyle w:val="16"/>
            </w:pPr>
            <w:r>
              <w:t>所有区得法人资格证登记证书占全部社会组织的比率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13、泉坊镇人大主席团工作经费绩效目标表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1.确保人大主席团工作顺利开展</w:t>
            </w:r>
          </w:p>
          <w:p>
            <w:pPr>
              <w:pStyle w:val="16"/>
            </w:pPr>
            <w:r>
              <w:t>2.促进代表权利的实施</w:t>
            </w:r>
          </w:p>
          <w:p>
            <w:pPr>
              <w:pStyle w:val="16"/>
            </w:pPr>
            <w:r>
              <w:t>3.保障自身的建设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组织宣传活动次数（次）</w:t>
            </w:r>
          </w:p>
        </w:tc>
        <w:tc>
          <w:tcPr>
            <w:tcW w:w="2835" w:type="dxa"/>
            <w:vAlign w:val="center"/>
          </w:tcPr>
          <w:p>
            <w:pPr>
              <w:pStyle w:val="16"/>
            </w:pPr>
            <w:r>
              <w:t>组织宣传活动次数</w:t>
            </w:r>
          </w:p>
        </w:tc>
        <w:tc>
          <w:tcPr>
            <w:tcW w:w="2551" w:type="dxa"/>
            <w:vAlign w:val="center"/>
          </w:tcPr>
          <w:p>
            <w:pPr>
              <w:pStyle w:val="16"/>
            </w:pPr>
            <w:r>
              <w:t>≥24次</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政策制定工作完成率</w:t>
            </w:r>
          </w:p>
        </w:tc>
        <w:tc>
          <w:tcPr>
            <w:tcW w:w="2835" w:type="dxa"/>
            <w:vAlign w:val="center"/>
          </w:tcPr>
          <w:p>
            <w:pPr>
              <w:pStyle w:val="16"/>
            </w:pPr>
            <w:r>
              <w:t>年度实际完成的城乡统筹城乡的就业规划和年度计划的拟定，促进就业、鼓励创业、劳动者平等就业、农村劳动力转移就业计划、规划及政策制定数量占计划完成数量的比例</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14、泉坊镇涉军人员工资及保险绩效目标表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1.确保工资按时发放</w:t>
            </w:r>
          </w:p>
          <w:p>
            <w:pPr>
              <w:pStyle w:val="16"/>
            </w:pPr>
            <w:r>
              <w:t>2.及时拨付各项保险</w:t>
            </w:r>
          </w:p>
          <w:p>
            <w:pPr>
              <w:pStyle w:val="16"/>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已补助人数占应补助人群的比率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促进社会和谐稳定</w:t>
            </w:r>
          </w:p>
        </w:tc>
        <w:tc>
          <w:tcPr>
            <w:tcW w:w="2835" w:type="dxa"/>
            <w:vAlign w:val="center"/>
          </w:tcPr>
          <w:p>
            <w:pPr>
              <w:pStyle w:val="16"/>
            </w:pPr>
            <w:r>
              <w:t>促进社会和谐稳定</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≥95%</w:t>
            </w:r>
          </w:p>
        </w:tc>
        <w:tc>
          <w:tcPr>
            <w:tcW w:w="2268" w:type="dxa"/>
            <w:vAlign w:val="center"/>
          </w:tcPr>
          <w:p>
            <w:pPr>
              <w:pStyle w:val="16"/>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请示件批办单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15、泉坊镇信访稳定经费绩效目标表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1.确保辖区内信访稳定，及时有效处理群众来访</w:t>
            </w:r>
          </w:p>
          <w:p>
            <w:pPr>
              <w:pStyle w:val="16"/>
            </w:pPr>
            <w:r>
              <w:t>2.创新机制，消除隐患，科学研判</w:t>
            </w:r>
          </w:p>
          <w:p>
            <w:pPr>
              <w:pStyle w:val="16"/>
            </w:pPr>
            <w:r>
              <w:t>3.努力推动信访工作实现新跨越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补助资金支付率</w:t>
            </w:r>
          </w:p>
        </w:tc>
        <w:tc>
          <w:tcPr>
            <w:tcW w:w="2835" w:type="dxa"/>
            <w:vAlign w:val="center"/>
          </w:tcPr>
          <w:p>
            <w:pPr>
              <w:pStyle w:val="16"/>
            </w:pPr>
            <w:r>
              <w:t>资金到位后，及时支付给相关人员</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补助资金发放完成率（%）</w:t>
            </w:r>
          </w:p>
        </w:tc>
        <w:tc>
          <w:tcPr>
            <w:tcW w:w="2835" w:type="dxa"/>
            <w:vAlign w:val="center"/>
          </w:tcPr>
          <w:p>
            <w:pPr>
              <w:pStyle w:val="16"/>
            </w:pPr>
            <w:r>
              <w:t>资金发放完成率（%）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资金支付及时性</w:t>
            </w:r>
          </w:p>
        </w:tc>
        <w:tc>
          <w:tcPr>
            <w:tcW w:w="2835" w:type="dxa"/>
            <w:vAlign w:val="center"/>
          </w:tcPr>
          <w:p>
            <w:pPr>
              <w:pStyle w:val="16"/>
            </w:pPr>
            <w:r>
              <w:t>资金支付的及时程度</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16、泉坊镇2022年党建工作经费绩效目标表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1.确保资金及时拨付</w:t>
            </w:r>
          </w:p>
          <w:p>
            <w:pPr>
              <w:pStyle w:val="16"/>
            </w:pPr>
            <w:r>
              <w:t>2.确保资金按时发放</w:t>
            </w:r>
          </w:p>
          <w:p>
            <w:pPr>
              <w:pStyle w:val="16"/>
            </w:pPr>
            <w:r>
              <w:t>3.保证日常工作正常开展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服务基层的示范效应</w:t>
            </w:r>
          </w:p>
        </w:tc>
        <w:tc>
          <w:tcPr>
            <w:tcW w:w="2835" w:type="dxa"/>
            <w:vAlign w:val="center"/>
          </w:tcPr>
          <w:p>
            <w:pPr>
              <w:pStyle w:val="16"/>
            </w:pPr>
            <w:r>
              <w:t>服务基层的示范效应</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17、泉坊镇及信访群众工作站2022年房租绩效目标表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1.确保资金及时拨付</w:t>
            </w:r>
          </w:p>
          <w:p>
            <w:pPr>
              <w:pStyle w:val="16"/>
            </w:pPr>
            <w:r>
              <w:t>2.确保资金按时发放</w:t>
            </w:r>
          </w:p>
          <w:p>
            <w:pPr>
              <w:pStyle w:val="16"/>
            </w:pPr>
            <w:r>
              <w:t>3.保障日常工作正常开展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≥95%</w:t>
            </w:r>
          </w:p>
        </w:tc>
        <w:tc>
          <w:tcPr>
            <w:tcW w:w="2268" w:type="dxa"/>
            <w:vAlign w:val="center"/>
          </w:tcPr>
          <w:p>
            <w:pPr>
              <w:pStyle w:val="16"/>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≥95%</w:t>
            </w:r>
          </w:p>
        </w:tc>
        <w:tc>
          <w:tcPr>
            <w:tcW w:w="2268" w:type="dxa"/>
            <w:vAlign w:val="center"/>
          </w:tcPr>
          <w:p>
            <w:pPr>
              <w:pStyle w:val="16"/>
            </w:pPr>
            <w:r>
              <w:t>依据预算安排</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5" w:name="_Toc_3_3_0000000015"/>
      <w:r>
        <w:rPr>
          <w:rFonts w:ascii="黑体" w:hAnsi="黑体" w:eastAsia="黑体" w:cs="黑体"/>
          <w:color w:val="000000"/>
          <w:sz w:val="32"/>
        </w:rPr>
        <w:t>六、政府采购预算情况</w:t>
      </w:r>
      <w:bookmarkEnd w:id="5"/>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2022年，涞源县泉坊镇人民政府安排政府采购预算0.00万元。具体内容见下表。</w:t>
      </w:r>
    </w:p>
    <w:p>
      <w:pPr>
        <w:spacing w:before="0" w:after="0"/>
        <w:ind w:firstLine="640"/>
        <w:jc w:val="left"/>
        <w:outlineLvl w:val="9"/>
        <w:rPr>
          <w:rFonts w:ascii="Times New Roman" w:hAnsi="Times New Roman" w:eastAsia="方正仿宋_GBK" w:cs="Times New Roman"/>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rPr>
                <w:rFonts w:hint="eastAsia"/>
                <w:lang w:val="en-US" w:eastAsia="zh-CN"/>
              </w:rPr>
              <w:t>997</w:t>
            </w:r>
            <w:r>
              <w:t>涞源县</w:t>
            </w:r>
            <w:r>
              <w:rPr>
                <w:rFonts w:hint="eastAsia"/>
                <w:lang w:val="en-US" w:eastAsia="zh-CN"/>
              </w:rPr>
              <w:t>泉坊</w:t>
            </w:r>
            <w:r>
              <w:t>镇人民政府</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hint="default" w:eastAsia="宋体"/>
          <w:lang w:val="en-US" w:eastAsia="zh-CN"/>
        </w:rPr>
      </w:pPr>
    </w:p>
    <w:p>
      <w:pPr>
        <w:spacing w:before="10" w:after="10" w:line="240" w:lineRule="auto"/>
        <w:ind w:firstLine="640"/>
        <w:jc w:val="left"/>
        <w:outlineLvl w:val="2"/>
      </w:pPr>
      <w:bookmarkStart w:id="6" w:name="_Toc_3_3_0000000016"/>
      <w:r>
        <w:rPr>
          <w:rFonts w:ascii="黑体" w:hAnsi="黑体" w:eastAsia="黑体" w:cs="黑体"/>
          <w:color w:val="000000"/>
          <w:sz w:val="32"/>
        </w:rPr>
        <w:t>七、国有资产信息</w:t>
      </w:r>
      <w:bookmarkEnd w:id="6"/>
    </w:p>
    <w:p>
      <w:pPr>
        <w:spacing w:before="0" w:after="0" w:line="500" w:lineRule="exact"/>
        <w:ind w:firstLine="560"/>
        <w:jc w:val="left"/>
        <w:outlineLvl w:val="9"/>
      </w:pPr>
      <w:r>
        <w:rPr>
          <w:rFonts w:ascii="Times New Roman" w:hAnsi="Times New Roman" w:eastAsia="方正仿宋_GBK" w:cs="Times New Roman"/>
          <w:b w:val="0"/>
          <w:color w:val="000000"/>
          <w:sz w:val="28"/>
        </w:rPr>
        <w:t>涞源县泉坊镇人民政府（含所属单位）上年末固定资产金额为71.05万元（详见下表）。本年度拟购置固定资产总额为0.00万元，已按要求列入政府采购预算，详见政府采购预算表。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997涞源县泉坊镇人民政府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337</w:t>
            </w:r>
          </w:p>
        </w:tc>
        <w:tc>
          <w:tcPr>
            <w:tcW w:w="2835" w:type="dxa"/>
            <w:vAlign w:val="center"/>
          </w:tcPr>
          <w:p>
            <w:pPr>
              <w:pStyle w:val="15"/>
            </w:pPr>
            <w:r>
              <w:t>71.05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7" w:name="_Toc_3_3_0000000017"/>
      <w:r>
        <w:rPr>
          <w:rFonts w:ascii="黑体" w:hAnsi="黑体" w:eastAsia="黑体" w:cs="黑体"/>
          <w:color w:val="000000"/>
          <w:sz w:val="32"/>
        </w:rPr>
        <w:t>八、名词解释</w:t>
      </w:r>
      <w:bookmarkEnd w:id="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8" w:name="_Toc_3_3_0000000018"/>
      <w:r>
        <w:rPr>
          <w:rFonts w:ascii="黑体" w:hAnsi="黑体" w:eastAsia="黑体" w:cs="黑体"/>
          <w:color w:val="000000"/>
          <w:sz w:val="32"/>
        </w:rPr>
        <w:t>九、其他需要说明的事项</w:t>
      </w:r>
      <w:bookmarkEnd w:id="8"/>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w:t>
      </w:r>
      <w:r>
        <w:rPr>
          <w:rFonts w:hint="eastAsia" w:eastAsia="方正仿宋_GBK" w:cs="Times New Roman"/>
          <w:b w:val="0"/>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TI1M2U3OTUxYmFmZTFkYTg4N2Q0NzU4MWUyYTEifQ=="/>
  </w:docVars>
  <w:rsids>
    <w:rsidRoot w:val="00BB3BBC"/>
    <w:rsid w:val="00007CF8"/>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A7E07B3"/>
    <w:rsid w:val="10F70F33"/>
    <w:rsid w:val="14476347"/>
    <w:rsid w:val="179A74D6"/>
    <w:rsid w:val="188A0C7B"/>
    <w:rsid w:val="19B36C47"/>
    <w:rsid w:val="1F836971"/>
    <w:rsid w:val="23BF5A5D"/>
    <w:rsid w:val="24811DC9"/>
    <w:rsid w:val="273E3C2C"/>
    <w:rsid w:val="28AF375F"/>
    <w:rsid w:val="2FD860F5"/>
    <w:rsid w:val="3021687E"/>
    <w:rsid w:val="3E31444F"/>
    <w:rsid w:val="42A64398"/>
    <w:rsid w:val="51FD4E46"/>
    <w:rsid w:val="59BE6C12"/>
    <w:rsid w:val="5EBE711C"/>
    <w:rsid w:val="631E0807"/>
    <w:rsid w:val="72855492"/>
    <w:rsid w:val="73C44573"/>
    <w:rsid w:val="743F2A83"/>
    <w:rsid w:val="7935276A"/>
    <w:rsid w:val="7DAD5EFC"/>
    <w:rsid w:val="7EFE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autoRedefine/>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45</Pages>
  <Words>14776</Words>
  <Characters>17639</Characters>
  <Lines>443</Lines>
  <Paragraphs>124</Paragraphs>
  <TotalTime>2</TotalTime>
  <ScaleCrop>false</ScaleCrop>
  <LinksUpToDate>false</LinksUpToDate>
  <CharactersWithSpaces>18362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C.(中国红客)</cp:lastModifiedBy>
  <dcterms:modified xsi:type="dcterms:W3CDTF">2024-01-29T03:21:18Z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D72BD4F124D6462ABD1B200A58A0943F</vt:lpwstr>
  </property>
</Properties>
</file>