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2932.50</w:t>
            </w:r>
          </w:p>
        </w:tc>
        <w:tc>
          <w:tcPr>
            <w:tcW w:w="4535" w:type="dxa"/>
            <w:vAlign w:val="center"/>
          </w:tcPr>
          <w:p>
            <w:pPr>
              <w:pStyle w:val="13"/>
            </w:pPr>
            <w:r>
              <w:t>一、一般公共服务支出</w:t>
            </w:r>
          </w:p>
        </w:tc>
        <w:tc>
          <w:tcPr>
            <w:tcW w:w="2126" w:type="dxa"/>
            <w:vAlign w:val="center"/>
          </w:tcPr>
          <w:p>
            <w:pPr>
              <w:pStyle w:val="12"/>
            </w:pPr>
            <w:r>
              <w:t>2933.49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2932.50</w:t>
            </w:r>
          </w:p>
        </w:tc>
        <w:tc>
          <w:tcPr>
            <w:tcW w:w="4535" w:type="dxa"/>
            <w:vAlign w:val="center"/>
          </w:tcPr>
          <w:p>
            <w:pPr>
              <w:pStyle w:val="15"/>
            </w:pPr>
            <w:r>
              <w:t>本年支出合计</w:t>
            </w:r>
          </w:p>
        </w:tc>
        <w:tc>
          <w:tcPr>
            <w:tcW w:w="2126" w:type="dxa"/>
            <w:vAlign w:val="center"/>
          </w:tcPr>
          <w:p>
            <w:pPr>
              <w:pStyle w:val="16"/>
            </w:pPr>
            <w:r>
              <w:t>2933.49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0.99</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2933.49</w:t>
            </w:r>
          </w:p>
        </w:tc>
        <w:tc>
          <w:tcPr>
            <w:tcW w:w="4535" w:type="dxa"/>
            <w:vAlign w:val="center"/>
          </w:tcPr>
          <w:p>
            <w:pPr>
              <w:pStyle w:val="15"/>
            </w:pPr>
            <w:r>
              <w:t>支出总计</w:t>
            </w:r>
          </w:p>
        </w:tc>
        <w:tc>
          <w:tcPr>
            <w:tcW w:w="2126" w:type="dxa"/>
            <w:vAlign w:val="center"/>
          </w:tcPr>
          <w:p>
            <w:pPr>
              <w:pStyle w:val="16"/>
            </w:pPr>
            <w:r>
              <w:t>2933.49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2933.49</w:t>
            </w:r>
          </w:p>
        </w:tc>
        <w:tc>
          <w:tcPr>
            <w:tcW w:w="1134" w:type="dxa"/>
            <w:vAlign w:val="center"/>
          </w:tcPr>
          <w:p>
            <w:pPr>
              <w:pStyle w:val="16"/>
            </w:pPr>
            <w:r>
              <w:t>2932.50</w:t>
            </w:r>
          </w:p>
        </w:tc>
        <w:tc>
          <w:tcPr>
            <w:tcW w:w="1134" w:type="dxa"/>
            <w:vAlign w:val="center"/>
          </w:tcPr>
          <w:p>
            <w:pPr>
              <w:pStyle w:val="16"/>
            </w:pPr>
            <w:r>
              <w:t>2932.50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2933.49</w:t>
            </w:r>
          </w:p>
        </w:tc>
        <w:tc>
          <w:tcPr>
            <w:tcW w:w="1134" w:type="dxa"/>
            <w:vAlign w:val="center"/>
          </w:tcPr>
          <w:p>
            <w:pPr>
              <w:pStyle w:val="12"/>
            </w:pPr>
            <w:r>
              <w:t>2932.50</w:t>
            </w:r>
          </w:p>
        </w:tc>
        <w:tc>
          <w:tcPr>
            <w:tcW w:w="1134" w:type="dxa"/>
            <w:vAlign w:val="center"/>
          </w:tcPr>
          <w:p>
            <w:pPr>
              <w:pStyle w:val="12"/>
            </w:pPr>
            <w:r>
              <w:t>2932.50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rPr>
                <w:rFonts w:hint="eastAsia"/>
                <w:lang w:eastAsia="zh-CN"/>
              </w:rPr>
              <w:t>市</w:t>
            </w:r>
            <w:r>
              <w:t>场监督管理事务</w:t>
            </w:r>
          </w:p>
        </w:tc>
        <w:tc>
          <w:tcPr>
            <w:tcW w:w="1134" w:type="dxa"/>
            <w:vAlign w:val="center"/>
          </w:tcPr>
          <w:p>
            <w:pPr>
              <w:pStyle w:val="12"/>
            </w:pPr>
            <w:r>
              <w:t>2933.49</w:t>
            </w:r>
          </w:p>
        </w:tc>
        <w:tc>
          <w:tcPr>
            <w:tcW w:w="1134" w:type="dxa"/>
            <w:vAlign w:val="center"/>
          </w:tcPr>
          <w:p>
            <w:pPr>
              <w:pStyle w:val="12"/>
            </w:pPr>
            <w:r>
              <w:t>2932.50</w:t>
            </w:r>
          </w:p>
        </w:tc>
        <w:tc>
          <w:tcPr>
            <w:tcW w:w="1134" w:type="dxa"/>
            <w:vAlign w:val="center"/>
          </w:tcPr>
          <w:p>
            <w:pPr>
              <w:pStyle w:val="12"/>
            </w:pPr>
            <w:r>
              <w:t>2932.50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2524.50</w:t>
            </w:r>
          </w:p>
        </w:tc>
        <w:tc>
          <w:tcPr>
            <w:tcW w:w="1134" w:type="dxa"/>
            <w:vAlign w:val="center"/>
          </w:tcPr>
          <w:p>
            <w:pPr>
              <w:pStyle w:val="12"/>
            </w:pPr>
            <w:r>
              <w:t>2524.50</w:t>
            </w:r>
          </w:p>
        </w:tc>
        <w:tc>
          <w:tcPr>
            <w:tcW w:w="1134" w:type="dxa"/>
            <w:vAlign w:val="center"/>
          </w:tcPr>
          <w:p>
            <w:pPr>
              <w:pStyle w:val="12"/>
            </w:pPr>
            <w:r>
              <w:t>2524.50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2013804</w:t>
            </w:r>
          </w:p>
        </w:tc>
        <w:tc>
          <w:tcPr>
            <w:tcW w:w="1559" w:type="dxa"/>
            <w:vAlign w:val="center"/>
          </w:tcPr>
          <w:p>
            <w:pPr>
              <w:pStyle w:val="13"/>
            </w:pPr>
            <w:r>
              <w:rPr>
                <w:rFonts w:hint="eastAsia"/>
                <w:lang w:eastAsia="zh-CN"/>
              </w:rPr>
              <w:t>市</w:t>
            </w:r>
            <w:r>
              <w:t>场主体管理</w:t>
            </w:r>
          </w:p>
        </w:tc>
        <w:tc>
          <w:tcPr>
            <w:tcW w:w="1134" w:type="dxa"/>
            <w:vAlign w:val="center"/>
          </w:tcPr>
          <w:p>
            <w:pPr>
              <w:pStyle w:val="12"/>
            </w:pPr>
            <w:r>
              <w:t>158.99</w:t>
            </w:r>
          </w:p>
        </w:tc>
        <w:tc>
          <w:tcPr>
            <w:tcW w:w="1134" w:type="dxa"/>
            <w:vAlign w:val="center"/>
          </w:tcPr>
          <w:p>
            <w:pPr>
              <w:pStyle w:val="12"/>
            </w:pPr>
            <w:r>
              <w:t>158.00</w:t>
            </w:r>
          </w:p>
        </w:tc>
        <w:tc>
          <w:tcPr>
            <w:tcW w:w="1134" w:type="dxa"/>
            <w:vAlign w:val="center"/>
          </w:tcPr>
          <w:p>
            <w:pPr>
              <w:pStyle w:val="12"/>
            </w:pPr>
            <w:r>
              <w:t>158.00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2013805</w:t>
            </w:r>
          </w:p>
        </w:tc>
        <w:tc>
          <w:tcPr>
            <w:tcW w:w="1559" w:type="dxa"/>
            <w:vAlign w:val="center"/>
          </w:tcPr>
          <w:p>
            <w:pPr>
              <w:pStyle w:val="13"/>
            </w:pPr>
            <w:r>
              <w:rPr>
                <w:rFonts w:hint="eastAsia"/>
                <w:lang w:eastAsia="zh-CN"/>
              </w:rPr>
              <w:t>市</w:t>
            </w:r>
            <w:r>
              <w:t>场秩序执法</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2013899</w:t>
            </w:r>
          </w:p>
        </w:tc>
        <w:tc>
          <w:tcPr>
            <w:tcW w:w="1559" w:type="dxa"/>
            <w:vAlign w:val="center"/>
          </w:tcPr>
          <w:p>
            <w:pPr>
              <w:pStyle w:val="13"/>
            </w:pPr>
            <w:r>
              <w:t>其他</w:t>
            </w:r>
            <w:r>
              <w:rPr>
                <w:rFonts w:hint="eastAsia"/>
                <w:lang w:eastAsia="zh-CN"/>
              </w:rPr>
              <w:t>市</w:t>
            </w:r>
            <w:r>
              <w:t>场监督管理事务</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2933.49</w:t>
            </w:r>
          </w:p>
        </w:tc>
        <w:tc>
          <w:tcPr>
            <w:tcW w:w="1361" w:type="dxa"/>
            <w:vAlign w:val="center"/>
          </w:tcPr>
          <w:p>
            <w:pPr>
              <w:pStyle w:val="16"/>
            </w:pPr>
            <w:r>
              <w:t>2406.98</w:t>
            </w:r>
          </w:p>
        </w:tc>
        <w:tc>
          <w:tcPr>
            <w:tcW w:w="1361" w:type="dxa"/>
            <w:vAlign w:val="center"/>
          </w:tcPr>
          <w:p>
            <w:pPr>
              <w:pStyle w:val="16"/>
            </w:pPr>
            <w:r>
              <w:t>526.51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2933.49</w:t>
            </w:r>
          </w:p>
        </w:tc>
        <w:tc>
          <w:tcPr>
            <w:tcW w:w="1361" w:type="dxa"/>
            <w:vAlign w:val="center"/>
          </w:tcPr>
          <w:p>
            <w:pPr>
              <w:pStyle w:val="12"/>
            </w:pPr>
            <w:r>
              <w:t>2406.98</w:t>
            </w:r>
          </w:p>
        </w:tc>
        <w:tc>
          <w:tcPr>
            <w:tcW w:w="1361" w:type="dxa"/>
            <w:vAlign w:val="center"/>
          </w:tcPr>
          <w:p>
            <w:pPr>
              <w:pStyle w:val="12"/>
            </w:pPr>
            <w:r>
              <w:t>526.51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rPr>
                <w:rFonts w:hint="eastAsia"/>
                <w:lang w:eastAsia="zh-CN"/>
              </w:rPr>
              <w:t>市</w:t>
            </w:r>
            <w:r>
              <w:t>场监督管理事务</w:t>
            </w:r>
          </w:p>
        </w:tc>
        <w:tc>
          <w:tcPr>
            <w:tcW w:w="1361" w:type="dxa"/>
            <w:vAlign w:val="center"/>
          </w:tcPr>
          <w:p>
            <w:pPr>
              <w:pStyle w:val="12"/>
            </w:pPr>
            <w:r>
              <w:t>2933.49</w:t>
            </w:r>
          </w:p>
        </w:tc>
        <w:tc>
          <w:tcPr>
            <w:tcW w:w="1361" w:type="dxa"/>
            <w:vAlign w:val="center"/>
          </w:tcPr>
          <w:p>
            <w:pPr>
              <w:pStyle w:val="12"/>
            </w:pPr>
            <w:r>
              <w:t>2406.98</w:t>
            </w:r>
          </w:p>
        </w:tc>
        <w:tc>
          <w:tcPr>
            <w:tcW w:w="1361" w:type="dxa"/>
            <w:vAlign w:val="center"/>
          </w:tcPr>
          <w:p>
            <w:pPr>
              <w:pStyle w:val="12"/>
            </w:pPr>
            <w:r>
              <w:t>526.51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2524.50</w:t>
            </w:r>
          </w:p>
        </w:tc>
        <w:tc>
          <w:tcPr>
            <w:tcW w:w="1361" w:type="dxa"/>
            <w:vAlign w:val="center"/>
          </w:tcPr>
          <w:p>
            <w:pPr>
              <w:pStyle w:val="12"/>
            </w:pPr>
            <w:r>
              <w:t>2406.98</w:t>
            </w:r>
          </w:p>
        </w:tc>
        <w:tc>
          <w:tcPr>
            <w:tcW w:w="1361" w:type="dxa"/>
            <w:vAlign w:val="center"/>
          </w:tcPr>
          <w:p>
            <w:pPr>
              <w:pStyle w:val="12"/>
            </w:pPr>
            <w:r>
              <w:t>117.52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2013804</w:t>
            </w:r>
          </w:p>
        </w:tc>
        <w:tc>
          <w:tcPr>
            <w:tcW w:w="4535" w:type="dxa"/>
            <w:vAlign w:val="center"/>
          </w:tcPr>
          <w:p>
            <w:pPr>
              <w:pStyle w:val="13"/>
            </w:pPr>
            <w:r>
              <w:rPr>
                <w:rFonts w:hint="eastAsia"/>
                <w:lang w:eastAsia="zh-CN"/>
              </w:rPr>
              <w:t>市</w:t>
            </w:r>
            <w:r>
              <w:t>场主体管理</w:t>
            </w:r>
          </w:p>
        </w:tc>
        <w:tc>
          <w:tcPr>
            <w:tcW w:w="1361" w:type="dxa"/>
            <w:vAlign w:val="center"/>
          </w:tcPr>
          <w:p>
            <w:pPr>
              <w:pStyle w:val="12"/>
            </w:pPr>
            <w:r>
              <w:t>158.99</w:t>
            </w:r>
          </w:p>
        </w:tc>
        <w:tc>
          <w:tcPr>
            <w:tcW w:w="1361" w:type="dxa"/>
            <w:vAlign w:val="center"/>
          </w:tcPr>
          <w:p>
            <w:pPr>
              <w:pStyle w:val="12"/>
            </w:pPr>
          </w:p>
        </w:tc>
        <w:tc>
          <w:tcPr>
            <w:tcW w:w="1361" w:type="dxa"/>
            <w:vAlign w:val="center"/>
          </w:tcPr>
          <w:p>
            <w:pPr>
              <w:pStyle w:val="12"/>
            </w:pPr>
            <w:r>
              <w:t>158.99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2013805</w:t>
            </w:r>
          </w:p>
        </w:tc>
        <w:tc>
          <w:tcPr>
            <w:tcW w:w="4535" w:type="dxa"/>
            <w:vAlign w:val="center"/>
          </w:tcPr>
          <w:p>
            <w:pPr>
              <w:pStyle w:val="13"/>
            </w:pPr>
            <w:r>
              <w:rPr>
                <w:rFonts w:hint="eastAsia"/>
                <w:lang w:eastAsia="zh-CN"/>
              </w:rPr>
              <w:t>市</w:t>
            </w:r>
            <w:r>
              <w:t>场秩序执法</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2013899</w:t>
            </w:r>
          </w:p>
        </w:tc>
        <w:tc>
          <w:tcPr>
            <w:tcW w:w="4535" w:type="dxa"/>
            <w:vAlign w:val="center"/>
          </w:tcPr>
          <w:p>
            <w:pPr>
              <w:pStyle w:val="13"/>
            </w:pPr>
            <w:r>
              <w:t>其他</w:t>
            </w:r>
            <w:r>
              <w:rPr>
                <w:rFonts w:hint="eastAsia"/>
                <w:lang w:eastAsia="zh-CN"/>
              </w:rPr>
              <w:t>市</w:t>
            </w:r>
            <w:r>
              <w:t>场监督管理事务</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2932.50</w:t>
            </w:r>
          </w:p>
        </w:tc>
        <w:tc>
          <w:tcPr>
            <w:tcW w:w="3402" w:type="dxa"/>
            <w:vAlign w:val="center"/>
          </w:tcPr>
          <w:p>
            <w:pPr>
              <w:pStyle w:val="13"/>
            </w:pPr>
            <w:r>
              <w:t>一、一般公共服务支出</w:t>
            </w:r>
          </w:p>
        </w:tc>
        <w:tc>
          <w:tcPr>
            <w:tcW w:w="1474" w:type="dxa"/>
            <w:vAlign w:val="center"/>
          </w:tcPr>
          <w:p>
            <w:pPr>
              <w:pStyle w:val="12"/>
            </w:pPr>
            <w:r>
              <w:t>2933.49</w:t>
            </w:r>
          </w:p>
        </w:tc>
        <w:tc>
          <w:tcPr>
            <w:tcW w:w="1474" w:type="dxa"/>
            <w:vAlign w:val="center"/>
          </w:tcPr>
          <w:p>
            <w:pPr>
              <w:pStyle w:val="12"/>
            </w:pPr>
            <w:r>
              <w:t>2933.49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2932.50</w:t>
            </w:r>
          </w:p>
        </w:tc>
        <w:tc>
          <w:tcPr>
            <w:tcW w:w="3402" w:type="dxa"/>
            <w:vAlign w:val="center"/>
          </w:tcPr>
          <w:p>
            <w:pPr>
              <w:pStyle w:val="15"/>
            </w:pPr>
            <w:r>
              <w:t>本年支出合计</w:t>
            </w:r>
          </w:p>
        </w:tc>
        <w:tc>
          <w:tcPr>
            <w:tcW w:w="1474" w:type="dxa"/>
            <w:vAlign w:val="center"/>
          </w:tcPr>
          <w:p>
            <w:pPr>
              <w:pStyle w:val="16"/>
            </w:pPr>
            <w:r>
              <w:t>2933.49</w:t>
            </w:r>
          </w:p>
        </w:tc>
        <w:tc>
          <w:tcPr>
            <w:tcW w:w="1474" w:type="dxa"/>
            <w:vAlign w:val="center"/>
          </w:tcPr>
          <w:p>
            <w:pPr>
              <w:pStyle w:val="16"/>
            </w:pPr>
            <w:r>
              <w:t>2933.49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0.99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0.99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2933.49</w:t>
            </w:r>
          </w:p>
        </w:tc>
        <w:tc>
          <w:tcPr>
            <w:tcW w:w="3402" w:type="dxa"/>
            <w:vAlign w:val="center"/>
          </w:tcPr>
          <w:p>
            <w:pPr>
              <w:pStyle w:val="15"/>
            </w:pPr>
            <w:r>
              <w:t>支出总计</w:t>
            </w:r>
          </w:p>
        </w:tc>
        <w:tc>
          <w:tcPr>
            <w:tcW w:w="1474" w:type="dxa"/>
            <w:vAlign w:val="center"/>
          </w:tcPr>
          <w:p>
            <w:pPr>
              <w:pStyle w:val="16"/>
            </w:pPr>
            <w:r>
              <w:t>2933.49</w:t>
            </w:r>
          </w:p>
        </w:tc>
        <w:tc>
          <w:tcPr>
            <w:tcW w:w="1474" w:type="dxa"/>
            <w:vAlign w:val="center"/>
          </w:tcPr>
          <w:p>
            <w:pPr>
              <w:pStyle w:val="16"/>
            </w:pPr>
            <w:r>
              <w:t>2933.49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2933.49</w:t>
            </w:r>
          </w:p>
        </w:tc>
        <w:tc>
          <w:tcPr>
            <w:tcW w:w="2551" w:type="dxa"/>
            <w:vAlign w:val="center"/>
          </w:tcPr>
          <w:p>
            <w:pPr>
              <w:pStyle w:val="16"/>
            </w:pPr>
            <w:r>
              <w:t>2406.98</w:t>
            </w:r>
          </w:p>
        </w:tc>
        <w:tc>
          <w:tcPr>
            <w:tcW w:w="2551" w:type="dxa"/>
            <w:vAlign w:val="center"/>
          </w:tcPr>
          <w:p>
            <w:pPr>
              <w:pStyle w:val="16"/>
            </w:pPr>
            <w:r>
              <w:t>526.51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2933.49</w:t>
            </w:r>
          </w:p>
        </w:tc>
        <w:tc>
          <w:tcPr>
            <w:tcW w:w="2551" w:type="dxa"/>
            <w:vAlign w:val="center"/>
          </w:tcPr>
          <w:p>
            <w:pPr>
              <w:pStyle w:val="12"/>
            </w:pPr>
            <w:r>
              <w:t>2406.98</w:t>
            </w:r>
          </w:p>
        </w:tc>
        <w:tc>
          <w:tcPr>
            <w:tcW w:w="2551" w:type="dxa"/>
            <w:vAlign w:val="center"/>
          </w:tcPr>
          <w:p>
            <w:pPr>
              <w:pStyle w:val="12"/>
            </w:pPr>
            <w:r>
              <w:t>526.51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rPr>
                <w:rFonts w:hint="eastAsia"/>
                <w:lang w:eastAsia="zh-CN"/>
              </w:rPr>
              <w:t>市</w:t>
            </w:r>
            <w:r>
              <w:t>场监督管理事务</w:t>
            </w:r>
          </w:p>
        </w:tc>
        <w:tc>
          <w:tcPr>
            <w:tcW w:w="2551" w:type="dxa"/>
            <w:vAlign w:val="center"/>
          </w:tcPr>
          <w:p>
            <w:pPr>
              <w:pStyle w:val="12"/>
            </w:pPr>
            <w:r>
              <w:t>2933.49</w:t>
            </w:r>
          </w:p>
        </w:tc>
        <w:tc>
          <w:tcPr>
            <w:tcW w:w="2551" w:type="dxa"/>
            <w:vAlign w:val="center"/>
          </w:tcPr>
          <w:p>
            <w:pPr>
              <w:pStyle w:val="12"/>
            </w:pPr>
            <w:r>
              <w:t>2406.98</w:t>
            </w:r>
          </w:p>
        </w:tc>
        <w:tc>
          <w:tcPr>
            <w:tcW w:w="2551" w:type="dxa"/>
            <w:vAlign w:val="center"/>
          </w:tcPr>
          <w:p>
            <w:pPr>
              <w:pStyle w:val="12"/>
            </w:pPr>
            <w:r>
              <w:t>526.51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2524.50</w:t>
            </w:r>
          </w:p>
        </w:tc>
        <w:tc>
          <w:tcPr>
            <w:tcW w:w="2551" w:type="dxa"/>
            <w:vAlign w:val="center"/>
          </w:tcPr>
          <w:p>
            <w:pPr>
              <w:pStyle w:val="12"/>
            </w:pPr>
            <w:r>
              <w:t>2406.98</w:t>
            </w:r>
          </w:p>
        </w:tc>
        <w:tc>
          <w:tcPr>
            <w:tcW w:w="2551" w:type="dxa"/>
            <w:vAlign w:val="center"/>
          </w:tcPr>
          <w:p>
            <w:pPr>
              <w:pStyle w:val="12"/>
            </w:pPr>
            <w:r>
              <w:t>117.52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2013804</w:t>
            </w:r>
          </w:p>
        </w:tc>
        <w:tc>
          <w:tcPr>
            <w:tcW w:w="4535" w:type="dxa"/>
            <w:vAlign w:val="center"/>
          </w:tcPr>
          <w:p>
            <w:pPr>
              <w:pStyle w:val="13"/>
            </w:pPr>
            <w:r>
              <w:rPr>
                <w:rFonts w:hint="eastAsia"/>
                <w:lang w:eastAsia="zh-CN"/>
              </w:rPr>
              <w:t>市</w:t>
            </w:r>
            <w:r>
              <w:t>场主体管理</w:t>
            </w:r>
          </w:p>
        </w:tc>
        <w:tc>
          <w:tcPr>
            <w:tcW w:w="2551" w:type="dxa"/>
            <w:vAlign w:val="center"/>
          </w:tcPr>
          <w:p>
            <w:pPr>
              <w:pStyle w:val="12"/>
            </w:pPr>
            <w:r>
              <w:t>158.99</w:t>
            </w:r>
          </w:p>
        </w:tc>
        <w:tc>
          <w:tcPr>
            <w:tcW w:w="2551" w:type="dxa"/>
            <w:vAlign w:val="center"/>
          </w:tcPr>
          <w:p>
            <w:pPr>
              <w:pStyle w:val="12"/>
            </w:pPr>
          </w:p>
        </w:tc>
        <w:tc>
          <w:tcPr>
            <w:tcW w:w="2551" w:type="dxa"/>
            <w:vAlign w:val="center"/>
          </w:tcPr>
          <w:p>
            <w:pPr>
              <w:pStyle w:val="12"/>
            </w:pPr>
            <w:r>
              <w:t>158.99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2013805</w:t>
            </w:r>
          </w:p>
        </w:tc>
        <w:tc>
          <w:tcPr>
            <w:tcW w:w="4535" w:type="dxa"/>
            <w:vAlign w:val="center"/>
          </w:tcPr>
          <w:p>
            <w:pPr>
              <w:pStyle w:val="13"/>
            </w:pPr>
            <w:r>
              <w:rPr>
                <w:rFonts w:hint="eastAsia"/>
                <w:lang w:eastAsia="zh-CN"/>
              </w:rPr>
              <w:t>市</w:t>
            </w:r>
            <w:r>
              <w:t>场秩序执法</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2013899</w:t>
            </w:r>
          </w:p>
        </w:tc>
        <w:tc>
          <w:tcPr>
            <w:tcW w:w="4535" w:type="dxa"/>
            <w:vAlign w:val="center"/>
          </w:tcPr>
          <w:p>
            <w:pPr>
              <w:pStyle w:val="13"/>
            </w:pPr>
            <w:r>
              <w:t>其他</w:t>
            </w:r>
            <w:r>
              <w:rPr>
                <w:rFonts w:hint="eastAsia"/>
                <w:lang w:eastAsia="zh-CN"/>
              </w:rPr>
              <w:t>市</w:t>
            </w:r>
            <w:r>
              <w:t>场监督管理事务</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2406.98</w:t>
            </w:r>
          </w:p>
        </w:tc>
        <w:tc>
          <w:tcPr>
            <w:tcW w:w="2551" w:type="dxa"/>
            <w:vAlign w:val="center"/>
          </w:tcPr>
          <w:p>
            <w:pPr>
              <w:pStyle w:val="16"/>
            </w:pPr>
            <w:r>
              <w:t>2022.13</w:t>
            </w:r>
          </w:p>
        </w:tc>
        <w:tc>
          <w:tcPr>
            <w:tcW w:w="2551" w:type="dxa"/>
            <w:vAlign w:val="center"/>
          </w:tcPr>
          <w:p>
            <w:pPr>
              <w:pStyle w:val="16"/>
            </w:pPr>
            <w:r>
              <w:t>384.85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1943.14</w:t>
            </w:r>
          </w:p>
        </w:tc>
        <w:tc>
          <w:tcPr>
            <w:tcW w:w="2551" w:type="dxa"/>
            <w:vAlign w:val="center"/>
          </w:tcPr>
          <w:p>
            <w:pPr>
              <w:pStyle w:val="12"/>
            </w:pPr>
            <w:r>
              <w:t>1943.14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981.92</w:t>
            </w:r>
          </w:p>
        </w:tc>
        <w:tc>
          <w:tcPr>
            <w:tcW w:w="2551" w:type="dxa"/>
            <w:vAlign w:val="center"/>
          </w:tcPr>
          <w:p>
            <w:pPr>
              <w:pStyle w:val="12"/>
            </w:pPr>
            <w:r>
              <w:t>981.92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348.73</w:t>
            </w:r>
          </w:p>
        </w:tc>
        <w:tc>
          <w:tcPr>
            <w:tcW w:w="2551" w:type="dxa"/>
            <w:vAlign w:val="center"/>
          </w:tcPr>
          <w:p>
            <w:pPr>
              <w:pStyle w:val="12"/>
            </w:pPr>
            <w:r>
              <w:t>348.73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83.29</w:t>
            </w:r>
          </w:p>
        </w:tc>
        <w:tc>
          <w:tcPr>
            <w:tcW w:w="2551" w:type="dxa"/>
            <w:vAlign w:val="center"/>
          </w:tcPr>
          <w:p>
            <w:pPr>
              <w:pStyle w:val="12"/>
            </w:pPr>
            <w:r>
              <w:t>83.29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173.75</w:t>
            </w:r>
          </w:p>
        </w:tc>
        <w:tc>
          <w:tcPr>
            <w:tcW w:w="2551" w:type="dxa"/>
            <w:vAlign w:val="center"/>
          </w:tcPr>
          <w:p>
            <w:pPr>
              <w:pStyle w:val="12"/>
            </w:pPr>
            <w:r>
              <w:t>173.75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145.15</w:t>
            </w:r>
          </w:p>
        </w:tc>
        <w:tc>
          <w:tcPr>
            <w:tcW w:w="2551" w:type="dxa"/>
            <w:vAlign w:val="center"/>
          </w:tcPr>
          <w:p>
            <w:pPr>
              <w:pStyle w:val="12"/>
            </w:pPr>
            <w:r>
              <w:t>145.15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72.58</w:t>
            </w:r>
          </w:p>
        </w:tc>
        <w:tc>
          <w:tcPr>
            <w:tcW w:w="2551" w:type="dxa"/>
            <w:vAlign w:val="center"/>
          </w:tcPr>
          <w:p>
            <w:pPr>
              <w:pStyle w:val="12"/>
            </w:pPr>
            <w:r>
              <w:t>72.58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58.65</w:t>
            </w:r>
          </w:p>
        </w:tc>
        <w:tc>
          <w:tcPr>
            <w:tcW w:w="2551" w:type="dxa"/>
            <w:vAlign w:val="center"/>
          </w:tcPr>
          <w:p>
            <w:pPr>
              <w:pStyle w:val="12"/>
            </w:pPr>
            <w:r>
              <w:t>58.65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6.49</w:t>
            </w:r>
          </w:p>
        </w:tc>
        <w:tc>
          <w:tcPr>
            <w:tcW w:w="2551" w:type="dxa"/>
            <w:vAlign w:val="center"/>
          </w:tcPr>
          <w:p>
            <w:pPr>
              <w:pStyle w:val="12"/>
            </w:pPr>
            <w:r>
              <w:t>6.49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72.58</w:t>
            </w:r>
          </w:p>
        </w:tc>
        <w:tc>
          <w:tcPr>
            <w:tcW w:w="2551" w:type="dxa"/>
            <w:vAlign w:val="center"/>
          </w:tcPr>
          <w:p>
            <w:pPr>
              <w:pStyle w:val="12"/>
            </w:pPr>
            <w:r>
              <w:t>72.58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384.85</w:t>
            </w:r>
          </w:p>
        </w:tc>
        <w:tc>
          <w:tcPr>
            <w:tcW w:w="2551" w:type="dxa"/>
            <w:vAlign w:val="center"/>
          </w:tcPr>
          <w:p>
            <w:pPr>
              <w:pStyle w:val="12"/>
            </w:pPr>
          </w:p>
        </w:tc>
        <w:tc>
          <w:tcPr>
            <w:tcW w:w="2551" w:type="dxa"/>
            <w:vAlign w:val="center"/>
          </w:tcPr>
          <w:p>
            <w:pPr>
              <w:pStyle w:val="12"/>
            </w:pPr>
            <w:r>
              <w:t>384.85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36.98</w:t>
            </w:r>
          </w:p>
        </w:tc>
        <w:tc>
          <w:tcPr>
            <w:tcW w:w="2551" w:type="dxa"/>
            <w:vAlign w:val="center"/>
          </w:tcPr>
          <w:p>
            <w:pPr>
              <w:pStyle w:val="12"/>
            </w:pPr>
          </w:p>
        </w:tc>
        <w:tc>
          <w:tcPr>
            <w:tcW w:w="2551" w:type="dxa"/>
            <w:vAlign w:val="center"/>
          </w:tcPr>
          <w:p>
            <w:pPr>
              <w:pStyle w:val="12"/>
            </w:pPr>
            <w:r>
              <w:t>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1.25</w:t>
            </w:r>
          </w:p>
        </w:tc>
        <w:tc>
          <w:tcPr>
            <w:tcW w:w="2551" w:type="dxa"/>
            <w:vAlign w:val="center"/>
          </w:tcPr>
          <w:p>
            <w:pPr>
              <w:pStyle w:val="12"/>
            </w:pPr>
          </w:p>
        </w:tc>
        <w:tc>
          <w:tcPr>
            <w:tcW w:w="2551"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15.70</w:t>
            </w:r>
          </w:p>
        </w:tc>
        <w:tc>
          <w:tcPr>
            <w:tcW w:w="2551" w:type="dxa"/>
            <w:vAlign w:val="center"/>
          </w:tcPr>
          <w:p>
            <w:pPr>
              <w:pStyle w:val="12"/>
            </w:pPr>
          </w:p>
        </w:tc>
        <w:tc>
          <w:tcPr>
            <w:tcW w:w="2551" w:type="dxa"/>
            <w:vAlign w:val="center"/>
          </w:tcPr>
          <w:p>
            <w:pPr>
              <w:pStyle w:val="12"/>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31.40</w:t>
            </w:r>
          </w:p>
        </w:tc>
        <w:tc>
          <w:tcPr>
            <w:tcW w:w="2551" w:type="dxa"/>
            <w:vAlign w:val="center"/>
          </w:tcPr>
          <w:p>
            <w:pPr>
              <w:pStyle w:val="12"/>
            </w:pPr>
          </w:p>
        </w:tc>
        <w:tc>
          <w:tcPr>
            <w:tcW w:w="2551" w:type="dxa"/>
            <w:vAlign w:val="center"/>
          </w:tcPr>
          <w:p>
            <w:pPr>
              <w:pStyle w:val="12"/>
            </w:pPr>
            <w:r>
              <w:t>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185.00</w:t>
            </w:r>
          </w:p>
        </w:tc>
        <w:tc>
          <w:tcPr>
            <w:tcW w:w="2551" w:type="dxa"/>
            <w:vAlign w:val="center"/>
          </w:tcPr>
          <w:p>
            <w:pPr>
              <w:pStyle w:val="12"/>
            </w:pPr>
          </w:p>
        </w:tc>
        <w:tc>
          <w:tcPr>
            <w:tcW w:w="2551" w:type="dxa"/>
            <w:vAlign w:val="center"/>
          </w:tcPr>
          <w:p>
            <w:pPr>
              <w:pStyle w:val="12"/>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65.50</w:t>
            </w:r>
          </w:p>
        </w:tc>
        <w:tc>
          <w:tcPr>
            <w:tcW w:w="2551" w:type="dxa"/>
            <w:vAlign w:val="center"/>
          </w:tcPr>
          <w:p>
            <w:pPr>
              <w:pStyle w:val="12"/>
            </w:pPr>
          </w:p>
        </w:tc>
        <w:tc>
          <w:tcPr>
            <w:tcW w:w="2551" w:type="dxa"/>
            <w:vAlign w:val="center"/>
          </w:tcPr>
          <w:p>
            <w:pPr>
              <w:pStyle w:val="12"/>
            </w:pPr>
            <w:r>
              <w:t>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33.12</w:t>
            </w:r>
          </w:p>
        </w:tc>
        <w:tc>
          <w:tcPr>
            <w:tcW w:w="2551" w:type="dxa"/>
            <w:vAlign w:val="center"/>
          </w:tcPr>
          <w:p>
            <w:pPr>
              <w:pStyle w:val="12"/>
            </w:pPr>
          </w:p>
        </w:tc>
        <w:tc>
          <w:tcPr>
            <w:tcW w:w="2551" w:type="dxa"/>
            <w:vAlign w:val="center"/>
          </w:tcPr>
          <w:p>
            <w:pPr>
              <w:pStyle w:val="12"/>
            </w:pPr>
            <w: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78.99</w:t>
            </w:r>
          </w:p>
        </w:tc>
        <w:tc>
          <w:tcPr>
            <w:tcW w:w="2551" w:type="dxa"/>
            <w:vAlign w:val="center"/>
          </w:tcPr>
          <w:p>
            <w:pPr>
              <w:pStyle w:val="12"/>
            </w:pPr>
            <w:r>
              <w:t>78.99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72.59</w:t>
            </w:r>
          </w:p>
        </w:tc>
        <w:tc>
          <w:tcPr>
            <w:tcW w:w="2551" w:type="dxa"/>
            <w:vAlign w:val="center"/>
          </w:tcPr>
          <w:p>
            <w:pPr>
              <w:pStyle w:val="12"/>
            </w:pPr>
            <w:r>
              <w:t>72.59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6.40</w:t>
            </w:r>
          </w:p>
        </w:tc>
        <w:tc>
          <w:tcPr>
            <w:tcW w:w="2551" w:type="dxa"/>
            <w:vAlign w:val="center"/>
          </w:tcPr>
          <w:p>
            <w:pPr>
              <w:pStyle w:val="12"/>
            </w:pPr>
            <w:r>
              <w:t>6.40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86.90</w:t>
            </w:r>
          </w:p>
        </w:tc>
        <w:tc>
          <w:tcPr>
            <w:tcW w:w="2381" w:type="dxa"/>
            <w:vAlign w:val="center"/>
          </w:tcPr>
          <w:p>
            <w:pPr>
              <w:pStyle w:val="16"/>
            </w:pPr>
            <w:r>
              <w:t>86.90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86.90</w:t>
            </w:r>
          </w:p>
        </w:tc>
        <w:tc>
          <w:tcPr>
            <w:tcW w:w="2381" w:type="dxa"/>
            <w:vAlign w:val="center"/>
          </w:tcPr>
          <w:p>
            <w:pPr>
              <w:pStyle w:val="12"/>
            </w:pPr>
            <w:r>
              <w:t>86.90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75.50</w:t>
            </w:r>
          </w:p>
        </w:tc>
        <w:tc>
          <w:tcPr>
            <w:tcW w:w="2381" w:type="dxa"/>
            <w:vAlign w:val="center"/>
          </w:tcPr>
          <w:p>
            <w:pPr>
              <w:pStyle w:val="12"/>
            </w:pPr>
            <w:r>
              <w:t>75.50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65.50</w:t>
            </w:r>
          </w:p>
        </w:tc>
        <w:tc>
          <w:tcPr>
            <w:tcW w:w="2381" w:type="dxa"/>
            <w:vAlign w:val="center"/>
          </w:tcPr>
          <w:p>
            <w:pPr>
              <w:pStyle w:val="12"/>
            </w:pPr>
            <w:r>
              <w:t>65.50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11.40</w:t>
            </w:r>
          </w:p>
        </w:tc>
        <w:tc>
          <w:tcPr>
            <w:tcW w:w="2381" w:type="dxa"/>
            <w:vAlign w:val="center"/>
          </w:tcPr>
          <w:p>
            <w:pPr>
              <w:pStyle w:val="12"/>
            </w:pPr>
            <w:r>
              <w:t>11.40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w:t>
      </w:r>
      <w:r>
        <w:rPr>
          <w:rFonts w:hint="eastAsia" w:ascii="方正书宋_GBK" w:hAnsi="方正书宋_GBK" w:eastAsia="方正书宋_GBK" w:cs="方正书宋_GBK"/>
          <w:color w:val="FFFFFF"/>
          <w:sz w:val="21"/>
          <w:lang w:eastAsia="zh-CN"/>
        </w:rPr>
        <w:t>市</w:t>
      </w:r>
      <w:r>
        <w:rPr>
          <w:rFonts w:ascii="方正书宋_GBK" w:hAnsi="方正书宋_GBK" w:eastAsia="方正书宋_GBK" w:cs="方正书宋_GBK"/>
          <w:color w:val="FFFFFF"/>
          <w:sz w:val="21"/>
        </w:rPr>
        <w:t>场监督管理局2024年部门预算信息公开情况说明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w:t>
      </w:r>
      <w:r>
        <w:rPr>
          <w:rFonts w:hint="eastAsia" w:ascii="方正小标宋_GBK" w:hAnsi="方正小标宋_GBK" w:eastAsia="方正小标宋_GBK" w:cs="方正小标宋_GBK"/>
          <w:color w:val="000000"/>
          <w:sz w:val="44"/>
          <w:lang w:eastAsia="zh-CN"/>
        </w:rPr>
        <w:t>市</w:t>
      </w:r>
      <w:r>
        <w:rPr>
          <w:rFonts w:ascii="方正小标宋_GBK" w:hAnsi="方正小标宋_GBK" w:eastAsia="方正小标宋_GBK" w:cs="方正小标宋_GBK"/>
          <w:color w:val="000000"/>
          <w:sz w:val="44"/>
        </w:rPr>
        <w:t>场监督管理局2024年部门预算信息公开情况说明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w:t>
      </w:r>
      <w:r>
        <w:rPr>
          <w:rFonts w:hint="eastAsia" w:eastAsia="方正仿宋_GBK" w:cs="Times New Roman"/>
          <w:color w:val="000000"/>
          <w:sz w:val="28"/>
          <w:lang w:eastAsia="zh-CN"/>
        </w:rPr>
        <w:t>市</w:t>
      </w:r>
      <w:r>
        <w:rPr>
          <w:rFonts w:ascii="Times New Roman" w:hAnsi="Times New Roman" w:eastAsia="方正仿宋_GBK" w:cs="Times New Roman"/>
          <w:color w:val="000000"/>
          <w:sz w:val="28"/>
        </w:rPr>
        <w:t>场监督管理局2024年部门预算公开如下：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7"/>
      </w:pPr>
      <w:r>
        <w:t>根据《涞源县</w:t>
      </w:r>
      <w:r>
        <w:rPr>
          <w:rFonts w:hint="eastAsia"/>
          <w:lang w:eastAsia="zh-CN"/>
        </w:rPr>
        <w:t>市</w:t>
      </w:r>
      <w:r>
        <w:t>场监督管理局职能配置、内设机构和人员编制规定》,涞源县</w:t>
      </w:r>
      <w:r>
        <w:rPr>
          <w:rFonts w:hint="eastAsia"/>
          <w:lang w:eastAsia="zh-CN"/>
        </w:rPr>
        <w:t>市</w:t>
      </w:r>
      <w:r>
        <w:t>场监督管理局的主要职责是:</w:t>
      </w:r>
    </w:p>
    <w:p>
      <w:pPr>
        <w:pStyle w:val="27"/>
      </w:pPr>
      <w:r>
        <w:t>(一)依法负责全县相关</w:t>
      </w:r>
      <w:r>
        <w:rPr>
          <w:rFonts w:hint="eastAsia"/>
          <w:lang w:eastAsia="zh-CN"/>
        </w:rPr>
        <w:t>市</w:t>
      </w:r>
      <w:r>
        <w:t>场监督管理、行政执法和技术监督工作;贯彻执行国家、省、</w:t>
      </w:r>
      <w:r>
        <w:rPr>
          <w:rFonts w:hint="eastAsia"/>
          <w:lang w:eastAsia="zh-CN"/>
        </w:rPr>
        <w:t>市</w:t>
      </w:r>
      <w:r>
        <w:t>有关工商行政管理、食品药品监督管理等方面的法律法规和方针政策;落实</w:t>
      </w:r>
      <w:r>
        <w:rPr>
          <w:rFonts w:hint="eastAsia"/>
          <w:lang w:eastAsia="zh-CN"/>
        </w:rPr>
        <w:t>市</w:t>
      </w:r>
      <w:r>
        <w:t>工商行政管理局、</w:t>
      </w:r>
      <w:r>
        <w:rPr>
          <w:rFonts w:hint="eastAsia"/>
          <w:lang w:eastAsia="zh-CN"/>
        </w:rPr>
        <w:t>市</w:t>
      </w:r>
      <w:r>
        <w:t>食品药品监督管理局、</w:t>
      </w:r>
      <w:r>
        <w:rPr>
          <w:rFonts w:hint="eastAsia"/>
          <w:lang w:eastAsia="zh-CN"/>
        </w:rPr>
        <w:t>市</w:t>
      </w:r>
      <w:r>
        <w:t>质量技术监督局、</w:t>
      </w:r>
      <w:r>
        <w:rPr>
          <w:rFonts w:hint="eastAsia"/>
          <w:lang w:eastAsia="zh-CN"/>
        </w:rPr>
        <w:t>市</w:t>
      </w:r>
      <w:r>
        <w:t>政府食品安全委员会办公室工作部署:拟订全县有关工商行政管理、食品药品监督管理、质量技术监督等方面的政策、规定和规划，并组织实施。</w:t>
      </w:r>
    </w:p>
    <w:p>
      <w:pPr>
        <w:pStyle w:val="27"/>
      </w:pPr>
      <w:r>
        <w:t>(二)承担县政府食品安全委员会日常工作;负责食品药品安全监督管理综合协调,推动健全协调联动机制;督促检查县有关部门履行食品药品安全监督管理职责并负责考核评价。</w:t>
      </w:r>
    </w:p>
    <w:p>
      <w:pPr>
        <w:pStyle w:val="27"/>
      </w:pPr>
      <w:r>
        <w:t>(三)按照业务权限负责全县各类企业、农民专业合作社和从事经营活动的单位、个人以及外国(地区)企业常驻代表机构等巿场主体的登记注册和监督管理;负责</w:t>
      </w:r>
      <w:r>
        <w:rPr>
          <w:rFonts w:hint="eastAsia"/>
          <w:lang w:eastAsia="zh-CN"/>
        </w:rPr>
        <w:t>市</w:t>
      </w:r>
      <w:r>
        <w:t>场监督管理业务信息库建设。</w:t>
      </w:r>
    </w:p>
    <w:p>
      <w:pPr>
        <w:pStyle w:val="27"/>
      </w:pPr>
      <w:r>
        <w:t>(四)负责组织开展企业信用体系建设,实施信用分类管理;组织开展企业、个体工商户、农民专业合作社的年度报告和信用信息公示,并对公示信息实施监督管理;按照职责分工依法查处取缔无照经营。</w:t>
      </w:r>
    </w:p>
    <w:p>
      <w:pPr>
        <w:pStyle w:val="27"/>
      </w:pPr>
      <w:r>
        <w:t>(五)负责依法规范和维护相关</w:t>
      </w:r>
      <w:r>
        <w:rPr>
          <w:rFonts w:hint="eastAsia"/>
          <w:lang w:eastAsia="zh-CN"/>
        </w:rPr>
        <w:t>市</w:t>
      </w:r>
      <w:r>
        <w:t>场经营秩序,依法承担</w:t>
      </w:r>
      <w:r>
        <w:rPr>
          <w:rFonts w:hint="eastAsia"/>
          <w:lang w:eastAsia="zh-CN"/>
        </w:rPr>
        <w:t>市</w:t>
      </w:r>
      <w:r>
        <w:t>场和网络商品交易行为以及有关服务行为的监督管理;负责食品药品和流通领域商品质量监督管理;依法查处违反工商行政管理、质量技术监督、食品药品监督管理法律、法规、规章的行为。</w:t>
      </w:r>
    </w:p>
    <w:p>
      <w:pPr>
        <w:pStyle w:val="27"/>
      </w:pPr>
      <w:r>
        <w:t>(六)负责处理与</w:t>
      </w:r>
      <w:r>
        <w:rPr>
          <w:rFonts w:hint="eastAsia"/>
          <w:lang w:eastAsia="zh-CN"/>
        </w:rPr>
        <w:t>市</w:t>
      </w:r>
      <w:r>
        <w:t>场监督管理相关的咨询、投诉、举报，组织开展有关服务领域消费维权工作;依法查处侵害消费者权益的违法行</w:t>
      </w:r>
    </w:p>
    <w:p>
      <w:pPr>
        <w:pStyle w:val="27"/>
      </w:pPr>
      <w:r>
        <w:t>为;建立完善消费者权益保护网络体系,保护消费者、经营者合法权益。</w:t>
      </w:r>
    </w:p>
    <w:p>
      <w:pPr>
        <w:pStyle w:val="27"/>
      </w:pPr>
      <w:r>
        <w:t>(七)按照职责分工,依法查处违法直销和传销行为;依法监督管理直销企业、直销员及其直销活动。</w:t>
      </w:r>
    </w:p>
    <w:p>
      <w:pPr>
        <w:pStyle w:val="27"/>
      </w:pPr>
      <w:r>
        <w:t>(八)根据授权依法负责垄断协议、滥用</w:t>
      </w:r>
      <w:r>
        <w:rPr>
          <w:rFonts w:hint="eastAsia"/>
          <w:lang w:eastAsia="zh-CN"/>
        </w:rPr>
        <w:t>市</w:t>
      </w:r>
      <w:r>
        <w:t>场支配地位、滥用行政权力排除限制竞争方面的反垄断执法工作(价格垄断行为除外);依法查处不正当竞争、商业贿赂、走私贩私等经济违法行为。</w:t>
      </w:r>
    </w:p>
    <w:p>
      <w:pPr>
        <w:pStyle w:val="27"/>
      </w:pPr>
      <w:r>
        <w:t>(九)依法监督管理经纪人、经纪机构及经纪活动。</w:t>
      </w:r>
    </w:p>
    <w:p>
      <w:pPr>
        <w:pStyle w:val="27"/>
      </w:pPr>
      <w:r>
        <w:t>(十)依法实施合同行政监督管理;负责管理动产抵押物登记;负责监督管理拍卖行为;依法查处合同欺诈等违法行为。</w:t>
      </w:r>
    </w:p>
    <w:p>
      <w:pPr>
        <w:pStyle w:val="27"/>
      </w:pPr>
      <w:r>
        <w:t>(十一)指导广告业发展;负责广告活动的监督管理工作。</w:t>
      </w:r>
    </w:p>
    <w:p>
      <w:pPr>
        <w:pStyle w:val="27"/>
      </w:pPr>
      <w:r>
        <w:t>(十二)组织指导商标管理工作;依法保护商标专用权和查处商标侵权行为;负责驰名商标、著名商标的培育推荐保护工作:负责知名商标的认定工作;负责特殊标志、官方标志的保护。</w:t>
      </w:r>
    </w:p>
    <w:p>
      <w:pPr>
        <w:pStyle w:val="27"/>
      </w:pPr>
      <w:r>
        <w:t>(十三)负责承担食品(含食品添加剂、保健食品、酒类、调味品,下同)生产、流通、消费环节行政许可、监督管理工作,负责制定食品行政许可的实施办法并监督实施;建立完善食品安全隐患排查治理机制;制定食品安全检查年度计划、重大整顿治理方案并组织落实。</w:t>
      </w:r>
    </w:p>
    <w:p>
      <w:pPr>
        <w:pStyle w:val="27"/>
      </w:pPr>
      <w:r>
        <w:t>(十四)负责药品(含中药、民族药，下同)医疗器械相关行政许可和监督管理: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27"/>
      </w:pPr>
      <w:r>
        <w:t>(十五)负责化妆品的监督管理和不良反应监测的管理。</w:t>
      </w:r>
    </w:p>
    <w:p>
      <w:pPr>
        <w:pStyle w:val="27"/>
      </w:pPr>
      <w:r>
        <w:t>(十六)监督实施中药材生产质量管理规范、中药饮片炮制规范</w:t>
      </w:r>
    </w:p>
    <w:p>
      <w:pPr>
        <w:pStyle w:val="27"/>
      </w:pPr>
      <w:r>
        <w:t>(十七)负责制定食品、药品、医疗器械、化妆品监督管理的稽查制度并组织实施,组织查处重大违法行为;监督实施问题产品召回</w:t>
      </w:r>
    </w:p>
    <w:p>
      <w:pPr>
        <w:pStyle w:val="27"/>
      </w:pPr>
      <w:r>
        <w:t>和处置制度。</w:t>
      </w:r>
    </w:p>
    <w:p>
      <w:pPr>
        <w:pStyle w:val="27"/>
      </w:pPr>
      <w:r>
        <w:t>(十八)负责食品药品安全事故应急体系建设;组织和指导食品</w:t>
      </w:r>
    </w:p>
    <w:p>
      <w:pPr>
        <w:pStyle w:val="27"/>
      </w:pPr>
      <w:r>
        <w:t>药品安全事故应急处置和调查处理工作;监督事故查处落实情况。</w:t>
      </w:r>
    </w:p>
    <w:p>
      <w:pPr>
        <w:pStyle w:val="27"/>
      </w:pPr>
      <w:r>
        <w:t>(十九)负责建立食品、药品、医疗器械、化妆品安全信息统一公布制度和重大信息直报制度,公布重大安全信息;研究分析并依法</w:t>
      </w:r>
    </w:p>
    <w:p>
      <w:pPr>
        <w:pStyle w:val="27"/>
      </w:pPr>
      <w:r>
        <w:t>发布</w:t>
      </w:r>
      <w:r>
        <w:rPr>
          <w:rFonts w:hint="eastAsia"/>
          <w:lang w:eastAsia="zh-CN"/>
        </w:rPr>
        <w:t>市</w:t>
      </w:r>
      <w:r>
        <w:t>场主体登记注册基础信息等相关信息,为政府决策和社会公众提供信息服务。</w:t>
      </w:r>
    </w:p>
    <w:p>
      <w:pPr>
        <w:pStyle w:val="27"/>
      </w:pPr>
      <w:r>
        <w:t>(二十)负责制定全县</w:t>
      </w:r>
      <w:r>
        <w:rPr>
          <w:rFonts w:hint="eastAsia"/>
          <w:lang w:eastAsia="zh-CN"/>
        </w:rPr>
        <w:t>市</w:t>
      </w:r>
      <w:r>
        <w:t>场监督管理、食品药品安全科技发展规划并组织实施,推动食品药品检验检测体系、电子监管追溯体系、电子营业执照登记注册便利化体系和信息化建设。</w:t>
      </w:r>
    </w:p>
    <w:p>
      <w:pPr>
        <w:pStyle w:val="27"/>
      </w:pPr>
      <w:r>
        <w:t>(二十一)负责</w:t>
      </w:r>
      <w:r>
        <w:rPr>
          <w:rFonts w:hint="eastAsia"/>
          <w:lang w:eastAsia="zh-CN"/>
        </w:rPr>
        <w:t>市</w:t>
      </w:r>
      <w:r>
        <w:t>场监督管理和食品药品安全宣传、教育培训及对外交流;推进诚信体系建设。</w:t>
      </w:r>
    </w:p>
    <w:p>
      <w:pPr>
        <w:pStyle w:val="27"/>
      </w:pPr>
      <w:r>
        <w:t>(二十二)负责指导和监督全县工商行政管理 工作、食品药品监督管理工作、质量技术监督工作;规范行政执法行为,推动法制建设,完善行政执法与刑事司法衔接机制。</w:t>
      </w:r>
    </w:p>
    <w:p>
      <w:pPr>
        <w:pStyle w:val="27"/>
      </w:pPr>
      <w:r>
        <w:t>(二十三)拟订提高本地区质量水平发展规划及政策措施并组织实施;起草质量技术监督方面的规范性、政策性文件草案;负责与质量技术监督有关的技术规范工作。</w:t>
      </w:r>
    </w:p>
    <w:p>
      <w:pPr>
        <w:pStyle w:val="27"/>
      </w:pPr>
      <w:r>
        <w:t>(二十四)负责质量宏观管理工作。拟订并组织实施质量发展规划和质量奖励制度,推进名牌发展战略,参与全县产品质量诚信体系建设工作;会同有关部门组织实施重大工程设备质量监理单位的监督管理事宜,按职责范围组织产品质量事故调查;监督管理产品防伪工作。</w:t>
      </w:r>
    </w:p>
    <w:p>
      <w:pPr>
        <w:pStyle w:val="27"/>
      </w:pPr>
      <w:r>
        <w:t>(二十五)负责产品质量监督工作。组织开展辖区内产品质量监督抽查等工作;负责辖区内工业产品生产许可证管理和纤维产品质量</w:t>
      </w:r>
    </w:p>
    <w:p>
      <w:pPr>
        <w:pStyle w:val="27"/>
      </w:pPr>
      <w:r>
        <w:t>监督检验工作;组织产品质量仲裁检验;组织开展产品质量安全专项整治工作,依法查处产品质量违法行为;按分工打击假冒伪劣违法活动,组织协调辖区内有关专项打假活动。</w:t>
      </w:r>
    </w:p>
    <w:p>
      <w:pPr>
        <w:pStyle w:val="27"/>
      </w:pPr>
      <w:r>
        <w:t>(二十六)负责监督管理标准化工作。贯彻国家和省、</w:t>
      </w:r>
      <w:r>
        <w:rPr>
          <w:rFonts w:hint="eastAsia"/>
          <w:lang w:eastAsia="zh-CN"/>
        </w:rPr>
        <w:t>市</w:t>
      </w:r>
      <w:r>
        <w:t>标准化工作的法律、法规、方针、政策,并制定具体实施办法;制定标准化工作的规划、计划,对标准实施情况进行监督;指导有关行政主管部门的标准化工作;组织制定县级农业地方标准;管理企业产品标准备案,监督企业按标准组织生产;管理辖区内组织机构代码和商品条形码工作。</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w:t>
            </w:r>
            <w:r>
              <w:rPr>
                <w:rFonts w:hint="eastAsia"/>
                <w:lang w:eastAsia="zh-CN"/>
              </w:rPr>
              <w:t>市</w:t>
            </w:r>
            <w:r>
              <w:t>场监督管理局本级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w:t>
      </w:r>
      <w:r>
        <w:rPr>
          <w:rFonts w:hint="eastAsia"/>
          <w:lang w:eastAsia="zh-CN"/>
        </w:rPr>
        <w:t>市</w:t>
      </w:r>
      <w:r>
        <w:t>场监督管理局机关及所属事业单位的收支包含在部门预算中。</w:t>
      </w:r>
    </w:p>
    <w:p>
      <w:pPr>
        <w:pStyle w:val="19"/>
      </w:pPr>
      <w:r>
        <w:t>1、收入说明</w:t>
      </w:r>
    </w:p>
    <w:p>
      <w:pPr>
        <w:pStyle w:val="19"/>
      </w:pPr>
      <w:r>
        <w:t>反映本部门当年全部收入。2024年预算收入2933.49万元，其中：一般公共预算收入2932.50万元，基金预算收入0.00万元，国有资本经营预算收入0.00万元，财政专户核拨收入0.00万元，单位资金收入0.00万元，上年结转结余0.99万元。</w:t>
      </w:r>
    </w:p>
    <w:p>
      <w:pPr>
        <w:pStyle w:val="19"/>
      </w:pPr>
      <w:r>
        <w:t>2、支出说明</w:t>
      </w:r>
    </w:p>
    <w:p>
      <w:pPr>
        <w:pStyle w:val="19"/>
      </w:pPr>
      <w:r>
        <w:t>收支预算总表支出栏、基本支出表、项目支出表按经济分类和支出功能分类科目编制，反映涞源县</w:t>
      </w:r>
      <w:r>
        <w:rPr>
          <w:rFonts w:hint="eastAsia"/>
          <w:lang w:eastAsia="zh-CN"/>
        </w:rPr>
        <w:t>市</w:t>
      </w:r>
      <w:r>
        <w:t>场监督管理局年度部门预算中支出预算的总体情况。2024年支出预算2933.49万元，其中基本支出2406.98万元，包括人员经费2022.13万元和日常公用经费384.85万元；项目支出526.51万元，主要为主要为重大案件办理经费、</w:t>
      </w:r>
      <w:r>
        <w:rPr>
          <w:rFonts w:hint="eastAsia"/>
          <w:lang w:eastAsia="zh-CN"/>
        </w:rPr>
        <w:t>市</w:t>
      </w:r>
      <w:r>
        <w:t>场监管散煤管控工作经费、</w:t>
      </w:r>
      <w:r>
        <w:rPr>
          <w:rFonts w:hint="eastAsia"/>
          <w:lang w:eastAsia="zh-CN"/>
        </w:rPr>
        <w:t>市</w:t>
      </w:r>
      <w:r>
        <w:t>场监管抽检经费、基层所标准化建设经费、抽样检查费等支出。</w:t>
      </w:r>
    </w:p>
    <w:p>
      <w:pPr>
        <w:pStyle w:val="19"/>
      </w:pPr>
      <w:r>
        <w:t>3、比上年增减情况</w:t>
      </w:r>
    </w:p>
    <w:p>
      <w:pPr>
        <w:pStyle w:val="19"/>
      </w:pPr>
      <w:r>
        <w:t>2024年预算收支安排2933.49万元，较2023年预算减少388.60万元，其中：基本支出减少771.24万元，主要为主要为人员经费和日常公用经费减少。项目支出增加382.65万元，主要为主要为增加了重大案件办理经费和基层所建设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2024年，我部门机关运行经费共计安排384.85万元，主要用于日常维修、办公用房水电费、办公用房取暖费、办公用房物业管理费等日常运行支出。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t>202</w:t>
      </w:r>
      <w:r>
        <w:rPr>
          <w:rFonts w:hint="eastAsia"/>
          <w:lang w:val="en-US" w:eastAsia="zh-CN"/>
        </w:rPr>
        <w:t>4</w:t>
      </w:r>
      <w:r>
        <w:t>年，我部门财政拨款“三公”经费预算安排</w:t>
      </w:r>
      <w:r>
        <w:rPr>
          <w:rFonts w:hint="eastAsia"/>
          <w:lang w:val="en-US" w:eastAsia="zh-CN"/>
        </w:rPr>
        <w:t>86.9</w:t>
      </w:r>
      <w:r>
        <w:t>万元，其中因公出国（境）费0万元，公务用车购置及运行维护费</w:t>
      </w:r>
      <w:r>
        <w:rPr>
          <w:rFonts w:hint="eastAsia"/>
          <w:lang w:val="en-US" w:eastAsia="zh-CN"/>
        </w:rPr>
        <w:t>7</w:t>
      </w:r>
      <w:r>
        <w:t>5.5万元（其中：公务用车购置费</w:t>
      </w:r>
      <w:r>
        <w:rPr>
          <w:rFonts w:hint="eastAsia"/>
          <w:lang w:val="en-US" w:eastAsia="zh-CN"/>
        </w:rPr>
        <w:t>10万</w:t>
      </w:r>
      <w:r>
        <w:t>元，公务用车运行维护费65.5万元），公务接待费</w:t>
      </w:r>
      <w:r>
        <w:rPr>
          <w:rFonts w:hint="eastAsia"/>
          <w:lang w:val="en-US" w:eastAsia="zh-CN"/>
        </w:rPr>
        <w:t>11.4</w:t>
      </w:r>
      <w:r>
        <w:t>万元，</w:t>
      </w:r>
      <w:r>
        <w:rPr>
          <w:rFonts w:hint="eastAsia"/>
          <w:lang w:val="en-US" w:eastAsia="zh-CN"/>
        </w:rPr>
        <w:t>比2023年增加10万元公车购置费。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(一)建立和维护</w:t>
      </w:r>
      <w:r>
        <w:rPr>
          <w:rFonts w:hint="eastAsia"/>
          <w:lang w:eastAsia="zh-CN"/>
        </w:rPr>
        <w:t>市</w:t>
      </w:r>
      <w:r>
        <w:t>场秩序，服务地方经济发展。</w:t>
      </w:r>
    </w:p>
    <w:p>
      <w:pPr>
        <w:pStyle w:val="22"/>
      </w:pPr>
      <w:r>
        <w:t>(二)严厉打击各类违法行为，更好地维护</w:t>
      </w:r>
      <w:r>
        <w:rPr>
          <w:rFonts w:hint="eastAsia"/>
          <w:lang w:eastAsia="zh-CN"/>
        </w:rPr>
        <w:t>市</w:t>
      </w:r>
      <w:r>
        <w:t>场经济和社会秩序。</w:t>
      </w:r>
    </w:p>
    <w:p>
      <w:pPr>
        <w:pStyle w:val="22"/>
      </w:pPr>
      <w:r>
        <w:t>(三)通过调处消费纠纷，组织指导查处侵害消费者合法权益案件，稳定社会秩序，为构建“和谐社会”做出积极的贡献。</w:t>
      </w:r>
    </w:p>
    <w:p>
      <w:pPr>
        <w:pStyle w:val="22"/>
      </w:pPr>
      <w:r>
        <w:t>(三)加强</w:t>
      </w:r>
      <w:r>
        <w:rPr>
          <w:rFonts w:hint="eastAsia"/>
          <w:lang w:eastAsia="zh-CN"/>
        </w:rPr>
        <w:t>市</w:t>
      </w:r>
      <w:r>
        <w:t>场管理能力建设，完成各项工作任务。(四)提高质量管理水平，提升产品质量。(五)加大执法力度，规范执法行为。</w:t>
      </w:r>
    </w:p>
    <w:p>
      <w:pPr>
        <w:pStyle w:val="22"/>
      </w:pPr>
      <w:r>
        <w:t>(六)通过对食品各个环节的强力监管，及时发现食品监管中存在的问题，重点突出食品安全县建设以及做好重大活动和暑期食品安全保障，保障全县食品安全。</w:t>
      </w:r>
    </w:p>
    <w:p>
      <w:pPr>
        <w:pStyle w:val="22"/>
      </w:pPr>
      <w:r>
        <w:t>(七)加强对食品药品安全知识的宣传，鼓励人民群众举报食品药品案件线索，及时发现和查处食品药品制假售假案件，对所有食品药品案件 100%查处，始终保持对食品药品制假售假的零容忍，确保我县不出现重大责任事故。</w:t>
      </w:r>
    </w:p>
    <w:p>
      <w:pPr>
        <w:pStyle w:val="22"/>
      </w:pPr>
      <w:r>
        <w:t>(八)通过对药品和化妆品从研究、生产、流通、销售各个环节的强力监管，及时发现制假售假药问题，重点做好基本药物招标工作和不良反应事件的处置工作。</w:t>
      </w:r>
    </w:p>
    <w:p>
      <w:pPr>
        <w:pStyle w:val="22"/>
      </w:pPr>
      <w:r>
        <w:t>(九)提高我县药物的合格率，对制假售假案件保持高压态势，确保我县药品安全。</w:t>
      </w:r>
    </w:p>
    <w:p>
      <w:pPr>
        <w:pStyle w:val="22"/>
      </w:pPr>
      <w:r>
        <w:t>(十)通过对药品和化妆品流通、销售各个环节的强力监管，及时发现制假售假药问题，重点做好基本药物招标工作和不良反应事件的处置工作。提高我县药物的合格率，对制假售假案件保持高压态势，确保我县药品安全。</w:t>
      </w:r>
    </w:p>
    <w:p>
      <w:pPr>
        <w:pStyle w:val="22"/>
      </w:pPr>
      <w:r>
        <w:t>(十一)负责食品安全监督管理综合协调，推动健全协调联动机制。加强食品药品抽检，及时处置突发事件。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pStyle w:val="23"/>
      </w:pPr>
      <w:r>
        <w:t>分项绩效目标</w:t>
      </w:r>
    </w:p>
    <w:p>
      <w:pPr>
        <w:pStyle w:val="23"/>
      </w:pPr>
      <w:r>
        <w:t>部门职责分类绩效目标情况说明</w:t>
      </w:r>
    </w:p>
    <w:p>
      <w:pPr>
        <w:pStyle w:val="23"/>
      </w:pPr>
      <w:r>
        <w:t>运用行政与法律手段，对</w:t>
      </w:r>
      <w:r>
        <w:rPr>
          <w:rFonts w:hint="eastAsia"/>
          <w:lang w:eastAsia="zh-CN"/>
        </w:rPr>
        <w:t>市</w:t>
      </w:r>
      <w:r>
        <w:t>场经营主体及</w:t>
      </w:r>
      <w:r>
        <w:rPr>
          <w:rFonts w:hint="eastAsia"/>
          <w:lang w:eastAsia="zh-CN"/>
        </w:rPr>
        <w:t>市</w:t>
      </w:r>
      <w:r>
        <w:t>场行为进行行政指导、监督管理。</w:t>
      </w:r>
    </w:p>
    <w:p>
      <w:pPr>
        <w:pStyle w:val="23"/>
      </w:pPr>
      <w:r>
        <w:t>依法查处违法直销和传销行为，依法监督管理直销企业和直销员及其直销活动:根据授权负责垄断协议、滥用</w:t>
      </w:r>
      <w:r>
        <w:rPr>
          <w:rFonts w:hint="eastAsia"/>
          <w:lang w:eastAsia="zh-CN"/>
        </w:rPr>
        <w:t>市</w:t>
      </w:r>
      <w:r>
        <w:t>场支配地位、滥用行政权力排除限制竞争方面的反垄断执法工作。依法查处经济违法行为。</w:t>
      </w:r>
    </w:p>
    <w:p>
      <w:pPr>
        <w:pStyle w:val="23"/>
      </w:pPr>
      <w:r>
        <w:t>组织全县消费者权益保护工作，查处侵害消费者权益的行为;督办处理消费者和经营者投诉举报;指导调解消费纠纷工作;保护消费者合法权益，维护经营者正当利益。组织全县消费者权益保护工作，查处侵害消费者权益的行为;督办处理消费者和经营者投诉举报:指导调解消费纠纷工作:保护消费者合法权益，维护经营者正当利益。组织全县消费者权益保护工作，查处侵害消费者权益的行为;督办处理消费者和经营者投诉举;指导调解消费纠纷工作;保护消费者合法权益，维护经营者正当利益。</w:t>
      </w:r>
    </w:p>
    <w:p>
      <w:pPr>
        <w:pStyle w:val="23"/>
      </w:pPr>
      <w:r>
        <w:t>加强基层队伍建设，开展教育培训及法律服务工作，做好机关后勤保障等其他工作。加强基层队伍建设，开展教育培训及法律服务工作，做好机关后勤保障等其他工作。</w:t>
      </w:r>
    </w:p>
    <w:p>
      <w:pPr>
        <w:pStyle w:val="23"/>
      </w:pPr>
      <w:r>
        <w:t>全县质量监督、产品质量安全监督、标准化、计量、认证认可、特种设备及食品相关产品质量监督管理等。</w:t>
      </w:r>
    </w:p>
    <w:p>
      <w:pPr>
        <w:pStyle w:val="23"/>
      </w:pPr>
      <w:r>
        <w:t>承担质量技术监督执法打假有关的各项工作。</w:t>
      </w:r>
    </w:p>
    <w:p>
      <w:pPr>
        <w:pStyle w:val="23"/>
      </w:pPr>
      <w:r>
        <w:t>开展法规建设、综合管理、人事、离退休干部、党建、计财、内审、监察、宣传、会议、培训、调研等工作。</w:t>
      </w:r>
    </w:p>
    <w:p>
      <w:pPr>
        <w:pStyle w:val="23"/>
      </w:pPr>
      <w:r>
        <w:t>对食品制作流通各个环节进行监管，及时发现和排除食品安全问题，确保大型活动期间的餐饮安全。</w:t>
      </w:r>
    </w:p>
    <w:p>
      <w:pPr>
        <w:pStyle w:val="23"/>
      </w:pPr>
      <w:r>
        <w:t>全面加强对基本药物(医疗器械及包装材料)及化妆品的质量监管指导，监督药品生产企业严格按照药品标准进行生产，做好药物不良反应监测及调查处置工作。</w:t>
      </w:r>
    </w:p>
    <w:p>
      <w:pPr>
        <w:pStyle w:val="23"/>
      </w:pPr>
      <w:r>
        <w:t>组织指导相关工作开展，推动食品药品工作协调联动，承担政务公开和业务宣传工作，加强食品药品能力建设。</w:t>
      </w:r>
    </w:p>
    <w:p>
      <w:pPr>
        <w:pStyle w:val="23"/>
      </w:pPr>
      <w:r>
        <w:t>组织指导相关工作开展，推动食品药品工作协调</w:t>
      </w:r>
    </w:p>
    <w:p>
      <w:pPr>
        <w:pStyle w:val="23"/>
      </w:pPr>
      <w:r>
        <w:t>联动，承担政务公开和业务宣传工作，加强食品药品能力建设，拟定食品药品监管政策，制定有关标准和技术规范，组织指导相关工作开展，推动食品药品工作协调联动，承担政务公开和业务宣传工作，加强食品药品能力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工作保障措施工作保障措施</w:t>
      </w:r>
    </w:p>
    <w:p>
      <w:pPr>
        <w:pStyle w:val="24"/>
      </w:pPr>
      <w:r>
        <w:t>一是强化组织领导，明确工作责任。以确保食品、药械、特种设备安全为核心召开专题会议，强化“红线意识”和“底线思维”，全面落实“党政同责，一岗双责、齐抓共管”、“管行业必须管安全、管生产必须管安全”的要求，严格落实保化监管职能和各项具体措施，切实加强领导，统筹安排，确保工作有序开展。</w:t>
      </w:r>
    </w:p>
    <w:p>
      <w:pPr>
        <w:pStyle w:val="24"/>
      </w:pPr>
      <w:r>
        <w:t>二是强化调查摸底，排查安全隐患。对全县监管单位进行摸底排查，对摸底排查中发现的问题、隐患、违法违规行为及时登记和建档备案，并制定整改措施。</w:t>
      </w:r>
    </w:p>
    <w:p>
      <w:pPr>
        <w:pStyle w:val="24"/>
        <w:sectPr>
          <w:pgSz w:w="16840" w:h="11900" w:orient="landscape"/>
          <w:pgMar w:top="1361" w:right="1020" w:bottom="1361" w:left="1020" w:header="720" w:footer="720" w:gutter="0"/>
          <w:cols w:space="720" w:num="1"/>
        </w:sectPr>
      </w:pPr>
      <w:r>
        <w:t>三是强化重点区域，关注重点问题。结合风险排查工作，加强重点区域监督检查工作，确保</w:t>
      </w:r>
      <w:r>
        <w:rPr>
          <w:rFonts w:hint="eastAsia"/>
          <w:lang w:eastAsia="zh-CN"/>
        </w:rPr>
        <w:t>市</w:t>
      </w:r>
      <w:r>
        <w:t>场安全是强化安全应急工作。严格实行领导带班制度和24小时值班制度，制定合理的值班人员表。严格落实值班人员岗位责任制，杜绝脱岗、缺岗现象，保证信息通畅，确保应急机制的有序运转。</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1、抽样检查费绩效目标表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13063024P000009100018</w:t>
            </w:r>
          </w:p>
        </w:tc>
        <w:tc>
          <w:tcPr>
            <w:tcW w:w="2835" w:type="dxa"/>
            <w:vAlign w:val="center"/>
          </w:tcPr>
          <w:p>
            <w:pPr>
              <w:pStyle w:val="11"/>
            </w:pPr>
            <w:r>
              <w:t>项目名称</w:t>
            </w:r>
          </w:p>
        </w:tc>
        <w:tc>
          <w:tcPr>
            <w:tcW w:w="6094" w:type="dxa"/>
            <w:gridSpan w:val="3"/>
            <w:vAlign w:val="center"/>
          </w:tcPr>
          <w:p>
            <w:pPr>
              <w:pStyle w:val="13"/>
            </w:pPr>
            <w:r>
              <w:t>抽样检查费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lang w:eastAsia="zh-CN"/>
              </w:rPr>
              <w:t>市</w:t>
            </w:r>
            <w:r>
              <w:t>场监督管理局抽检经费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w:t>
            </w:r>
            <w:r>
              <w:rPr>
                <w:rFonts w:hint="eastAsia"/>
                <w:lang w:eastAsia="zh-CN"/>
              </w:rPr>
              <w:t>市</w:t>
            </w:r>
            <w:r>
              <w:t>场监管抽检费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抽检批次</w:t>
            </w:r>
          </w:p>
        </w:tc>
        <w:tc>
          <w:tcPr>
            <w:tcW w:w="2268" w:type="dxa"/>
            <w:vAlign w:val="center"/>
          </w:tcPr>
          <w:p>
            <w:pPr>
              <w:pStyle w:val="13"/>
            </w:pPr>
            <w:r>
              <w:t>≥3000批次</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抽检项目、频率</w:t>
            </w:r>
          </w:p>
        </w:tc>
        <w:tc>
          <w:tcPr>
            <w:tcW w:w="5386" w:type="dxa"/>
            <w:vAlign w:val="center"/>
          </w:tcPr>
          <w:p>
            <w:pPr>
              <w:pStyle w:val="13"/>
            </w:pPr>
            <w:r>
              <w:t>抽检项目、频率</w:t>
            </w:r>
          </w:p>
        </w:tc>
        <w:tc>
          <w:tcPr>
            <w:tcW w:w="2268" w:type="dxa"/>
            <w:vAlign w:val="center"/>
          </w:tcPr>
          <w:p>
            <w:pPr>
              <w:pStyle w:val="13"/>
            </w:pPr>
            <w:r>
              <w:t>≥3000项</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1年度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完成工作所需成本</w:t>
            </w:r>
          </w:p>
        </w:tc>
        <w:tc>
          <w:tcPr>
            <w:tcW w:w="5386" w:type="dxa"/>
            <w:vAlign w:val="center"/>
          </w:tcPr>
          <w:p>
            <w:pPr>
              <w:pStyle w:val="13"/>
            </w:pPr>
            <w:r>
              <w:t>完成工作所需成本</w:t>
            </w:r>
          </w:p>
        </w:tc>
        <w:tc>
          <w:tcPr>
            <w:tcW w:w="2268" w:type="dxa"/>
            <w:vAlign w:val="center"/>
          </w:tcPr>
          <w:p>
            <w:pPr>
              <w:pStyle w:val="13"/>
            </w:pPr>
            <w:r>
              <w:t>≤60百分比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≥90百分比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≥95百分比</w:t>
            </w:r>
          </w:p>
        </w:tc>
        <w:tc>
          <w:tcPr>
            <w:tcW w:w="1276" w:type="dxa"/>
            <w:vAlign w:val="center"/>
          </w:tcPr>
          <w:p>
            <w:pPr>
              <w:pStyle w:val="13"/>
            </w:pPr>
            <w:r>
              <w:t>走访调查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2、基层所标准化建设绩效目标表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13063024P000011100012</w:t>
            </w:r>
          </w:p>
        </w:tc>
        <w:tc>
          <w:tcPr>
            <w:tcW w:w="2835" w:type="dxa"/>
            <w:vAlign w:val="center"/>
          </w:tcPr>
          <w:p>
            <w:pPr>
              <w:pStyle w:val="11"/>
            </w:pPr>
            <w:r>
              <w:t>项目名称</w:t>
            </w:r>
          </w:p>
        </w:tc>
        <w:tc>
          <w:tcPr>
            <w:tcW w:w="6094" w:type="dxa"/>
            <w:gridSpan w:val="3"/>
            <w:vAlign w:val="center"/>
          </w:tcPr>
          <w:p>
            <w:pPr>
              <w:pStyle w:val="13"/>
            </w:pPr>
            <w:r>
              <w:t>基层所标准化建设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lang w:eastAsia="zh-CN"/>
              </w:rPr>
              <w:t>市</w:t>
            </w:r>
            <w:r>
              <w:t>场监管基层所建设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50.00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1.完成基层所标准化建设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建设数量</w:t>
            </w:r>
          </w:p>
        </w:tc>
        <w:tc>
          <w:tcPr>
            <w:tcW w:w="5386" w:type="dxa"/>
            <w:vAlign w:val="center"/>
          </w:tcPr>
          <w:p>
            <w:pPr>
              <w:pStyle w:val="13"/>
            </w:pPr>
            <w:r>
              <w:t>基层所数量</w:t>
            </w:r>
          </w:p>
        </w:tc>
        <w:tc>
          <w:tcPr>
            <w:tcW w:w="2268" w:type="dxa"/>
            <w:vAlign w:val="center"/>
          </w:tcPr>
          <w:p>
            <w:pPr>
              <w:pStyle w:val="13"/>
            </w:pPr>
            <w:r>
              <w:t>≥4个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合格基层所数量</w:t>
            </w:r>
          </w:p>
        </w:tc>
        <w:tc>
          <w:tcPr>
            <w:tcW w:w="2268" w:type="dxa"/>
            <w:vAlign w:val="center"/>
          </w:tcPr>
          <w:p>
            <w:pPr>
              <w:pStyle w:val="13"/>
            </w:pPr>
            <w:r>
              <w:t>≥4个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财政投入</w:t>
            </w:r>
          </w:p>
        </w:tc>
        <w:tc>
          <w:tcPr>
            <w:tcW w:w="5386" w:type="dxa"/>
            <w:vAlign w:val="center"/>
          </w:tcPr>
          <w:p>
            <w:pPr>
              <w:pStyle w:val="13"/>
            </w:pPr>
            <w:r>
              <w:t>财政投入</w:t>
            </w:r>
          </w:p>
        </w:tc>
        <w:tc>
          <w:tcPr>
            <w:tcW w:w="2268" w:type="dxa"/>
            <w:vAlign w:val="center"/>
          </w:tcPr>
          <w:p>
            <w:pPr>
              <w:pStyle w:val="13"/>
            </w:pPr>
            <w:r>
              <w:t>≤60百分比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项目建成效果</w:t>
            </w:r>
          </w:p>
        </w:tc>
        <w:tc>
          <w:tcPr>
            <w:tcW w:w="5386" w:type="dxa"/>
            <w:vAlign w:val="center"/>
          </w:tcPr>
          <w:p>
            <w:pPr>
              <w:pStyle w:val="13"/>
            </w:pPr>
            <w:r>
              <w:t>项目建成效果</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3、较大型超</w:t>
      </w:r>
      <w:r>
        <w:rPr>
          <w:rFonts w:hint="eastAsia" w:ascii="方正仿宋_GBK" w:hAnsi="方正仿宋_GBK" w:eastAsia="方正仿宋_GBK" w:cs="方正仿宋_GBK"/>
          <w:color w:val="000000"/>
          <w:sz w:val="28"/>
          <w:lang w:eastAsia="zh-CN"/>
        </w:rPr>
        <w:t>市</w:t>
      </w:r>
      <w:r>
        <w:rPr>
          <w:rFonts w:ascii="方正仿宋_GBK" w:hAnsi="方正仿宋_GBK" w:eastAsia="方正仿宋_GBK" w:cs="方正仿宋_GBK"/>
          <w:color w:val="000000"/>
          <w:sz w:val="28"/>
        </w:rPr>
        <w:t>建设食品安全快检室经费绩效目标表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13063024P00021110001H</w:t>
            </w:r>
          </w:p>
        </w:tc>
        <w:tc>
          <w:tcPr>
            <w:tcW w:w="2835" w:type="dxa"/>
            <w:vAlign w:val="center"/>
          </w:tcPr>
          <w:p>
            <w:pPr>
              <w:pStyle w:val="11"/>
            </w:pPr>
            <w:r>
              <w:t>项目名称</w:t>
            </w:r>
          </w:p>
        </w:tc>
        <w:tc>
          <w:tcPr>
            <w:tcW w:w="6094" w:type="dxa"/>
            <w:gridSpan w:val="3"/>
            <w:vAlign w:val="center"/>
          </w:tcPr>
          <w:p>
            <w:pPr>
              <w:pStyle w:val="13"/>
            </w:pPr>
            <w:r>
              <w:t>较大型超</w:t>
            </w:r>
            <w:r>
              <w:rPr>
                <w:rFonts w:hint="eastAsia"/>
                <w:lang w:eastAsia="zh-CN"/>
              </w:rPr>
              <w:t>市</w:t>
            </w:r>
            <w:r>
              <w:t>建设食品安全快检室经费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偿还隐形债务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1.实现食品安全监管全链条数据共享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建设数量</w:t>
            </w:r>
          </w:p>
        </w:tc>
        <w:tc>
          <w:tcPr>
            <w:tcW w:w="5386" w:type="dxa"/>
            <w:vAlign w:val="center"/>
          </w:tcPr>
          <w:p>
            <w:pPr>
              <w:pStyle w:val="13"/>
            </w:pPr>
            <w:r>
              <w:t>建设快检室1个</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建设快检室合格率</w:t>
            </w:r>
          </w:p>
        </w:tc>
        <w:tc>
          <w:tcPr>
            <w:tcW w:w="5386" w:type="dxa"/>
            <w:vAlign w:val="center"/>
          </w:tcPr>
          <w:p>
            <w:pPr>
              <w:pStyle w:val="13"/>
            </w:pPr>
            <w:r>
              <w:t>快检室验收合格率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 执行率</w:t>
            </w:r>
          </w:p>
        </w:tc>
        <w:tc>
          <w:tcPr>
            <w:tcW w:w="5386" w:type="dxa"/>
            <w:vAlign w:val="center"/>
          </w:tcPr>
          <w:p>
            <w:pPr>
              <w:pStyle w:val="13"/>
            </w:pPr>
            <w:r>
              <w:t>实际支出÷预算×100%</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数据及时性</w:t>
            </w:r>
          </w:p>
        </w:tc>
        <w:tc>
          <w:tcPr>
            <w:tcW w:w="5386" w:type="dxa"/>
            <w:vAlign w:val="center"/>
          </w:tcPr>
          <w:p>
            <w:pPr>
              <w:pStyle w:val="13"/>
            </w:pPr>
            <w:r>
              <w:t>及时、准确提供数据依据，确保食品安全标准的合规性</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规范</w:t>
            </w:r>
            <w:r>
              <w:rPr>
                <w:rFonts w:hint="eastAsia"/>
                <w:lang w:eastAsia="zh-CN"/>
              </w:rPr>
              <w:t>市</w:t>
            </w:r>
            <w:r>
              <w:t>场</w:t>
            </w:r>
          </w:p>
        </w:tc>
        <w:tc>
          <w:tcPr>
            <w:tcW w:w="5386" w:type="dxa"/>
            <w:vAlign w:val="center"/>
          </w:tcPr>
          <w:p>
            <w:pPr>
              <w:pStyle w:val="13"/>
            </w:pPr>
            <w:r>
              <w:t>防止不合格食品进入流通和消费领域</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加强食品安全监管，维护好食品安全稳定形势</w:t>
            </w:r>
          </w:p>
        </w:tc>
        <w:tc>
          <w:tcPr>
            <w:tcW w:w="2268" w:type="dxa"/>
            <w:vAlign w:val="center"/>
          </w:tcPr>
          <w:p>
            <w:pPr>
              <w:pStyle w:val="13"/>
            </w:pPr>
            <w:r>
              <w:t>有效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食品安全性</w:t>
            </w:r>
          </w:p>
        </w:tc>
        <w:tc>
          <w:tcPr>
            <w:tcW w:w="5386" w:type="dxa"/>
            <w:vAlign w:val="center"/>
          </w:tcPr>
          <w:p>
            <w:pPr>
              <w:pStyle w:val="13"/>
            </w:pPr>
            <w:r>
              <w:t>有助于提前预防和化解食品安全风险</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w:t>
            </w:r>
          </w:p>
        </w:tc>
        <w:tc>
          <w:tcPr>
            <w:tcW w:w="2268" w:type="dxa"/>
            <w:vAlign w:val="center"/>
          </w:tcPr>
          <w:p>
            <w:pPr>
              <w:pStyle w:val="13"/>
            </w:pPr>
            <w:r>
              <w:t>≥90百分比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市</w:t>
      </w:r>
      <w:r>
        <w:rPr>
          <w:rFonts w:ascii="方正仿宋_GBK" w:hAnsi="方正仿宋_GBK" w:eastAsia="方正仿宋_GBK" w:cs="方正仿宋_GBK"/>
          <w:color w:val="000000"/>
          <w:sz w:val="28"/>
        </w:rPr>
        <w:t>场监管抽检经费绩效目标表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13063024P000162100027</w:t>
            </w:r>
          </w:p>
        </w:tc>
        <w:tc>
          <w:tcPr>
            <w:tcW w:w="2835" w:type="dxa"/>
            <w:vAlign w:val="center"/>
          </w:tcPr>
          <w:p>
            <w:pPr>
              <w:pStyle w:val="11"/>
            </w:pPr>
            <w:r>
              <w:t>项目名称</w:t>
            </w:r>
          </w:p>
        </w:tc>
        <w:tc>
          <w:tcPr>
            <w:tcW w:w="6094" w:type="dxa"/>
            <w:gridSpan w:val="3"/>
            <w:vAlign w:val="center"/>
          </w:tcPr>
          <w:p>
            <w:pPr>
              <w:pStyle w:val="13"/>
            </w:pPr>
            <w:r>
              <w:rPr>
                <w:rFonts w:hint="eastAsia"/>
                <w:lang w:eastAsia="zh-CN"/>
              </w:rPr>
              <w:t>市</w:t>
            </w:r>
            <w:r>
              <w:t>场监管抽检经费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lang w:eastAsia="zh-CN"/>
              </w:rPr>
              <w:t>市</w:t>
            </w:r>
            <w:r>
              <w:t>场监管抽检经费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1.1.食品药品抽检</w:t>
            </w:r>
          </w:p>
          <w:p>
            <w:pPr>
              <w:pStyle w:val="13"/>
            </w:pPr>
            <w:r>
              <w:t>2.成品油散煤抽检</w:t>
            </w:r>
          </w:p>
          <w:p>
            <w:pPr>
              <w:pStyle w:val="13"/>
            </w:pPr>
            <w:r>
              <w:t>3.流通领域产品质量抽检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按文件要达到抽检批次数量</w:t>
            </w:r>
          </w:p>
        </w:tc>
        <w:tc>
          <w:tcPr>
            <w:tcW w:w="2268" w:type="dxa"/>
            <w:vAlign w:val="center"/>
          </w:tcPr>
          <w:p>
            <w:pPr>
              <w:pStyle w:val="13"/>
            </w:pPr>
            <w:r>
              <w:t>≥1391批次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任务完成率</w:t>
            </w:r>
          </w:p>
        </w:tc>
        <w:tc>
          <w:tcPr>
            <w:tcW w:w="5386" w:type="dxa"/>
            <w:vAlign w:val="center"/>
          </w:tcPr>
          <w:p>
            <w:pPr>
              <w:pStyle w:val="13"/>
            </w:pPr>
            <w:r>
              <w:t>按批次逐一完成抽检</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实际支出÷预算×100%</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按季度完成抽检任务</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提高产品质量</w:t>
            </w:r>
          </w:p>
        </w:tc>
        <w:tc>
          <w:tcPr>
            <w:tcW w:w="5386" w:type="dxa"/>
            <w:vAlign w:val="center"/>
          </w:tcPr>
          <w:p>
            <w:pPr>
              <w:pStyle w:val="13"/>
            </w:pPr>
            <w:r>
              <w:t>降低产品不良率，提高服务效能</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严把质量产品质量合格关口，使广大人民群众放心消费</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满意度提升</w:t>
            </w:r>
          </w:p>
        </w:tc>
        <w:tc>
          <w:tcPr>
            <w:tcW w:w="5386" w:type="dxa"/>
            <w:vAlign w:val="center"/>
          </w:tcPr>
          <w:p>
            <w:pPr>
              <w:pStyle w:val="13"/>
            </w:pPr>
            <w:r>
              <w:t>服务对象对执法工作知晓率提高</w:t>
            </w:r>
          </w:p>
        </w:tc>
        <w:tc>
          <w:tcPr>
            <w:tcW w:w="2268" w:type="dxa"/>
            <w:vAlign w:val="center"/>
          </w:tcPr>
          <w:p>
            <w:pPr>
              <w:pStyle w:val="13"/>
            </w:pPr>
            <w:r>
              <w:t>≥90百分比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市</w:t>
      </w:r>
      <w:r>
        <w:rPr>
          <w:rFonts w:ascii="方正仿宋_GBK" w:hAnsi="方正仿宋_GBK" w:eastAsia="方正仿宋_GBK" w:cs="方正仿宋_GBK"/>
          <w:color w:val="000000"/>
          <w:sz w:val="28"/>
        </w:rPr>
        <w:t>场监管强制性计量检定检测经费绩效目标表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13063024P000165100028</w:t>
            </w:r>
          </w:p>
        </w:tc>
        <w:tc>
          <w:tcPr>
            <w:tcW w:w="2835" w:type="dxa"/>
            <w:vAlign w:val="center"/>
          </w:tcPr>
          <w:p>
            <w:pPr>
              <w:pStyle w:val="11"/>
            </w:pPr>
            <w:r>
              <w:t>项目名称</w:t>
            </w:r>
          </w:p>
        </w:tc>
        <w:tc>
          <w:tcPr>
            <w:tcW w:w="6094" w:type="dxa"/>
            <w:gridSpan w:val="3"/>
            <w:vAlign w:val="center"/>
          </w:tcPr>
          <w:p>
            <w:pPr>
              <w:pStyle w:val="13"/>
            </w:pPr>
            <w:r>
              <w:rPr>
                <w:rFonts w:hint="eastAsia"/>
                <w:lang w:eastAsia="zh-CN"/>
              </w:rPr>
              <w:t>市</w:t>
            </w:r>
            <w:r>
              <w:t>场监管强制性计量检定检测经费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lang w:eastAsia="zh-CN"/>
              </w:rPr>
              <w:t>市</w:t>
            </w:r>
            <w:r>
              <w:t>场监管强制性计量检定检测经费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1.1.监督计量器具使用单位</w:t>
            </w:r>
          </w:p>
          <w:p>
            <w:pPr>
              <w:pStyle w:val="13"/>
            </w:pPr>
            <w:r>
              <w:t>2.计量器具检验鉴定</w:t>
            </w:r>
          </w:p>
          <w:p>
            <w:pPr>
              <w:pStyle w:val="13"/>
            </w:pPr>
            <w:r>
              <w:t>3.计量器具规范使用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检定数量</w:t>
            </w:r>
          </w:p>
        </w:tc>
        <w:tc>
          <w:tcPr>
            <w:tcW w:w="5386" w:type="dxa"/>
            <w:vAlign w:val="center"/>
          </w:tcPr>
          <w:p>
            <w:pPr>
              <w:pStyle w:val="13"/>
            </w:pPr>
            <w:r>
              <w:t>检定计量器具数量</w:t>
            </w:r>
          </w:p>
        </w:tc>
        <w:tc>
          <w:tcPr>
            <w:tcW w:w="2268" w:type="dxa"/>
            <w:vAlign w:val="center"/>
          </w:tcPr>
          <w:p>
            <w:pPr>
              <w:pStyle w:val="13"/>
            </w:pPr>
            <w:r>
              <w:t>≥4300台/套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检定完成合格率</w:t>
            </w:r>
          </w:p>
        </w:tc>
        <w:tc>
          <w:tcPr>
            <w:tcW w:w="5386" w:type="dxa"/>
            <w:vAlign w:val="center"/>
          </w:tcPr>
          <w:p>
            <w:pPr>
              <w:pStyle w:val="13"/>
            </w:pPr>
            <w:r>
              <w:t>按项目年度计划量的完成百分比</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实际支出÷预算×100%</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项目完成率</w:t>
            </w:r>
          </w:p>
        </w:tc>
        <w:tc>
          <w:tcPr>
            <w:tcW w:w="5386" w:type="dxa"/>
            <w:vAlign w:val="center"/>
          </w:tcPr>
          <w:p>
            <w:pPr>
              <w:pStyle w:val="13"/>
            </w:pPr>
            <w:r>
              <w:t>计量器具按时完成率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资金有限利用率</w:t>
            </w:r>
          </w:p>
        </w:tc>
        <w:tc>
          <w:tcPr>
            <w:tcW w:w="5386" w:type="dxa"/>
            <w:vAlign w:val="center"/>
          </w:tcPr>
          <w:p>
            <w:pPr>
              <w:pStyle w:val="13"/>
            </w:pPr>
            <w:r>
              <w:t>发挥有限资金的最大效益</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通过对全县计量器具的强制性检测检定，净化</w:t>
            </w:r>
            <w:r>
              <w:rPr>
                <w:rFonts w:hint="eastAsia"/>
                <w:lang w:eastAsia="zh-CN"/>
              </w:rPr>
              <w:t>市</w:t>
            </w:r>
            <w:r>
              <w:t>场，优化营商环境，保障消费者切身利益。</w:t>
            </w:r>
          </w:p>
        </w:tc>
        <w:tc>
          <w:tcPr>
            <w:tcW w:w="2268" w:type="dxa"/>
            <w:vAlign w:val="center"/>
          </w:tcPr>
          <w:p>
            <w:pPr>
              <w:pStyle w:val="13"/>
            </w:pPr>
            <w:r>
              <w:t>合理有效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eastAsia="zh-CN"/>
        </w:rPr>
        <w:t>市</w:t>
      </w:r>
      <w:r>
        <w:rPr>
          <w:rFonts w:ascii="方正仿宋_GBK" w:hAnsi="方正仿宋_GBK" w:eastAsia="方正仿宋_GBK" w:cs="方正仿宋_GBK"/>
          <w:color w:val="000000"/>
          <w:sz w:val="28"/>
        </w:rPr>
        <w:t>场监管散煤管控工作经费绩效目标表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13063024P00016310002W</w:t>
            </w:r>
          </w:p>
        </w:tc>
        <w:tc>
          <w:tcPr>
            <w:tcW w:w="2835" w:type="dxa"/>
            <w:vAlign w:val="center"/>
          </w:tcPr>
          <w:p>
            <w:pPr>
              <w:pStyle w:val="11"/>
            </w:pPr>
            <w:r>
              <w:t>项目名称</w:t>
            </w:r>
          </w:p>
        </w:tc>
        <w:tc>
          <w:tcPr>
            <w:tcW w:w="6094" w:type="dxa"/>
            <w:gridSpan w:val="3"/>
            <w:vAlign w:val="center"/>
          </w:tcPr>
          <w:p>
            <w:pPr>
              <w:pStyle w:val="13"/>
            </w:pPr>
            <w:r>
              <w:rPr>
                <w:rFonts w:hint="eastAsia"/>
                <w:lang w:eastAsia="zh-CN"/>
              </w:rPr>
              <w:t>市</w:t>
            </w:r>
            <w:r>
              <w:t>场监管散煤管控工作经费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lang w:eastAsia="zh-CN"/>
              </w:rPr>
              <w:t>市</w:t>
            </w:r>
            <w:r>
              <w:t>场监管散煤管控工作经费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1.严禁劣势散煤流入我县境内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检查站数量</w:t>
            </w:r>
          </w:p>
        </w:tc>
        <w:tc>
          <w:tcPr>
            <w:tcW w:w="5386" w:type="dxa"/>
            <w:vAlign w:val="center"/>
          </w:tcPr>
          <w:p>
            <w:pPr>
              <w:pStyle w:val="13"/>
            </w:pPr>
            <w:r>
              <w:t>加大检查站巡查力度</w:t>
            </w:r>
          </w:p>
        </w:tc>
        <w:tc>
          <w:tcPr>
            <w:tcW w:w="2268" w:type="dxa"/>
            <w:vAlign w:val="center"/>
          </w:tcPr>
          <w:p>
            <w:pPr>
              <w:pStyle w:val="13"/>
            </w:pPr>
            <w:r>
              <w:t>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人员配备</w:t>
            </w:r>
          </w:p>
        </w:tc>
        <w:tc>
          <w:tcPr>
            <w:tcW w:w="5386" w:type="dxa"/>
            <w:vAlign w:val="center"/>
          </w:tcPr>
          <w:p>
            <w:pPr>
              <w:pStyle w:val="13"/>
            </w:pPr>
            <w:r>
              <w:t>人员到位情况</w:t>
            </w:r>
          </w:p>
        </w:tc>
        <w:tc>
          <w:tcPr>
            <w:tcW w:w="2268" w:type="dxa"/>
            <w:vAlign w:val="center"/>
          </w:tcPr>
          <w:p>
            <w:pPr>
              <w:pStyle w:val="13"/>
            </w:pPr>
            <w:r>
              <w:t>39人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实际支出/预算*100%</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按时完成全部项目工作</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煤炭质量</w:t>
            </w:r>
          </w:p>
        </w:tc>
        <w:tc>
          <w:tcPr>
            <w:tcW w:w="5386" w:type="dxa"/>
            <w:vAlign w:val="center"/>
          </w:tcPr>
          <w:p>
            <w:pPr>
              <w:pStyle w:val="13"/>
            </w:pPr>
            <w:r>
              <w:t>提高煤炭质量，增加经济效益</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进一步加大全县劣质散煤管控力度，严格输入管控</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生态效益</w:t>
            </w:r>
          </w:p>
        </w:tc>
        <w:tc>
          <w:tcPr>
            <w:tcW w:w="5386" w:type="dxa"/>
            <w:vAlign w:val="center"/>
          </w:tcPr>
          <w:p>
            <w:pPr>
              <w:pStyle w:val="13"/>
            </w:pPr>
            <w:r>
              <w:t>对自然生态及大气污染治理起到的作用</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收益群众满意度</w:t>
            </w:r>
          </w:p>
        </w:tc>
        <w:tc>
          <w:tcPr>
            <w:tcW w:w="5386" w:type="dxa"/>
            <w:vAlign w:val="center"/>
          </w:tcPr>
          <w:p>
            <w:pPr>
              <w:pStyle w:val="13"/>
            </w:pPr>
            <w:r>
              <w:t>收益群众满意度</w:t>
            </w:r>
          </w:p>
        </w:tc>
        <w:tc>
          <w:tcPr>
            <w:tcW w:w="2268" w:type="dxa"/>
            <w:vAlign w:val="center"/>
          </w:tcPr>
          <w:p>
            <w:pPr>
              <w:pStyle w:val="13"/>
            </w:pPr>
            <w:r>
              <w:t>≥90百分比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市</w:t>
      </w:r>
      <w:r>
        <w:rPr>
          <w:rFonts w:ascii="方正仿宋_GBK" w:hAnsi="方正仿宋_GBK" w:eastAsia="方正仿宋_GBK" w:cs="方正仿宋_GBK"/>
          <w:color w:val="000000"/>
          <w:sz w:val="28"/>
        </w:rPr>
        <w:t>场监管食药安全协管员补助经费绩效目标表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13063024P00016610002X</w:t>
            </w:r>
          </w:p>
        </w:tc>
        <w:tc>
          <w:tcPr>
            <w:tcW w:w="2835" w:type="dxa"/>
            <w:vAlign w:val="center"/>
          </w:tcPr>
          <w:p>
            <w:pPr>
              <w:pStyle w:val="11"/>
            </w:pPr>
            <w:r>
              <w:t>项目名称</w:t>
            </w:r>
          </w:p>
        </w:tc>
        <w:tc>
          <w:tcPr>
            <w:tcW w:w="6094" w:type="dxa"/>
            <w:gridSpan w:val="3"/>
            <w:vAlign w:val="center"/>
          </w:tcPr>
          <w:p>
            <w:pPr>
              <w:pStyle w:val="13"/>
            </w:pPr>
            <w:r>
              <w:rPr>
                <w:rFonts w:hint="eastAsia"/>
                <w:lang w:eastAsia="zh-CN"/>
              </w:rPr>
              <w:t>市</w:t>
            </w:r>
            <w:r>
              <w:t>场监管食药安全协管员补助经费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17.52</w:t>
            </w:r>
          </w:p>
        </w:tc>
        <w:tc>
          <w:tcPr>
            <w:tcW w:w="2835" w:type="dxa"/>
            <w:vAlign w:val="center"/>
          </w:tcPr>
          <w:p>
            <w:pPr>
              <w:pStyle w:val="11"/>
            </w:pPr>
            <w:r>
              <w:t>其中：财政    资金</w:t>
            </w:r>
          </w:p>
        </w:tc>
        <w:tc>
          <w:tcPr>
            <w:tcW w:w="2551" w:type="dxa"/>
            <w:vAlign w:val="center"/>
          </w:tcPr>
          <w:p>
            <w:pPr>
              <w:pStyle w:val="13"/>
            </w:pPr>
            <w:r>
              <w:t>17.52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1.协助</w:t>
            </w:r>
            <w:r>
              <w:rPr>
                <w:rFonts w:hint="eastAsia"/>
                <w:lang w:eastAsia="zh-CN"/>
              </w:rPr>
              <w:t>市</w:t>
            </w:r>
            <w:r>
              <w:t>场监管局做好农村食品药品监管工作</w:t>
            </w:r>
          </w:p>
          <w:p>
            <w:pPr>
              <w:pStyle w:val="13"/>
            </w:pPr>
            <w:r>
              <w:t>2.调动协管员积极性</w:t>
            </w:r>
          </w:p>
          <w:p>
            <w:pPr>
              <w:pStyle w:val="13"/>
            </w:pPr>
            <w:r>
              <w:t>3.落实三级网格化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4.38</w:t>
            </w:r>
          </w:p>
        </w:tc>
        <w:tc>
          <w:tcPr>
            <w:tcW w:w="2835" w:type="dxa"/>
            <w:vAlign w:val="center"/>
          </w:tcPr>
          <w:p>
            <w:pPr>
              <w:pStyle w:val="14"/>
            </w:pPr>
            <w:r>
              <w:t>8.76</w:t>
            </w:r>
          </w:p>
        </w:tc>
        <w:tc>
          <w:tcPr>
            <w:tcW w:w="2551" w:type="dxa"/>
            <w:vAlign w:val="center"/>
          </w:tcPr>
          <w:p>
            <w:pPr>
              <w:pStyle w:val="14"/>
            </w:pPr>
            <w:r>
              <w:t>13.14</w:t>
            </w:r>
          </w:p>
        </w:tc>
        <w:tc>
          <w:tcPr>
            <w:tcW w:w="3543" w:type="dxa"/>
            <w:gridSpan w:val="2"/>
            <w:vAlign w:val="center"/>
          </w:tcPr>
          <w:p>
            <w:pPr>
              <w:pStyle w:val="14"/>
            </w:pPr>
            <w:r>
              <w:t>17.52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1.调动协管员积极性，落实三级网格化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补贴数量</w:t>
            </w:r>
          </w:p>
        </w:tc>
        <w:tc>
          <w:tcPr>
            <w:tcW w:w="5386" w:type="dxa"/>
            <w:vAlign w:val="center"/>
          </w:tcPr>
          <w:p>
            <w:pPr>
              <w:pStyle w:val="13"/>
            </w:pPr>
            <w:r>
              <w:t>本年度协管员补贴工作共292名，12个月</w:t>
            </w:r>
          </w:p>
        </w:tc>
        <w:tc>
          <w:tcPr>
            <w:tcW w:w="2268" w:type="dxa"/>
            <w:vAlign w:val="center"/>
          </w:tcPr>
          <w:p>
            <w:pPr>
              <w:pStyle w:val="13"/>
            </w:pPr>
            <w:r>
              <w:t>292人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发放补贴合规率</w:t>
            </w:r>
          </w:p>
        </w:tc>
        <w:tc>
          <w:tcPr>
            <w:tcW w:w="5386" w:type="dxa"/>
            <w:vAlign w:val="center"/>
          </w:tcPr>
          <w:p>
            <w:pPr>
              <w:pStyle w:val="13"/>
            </w:pPr>
            <w:r>
              <w:t>按规定标准发放补助</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实际支出÷预算×100%</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按季度发放</w:t>
            </w:r>
          </w:p>
        </w:tc>
        <w:tc>
          <w:tcPr>
            <w:tcW w:w="2268" w:type="dxa"/>
            <w:vAlign w:val="center"/>
          </w:tcPr>
          <w:p>
            <w:pPr>
              <w:pStyle w:val="13"/>
            </w:pPr>
            <w:r>
              <w:t>每季度发放一次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群众利益</w:t>
            </w:r>
          </w:p>
        </w:tc>
        <w:tc>
          <w:tcPr>
            <w:tcW w:w="5386" w:type="dxa"/>
            <w:vAlign w:val="center"/>
          </w:tcPr>
          <w:p>
            <w:pPr>
              <w:pStyle w:val="13"/>
            </w:pPr>
            <w:r>
              <w:t>按要求对食品药品进行抽检，保障群众利益</w:t>
            </w:r>
          </w:p>
        </w:tc>
        <w:tc>
          <w:tcPr>
            <w:tcW w:w="2268" w:type="dxa"/>
            <w:vAlign w:val="center"/>
          </w:tcPr>
          <w:p>
            <w:pPr>
              <w:pStyle w:val="13"/>
            </w:pPr>
            <w:r>
              <w:t>有效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食品药品安全性</w:t>
            </w:r>
          </w:p>
        </w:tc>
        <w:tc>
          <w:tcPr>
            <w:tcW w:w="5386" w:type="dxa"/>
            <w:vAlign w:val="center"/>
          </w:tcPr>
          <w:p>
            <w:pPr>
              <w:pStyle w:val="13"/>
            </w:pPr>
            <w:r>
              <w:t>进一步加强基层食品药品安全监管，维护好食品药品安全稳定形势</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食品药品监管能力</w:t>
            </w:r>
          </w:p>
        </w:tc>
        <w:tc>
          <w:tcPr>
            <w:tcW w:w="5386" w:type="dxa"/>
            <w:vAlign w:val="center"/>
          </w:tcPr>
          <w:p>
            <w:pPr>
              <w:pStyle w:val="13"/>
            </w:pPr>
            <w:r>
              <w:t>加强队伍建设，提高业务水平，维护社会稳定发展</w:t>
            </w:r>
          </w:p>
        </w:tc>
        <w:tc>
          <w:tcPr>
            <w:tcW w:w="2268" w:type="dxa"/>
            <w:vAlign w:val="center"/>
          </w:tcPr>
          <w:p>
            <w:pPr>
              <w:pStyle w:val="13"/>
            </w:pPr>
            <w:r>
              <w:t>有效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8、提前下达2024年省级</w:t>
      </w:r>
      <w:r>
        <w:rPr>
          <w:rFonts w:hint="eastAsia" w:ascii="方正仿宋_GBK" w:hAnsi="方正仿宋_GBK" w:eastAsia="方正仿宋_GBK" w:cs="方正仿宋_GBK"/>
          <w:color w:val="000000"/>
          <w:sz w:val="28"/>
          <w:lang w:eastAsia="zh-CN"/>
        </w:rPr>
        <w:t>市</w:t>
      </w:r>
      <w:r>
        <w:rPr>
          <w:rFonts w:ascii="方正仿宋_GBK" w:hAnsi="方正仿宋_GBK" w:eastAsia="方正仿宋_GBK" w:cs="方正仿宋_GBK"/>
          <w:color w:val="000000"/>
          <w:sz w:val="28"/>
        </w:rPr>
        <w:t>场监管补助经费绩效目标表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13063024P00001710004Y</w:t>
            </w:r>
          </w:p>
        </w:tc>
        <w:tc>
          <w:tcPr>
            <w:tcW w:w="2835" w:type="dxa"/>
            <w:vAlign w:val="center"/>
          </w:tcPr>
          <w:p>
            <w:pPr>
              <w:pStyle w:val="11"/>
            </w:pPr>
            <w:r>
              <w:t>项目名称</w:t>
            </w:r>
          </w:p>
        </w:tc>
        <w:tc>
          <w:tcPr>
            <w:tcW w:w="6094" w:type="dxa"/>
            <w:gridSpan w:val="3"/>
            <w:vAlign w:val="center"/>
          </w:tcPr>
          <w:p>
            <w:pPr>
              <w:pStyle w:val="13"/>
            </w:pPr>
            <w:r>
              <w:t>提前下达2024年省级</w:t>
            </w:r>
            <w:r>
              <w:rPr>
                <w:rFonts w:hint="eastAsia"/>
                <w:lang w:eastAsia="zh-CN"/>
              </w:rPr>
              <w:t>市</w:t>
            </w:r>
            <w:r>
              <w:t>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w:t>
            </w:r>
          </w:p>
        </w:tc>
        <w:tc>
          <w:tcPr>
            <w:tcW w:w="2835" w:type="dxa"/>
            <w:vAlign w:val="center"/>
          </w:tcPr>
          <w:p>
            <w:pPr>
              <w:pStyle w:val="11"/>
            </w:pPr>
            <w:r>
              <w:t>其中：财政    资金</w:t>
            </w:r>
          </w:p>
        </w:tc>
        <w:tc>
          <w:tcPr>
            <w:tcW w:w="2551" w:type="dxa"/>
            <w:vAlign w:val="center"/>
          </w:tcPr>
          <w:p>
            <w:pPr>
              <w:pStyle w:val="13"/>
            </w:pPr>
            <w:r>
              <w:t>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2024年省级转移支付</w:t>
            </w:r>
            <w:r>
              <w:rPr>
                <w:rFonts w:hint="eastAsia"/>
                <w:lang w:eastAsia="zh-CN"/>
              </w:rPr>
              <w:t>市</w:t>
            </w:r>
            <w:r>
              <w:t>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66.00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1.1.加强基层所标准化建设，提升正规化建设；2.通过开展专项整治行动，净化</w:t>
            </w:r>
            <w:r>
              <w:rPr>
                <w:rFonts w:hint="eastAsia"/>
                <w:lang w:eastAsia="zh-CN"/>
              </w:rPr>
              <w:t>市</w:t>
            </w:r>
            <w:r>
              <w:t>场环境，促进</w:t>
            </w:r>
            <w:r>
              <w:rPr>
                <w:rFonts w:hint="eastAsia"/>
                <w:lang w:eastAsia="zh-CN"/>
              </w:rPr>
              <w:t>市</w:t>
            </w:r>
            <w:r>
              <w:t>场主体健康发展；3.改善执法装备，提升基层</w:t>
            </w:r>
            <w:r>
              <w:rPr>
                <w:rFonts w:hint="eastAsia"/>
                <w:lang w:eastAsia="zh-CN"/>
              </w:rPr>
              <w:t>市</w:t>
            </w:r>
            <w:r>
              <w:t>场监管部门执法能力。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基层所能力提升数量</w:t>
            </w:r>
          </w:p>
        </w:tc>
        <w:tc>
          <w:tcPr>
            <w:tcW w:w="5386" w:type="dxa"/>
            <w:vAlign w:val="center"/>
          </w:tcPr>
          <w:p>
            <w:pPr>
              <w:pStyle w:val="13"/>
            </w:pPr>
            <w:r>
              <w:t>基层所能力提升数量</w:t>
            </w:r>
          </w:p>
        </w:tc>
        <w:tc>
          <w:tcPr>
            <w:tcW w:w="2268" w:type="dxa"/>
            <w:vAlign w:val="center"/>
          </w:tcPr>
          <w:p>
            <w:pPr>
              <w:pStyle w:val="13"/>
            </w:pPr>
            <w:r>
              <w:t>2个</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rPr>
                <w:rFonts w:hint="eastAsia"/>
                <w:lang w:eastAsia="zh-CN"/>
              </w:rPr>
              <w:t>市</w:t>
            </w:r>
            <w:r>
              <w:t>场专项整治行动次数</w:t>
            </w:r>
          </w:p>
        </w:tc>
        <w:tc>
          <w:tcPr>
            <w:tcW w:w="5386" w:type="dxa"/>
            <w:vAlign w:val="center"/>
          </w:tcPr>
          <w:p>
            <w:pPr>
              <w:pStyle w:val="13"/>
            </w:pPr>
            <w:r>
              <w:rPr>
                <w:rFonts w:hint="eastAsia"/>
                <w:lang w:eastAsia="zh-CN"/>
              </w:rPr>
              <w:t>市</w:t>
            </w:r>
            <w:r>
              <w:t>场专项整治行动次数</w:t>
            </w:r>
          </w:p>
        </w:tc>
        <w:tc>
          <w:tcPr>
            <w:tcW w:w="2268" w:type="dxa"/>
            <w:vAlign w:val="center"/>
          </w:tcPr>
          <w:p>
            <w:pPr>
              <w:pStyle w:val="13"/>
            </w:pPr>
            <w:r>
              <w:t>≥5次</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购置执法交通工具数量</w:t>
            </w:r>
          </w:p>
        </w:tc>
        <w:tc>
          <w:tcPr>
            <w:tcW w:w="5386" w:type="dxa"/>
            <w:vAlign w:val="center"/>
          </w:tcPr>
          <w:p>
            <w:pPr>
              <w:pStyle w:val="13"/>
            </w:pPr>
            <w:r>
              <w:t>购置执法交通工具数量</w:t>
            </w:r>
          </w:p>
        </w:tc>
        <w:tc>
          <w:tcPr>
            <w:tcW w:w="2268" w:type="dxa"/>
            <w:vAlign w:val="center"/>
          </w:tcPr>
          <w:p>
            <w:pPr>
              <w:pStyle w:val="13"/>
            </w:pPr>
            <w:r>
              <w:t>11辆</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基层所能力提升验收合格率</w:t>
            </w:r>
          </w:p>
        </w:tc>
        <w:tc>
          <w:tcPr>
            <w:tcW w:w="5386" w:type="dxa"/>
            <w:vAlign w:val="center"/>
          </w:tcPr>
          <w:p>
            <w:pPr>
              <w:pStyle w:val="13"/>
            </w:pPr>
            <w:r>
              <w:t>基层所能力提升验收合格率</w:t>
            </w:r>
          </w:p>
        </w:tc>
        <w:tc>
          <w:tcPr>
            <w:tcW w:w="2268" w:type="dxa"/>
            <w:vAlign w:val="center"/>
          </w:tcPr>
          <w:p>
            <w:pPr>
              <w:pStyle w:val="13"/>
            </w:pPr>
            <w:r>
              <w:t>100百分比</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购置执法交通工具验收合格率</w:t>
            </w:r>
          </w:p>
        </w:tc>
        <w:tc>
          <w:tcPr>
            <w:tcW w:w="5386" w:type="dxa"/>
            <w:vAlign w:val="center"/>
          </w:tcPr>
          <w:p>
            <w:pPr>
              <w:pStyle w:val="13"/>
            </w:pPr>
            <w:r>
              <w:t>购置执法交通工具验收合格率</w:t>
            </w:r>
          </w:p>
        </w:tc>
        <w:tc>
          <w:tcPr>
            <w:tcW w:w="2268" w:type="dxa"/>
            <w:vAlign w:val="center"/>
          </w:tcPr>
          <w:p>
            <w:pPr>
              <w:pStyle w:val="13"/>
            </w:pPr>
            <w:r>
              <w:t>100百分比</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rPr>
                <w:rFonts w:hint="eastAsia"/>
                <w:lang w:eastAsia="zh-CN"/>
              </w:rPr>
              <w:t>市</w:t>
            </w:r>
            <w:r>
              <w:t>场专项整治行动计划完成率</w:t>
            </w:r>
          </w:p>
        </w:tc>
        <w:tc>
          <w:tcPr>
            <w:tcW w:w="5386" w:type="dxa"/>
            <w:vAlign w:val="center"/>
          </w:tcPr>
          <w:p>
            <w:pPr>
              <w:pStyle w:val="13"/>
            </w:pPr>
            <w:r>
              <w:rPr>
                <w:rFonts w:hint="eastAsia"/>
                <w:lang w:eastAsia="zh-CN"/>
              </w:rPr>
              <w:t>市</w:t>
            </w:r>
            <w:r>
              <w:t>场专项整治行动计划完成率</w:t>
            </w:r>
          </w:p>
        </w:tc>
        <w:tc>
          <w:tcPr>
            <w:tcW w:w="2268" w:type="dxa"/>
            <w:vAlign w:val="center"/>
          </w:tcPr>
          <w:p>
            <w:pPr>
              <w:pStyle w:val="13"/>
            </w:pPr>
            <w:r>
              <w:t>≥90百分比</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特种设备定检完成率</w:t>
            </w:r>
          </w:p>
        </w:tc>
        <w:tc>
          <w:tcPr>
            <w:tcW w:w="5386" w:type="dxa"/>
            <w:vAlign w:val="center"/>
          </w:tcPr>
          <w:p>
            <w:pPr>
              <w:pStyle w:val="13"/>
            </w:pPr>
            <w:r>
              <w:t>特种设备定检完成率</w:t>
            </w:r>
          </w:p>
        </w:tc>
        <w:tc>
          <w:tcPr>
            <w:tcW w:w="2268" w:type="dxa"/>
            <w:vAlign w:val="center"/>
          </w:tcPr>
          <w:p>
            <w:pPr>
              <w:pStyle w:val="13"/>
            </w:pPr>
            <w:r>
              <w:t>≥90百分比</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基层所能力提升完成时限</w:t>
            </w:r>
          </w:p>
        </w:tc>
        <w:tc>
          <w:tcPr>
            <w:tcW w:w="5386" w:type="dxa"/>
            <w:vAlign w:val="center"/>
          </w:tcPr>
          <w:p>
            <w:pPr>
              <w:pStyle w:val="13"/>
            </w:pPr>
            <w:r>
              <w:t>基层所能力提升完成时限</w:t>
            </w:r>
          </w:p>
        </w:tc>
        <w:tc>
          <w:tcPr>
            <w:tcW w:w="2268" w:type="dxa"/>
            <w:vAlign w:val="center"/>
          </w:tcPr>
          <w:p>
            <w:pPr>
              <w:pStyle w:val="13"/>
            </w:pPr>
            <w:r>
              <w:t>按任务要求时间</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购置执法交通工具时限</w:t>
            </w:r>
          </w:p>
        </w:tc>
        <w:tc>
          <w:tcPr>
            <w:tcW w:w="5386" w:type="dxa"/>
            <w:vAlign w:val="center"/>
          </w:tcPr>
          <w:p>
            <w:pPr>
              <w:pStyle w:val="13"/>
            </w:pPr>
            <w:r>
              <w:t>购置执法交通工具时限</w:t>
            </w:r>
          </w:p>
        </w:tc>
        <w:tc>
          <w:tcPr>
            <w:tcW w:w="2268" w:type="dxa"/>
            <w:vAlign w:val="center"/>
          </w:tcPr>
          <w:p>
            <w:pPr>
              <w:pStyle w:val="13"/>
            </w:pPr>
            <w:r>
              <w:t>2024年底前</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rPr>
                <w:rFonts w:hint="eastAsia"/>
                <w:lang w:eastAsia="zh-CN"/>
              </w:rPr>
              <w:t>市</w:t>
            </w:r>
            <w:r>
              <w:t>场专项整治行动完成时限</w:t>
            </w:r>
          </w:p>
        </w:tc>
        <w:tc>
          <w:tcPr>
            <w:tcW w:w="5386" w:type="dxa"/>
            <w:vAlign w:val="center"/>
          </w:tcPr>
          <w:p>
            <w:pPr>
              <w:pStyle w:val="13"/>
            </w:pPr>
            <w:r>
              <w:rPr>
                <w:rFonts w:hint="eastAsia"/>
                <w:lang w:eastAsia="zh-CN"/>
              </w:rPr>
              <w:t>市</w:t>
            </w:r>
            <w:r>
              <w:t>场专项整治行动完成时限</w:t>
            </w:r>
          </w:p>
        </w:tc>
        <w:tc>
          <w:tcPr>
            <w:tcW w:w="2268" w:type="dxa"/>
            <w:vAlign w:val="center"/>
          </w:tcPr>
          <w:p>
            <w:pPr>
              <w:pStyle w:val="13"/>
            </w:pPr>
            <w:r>
              <w:t>按计划要求时间</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特种设备检定完成时限</w:t>
            </w:r>
          </w:p>
        </w:tc>
        <w:tc>
          <w:tcPr>
            <w:tcW w:w="5386" w:type="dxa"/>
            <w:vAlign w:val="center"/>
          </w:tcPr>
          <w:p>
            <w:pPr>
              <w:pStyle w:val="13"/>
            </w:pPr>
            <w:r>
              <w:t>特种设备检定完成时限</w:t>
            </w:r>
          </w:p>
        </w:tc>
        <w:tc>
          <w:tcPr>
            <w:tcW w:w="2268" w:type="dxa"/>
            <w:vAlign w:val="center"/>
          </w:tcPr>
          <w:p>
            <w:pPr>
              <w:pStyle w:val="13"/>
            </w:pPr>
            <w:r>
              <w:t>2024年底前</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单个基层所能力提升成本</w:t>
            </w:r>
          </w:p>
        </w:tc>
        <w:tc>
          <w:tcPr>
            <w:tcW w:w="5386" w:type="dxa"/>
            <w:vAlign w:val="center"/>
          </w:tcPr>
          <w:p>
            <w:pPr>
              <w:pStyle w:val="13"/>
            </w:pPr>
            <w:r>
              <w:t>单个基层所能力提升成本</w:t>
            </w:r>
          </w:p>
        </w:tc>
        <w:tc>
          <w:tcPr>
            <w:tcW w:w="2268" w:type="dxa"/>
            <w:vAlign w:val="center"/>
          </w:tcPr>
          <w:p>
            <w:pPr>
              <w:pStyle w:val="13"/>
            </w:pPr>
            <w:r>
              <w:t>≤20万元</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购置单辆执法交通工具盒成本</w:t>
            </w:r>
          </w:p>
        </w:tc>
        <w:tc>
          <w:tcPr>
            <w:tcW w:w="5386" w:type="dxa"/>
            <w:vAlign w:val="center"/>
          </w:tcPr>
          <w:p>
            <w:pPr>
              <w:pStyle w:val="13"/>
            </w:pPr>
            <w:r>
              <w:t>购置单辆执法交通工具盒成本</w:t>
            </w:r>
          </w:p>
        </w:tc>
        <w:tc>
          <w:tcPr>
            <w:tcW w:w="2268" w:type="dxa"/>
            <w:vAlign w:val="center"/>
          </w:tcPr>
          <w:p>
            <w:pPr>
              <w:pStyle w:val="13"/>
            </w:pPr>
            <w:r>
              <w:t>≤15万元</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单项</w:t>
            </w:r>
            <w:r>
              <w:rPr>
                <w:rFonts w:hint="eastAsia"/>
                <w:lang w:eastAsia="zh-CN"/>
              </w:rPr>
              <w:t>市</w:t>
            </w:r>
            <w:r>
              <w:t>场专项整治行动成本</w:t>
            </w:r>
          </w:p>
        </w:tc>
        <w:tc>
          <w:tcPr>
            <w:tcW w:w="5386" w:type="dxa"/>
            <w:vAlign w:val="center"/>
          </w:tcPr>
          <w:p>
            <w:pPr>
              <w:pStyle w:val="13"/>
            </w:pPr>
            <w:r>
              <w:t>单项</w:t>
            </w:r>
            <w:r>
              <w:rPr>
                <w:rFonts w:hint="eastAsia"/>
                <w:lang w:eastAsia="zh-CN"/>
              </w:rPr>
              <w:t>市</w:t>
            </w:r>
            <w:r>
              <w:t>场专项整治行动成本</w:t>
            </w:r>
          </w:p>
        </w:tc>
        <w:tc>
          <w:tcPr>
            <w:tcW w:w="2268" w:type="dxa"/>
            <w:vAlign w:val="center"/>
          </w:tcPr>
          <w:p>
            <w:pPr>
              <w:pStyle w:val="13"/>
            </w:pPr>
            <w:r>
              <w:t>≤5万元</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0次</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w:t>
            </w:r>
            <w:r>
              <w:rPr>
                <w:rFonts w:hint="eastAsia"/>
                <w:lang w:eastAsia="zh-CN"/>
              </w:rPr>
              <w:t>市</w:t>
            </w:r>
            <w:r>
              <w:t>场监管工作满意度</w:t>
            </w:r>
          </w:p>
        </w:tc>
        <w:tc>
          <w:tcPr>
            <w:tcW w:w="5386" w:type="dxa"/>
            <w:vAlign w:val="center"/>
          </w:tcPr>
          <w:p>
            <w:pPr>
              <w:pStyle w:val="13"/>
            </w:pPr>
            <w:r>
              <w:t>社会反馈意见对</w:t>
            </w:r>
            <w:r>
              <w:rPr>
                <w:rFonts w:hint="eastAsia"/>
                <w:lang w:eastAsia="zh-CN"/>
              </w:rPr>
              <w:t>市</w:t>
            </w:r>
            <w:r>
              <w:t>场监管工作满意度</w:t>
            </w:r>
          </w:p>
        </w:tc>
        <w:tc>
          <w:tcPr>
            <w:tcW w:w="2268" w:type="dxa"/>
            <w:vAlign w:val="center"/>
          </w:tcPr>
          <w:p>
            <w:pPr>
              <w:pStyle w:val="13"/>
            </w:pPr>
            <w:r>
              <w:t>≥90百分比</w:t>
            </w:r>
          </w:p>
        </w:tc>
        <w:tc>
          <w:tcPr>
            <w:tcW w:w="1276" w:type="dxa"/>
            <w:vAlign w:val="center"/>
          </w:tcPr>
          <w:p>
            <w:pPr>
              <w:pStyle w:val="13"/>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9、重大案件办理经费绩效目标表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13063024P00001010001C</w:t>
            </w:r>
          </w:p>
        </w:tc>
        <w:tc>
          <w:tcPr>
            <w:tcW w:w="2835" w:type="dxa"/>
            <w:vAlign w:val="center"/>
          </w:tcPr>
          <w:p>
            <w:pPr>
              <w:pStyle w:val="11"/>
            </w:pPr>
            <w:r>
              <w:t>项目名称</w:t>
            </w:r>
          </w:p>
        </w:tc>
        <w:tc>
          <w:tcPr>
            <w:tcW w:w="6094" w:type="dxa"/>
            <w:gridSpan w:val="3"/>
            <w:vAlign w:val="center"/>
          </w:tcPr>
          <w:p>
            <w:pPr>
              <w:pStyle w:val="13"/>
            </w:pPr>
            <w:r>
              <w:t>重大案件办理经费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重大案件办理经费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1.重大案件办理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办理案件数</w:t>
            </w:r>
          </w:p>
        </w:tc>
        <w:tc>
          <w:tcPr>
            <w:tcW w:w="5386" w:type="dxa"/>
            <w:vAlign w:val="center"/>
          </w:tcPr>
          <w:p>
            <w:pPr>
              <w:pStyle w:val="13"/>
            </w:pPr>
            <w:r>
              <w:t>办理重大案件数</w:t>
            </w:r>
          </w:p>
        </w:tc>
        <w:tc>
          <w:tcPr>
            <w:tcW w:w="2268" w:type="dxa"/>
            <w:vAlign w:val="center"/>
          </w:tcPr>
          <w:p>
            <w:pPr>
              <w:pStyle w:val="13"/>
            </w:pPr>
            <w:r>
              <w:t>≥1件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200万元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按时支出</w:t>
            </w:r>
          </w:p>
        </w:tc>
        <w:tc>
          <w:tcPr>
            <w:tcW w:w="5386" w:type="dxa"/>
            <w:vAlign w:val="center"/>
          </w:tcPr>
          <w:p>
            <w:pPr>
              <w:pStyle w:val="13"/>
            </w:pPr>
            <w:r>
              <w:t>按时支出</w:t>
            </w:r>
          </w:p>
        </w:tc>
        <w:tc>
          <w:tcPr>
            <w:tcW w:w="2268" w:type="dxa"/>
            <w:vAlign w:val="center"/>
          </w:tcPr>
          <w:p>
            <w:pPr>
              <w:pStyle w:val="13"/>
            </w:pPr>
            <w:r>
              <w:t>1年度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项目总预算控制额</w:t>
            </w:r>
          </w:p>
        </w:tc>
        <w:tc>
          <w:tcPr>
            <w:tcW w:w="2268" w:type="dxa"/>
            <w:vAlign w:val="center"/>
          </w:tcPr>
          <w:p>
            <w:pPr>
              <w:pStyle w:val="13"/>
            </w:pPr>
            <w:r>
              <w:t>≤60百分比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10、涞源县财政局关于提前下达2023年</w:t>
      </w:r>
      <w:r>
        <w:rPr>
          <w:rFonts w:hint="eastAsia" w:ascii="方正仿宋_GBK" w:hAnsi="方正仿宋_GBK" w:eastAsia="方正仿宋_GBK" w:cs="方正仿宋_GBK"/>
          <w:color w:val="000000"/>
          <w:sz w:val="28"/>
          <w:lang w:eastAsia="zh-CN"/>
        </w:rPr>
        <w:t>市</w:t>
      </w:r>
      <w:r>
        <w:rPr>
          <w:rFonts w:ascii="方正仿宋_GBK" w:hAnsi="方正仿宋_GBK" w:eastAsia="方正仿宋_GBK" w:cs="方正仿宋_GBK"/>
          <w:color w:val="000000"/>
          <w:sz w:val="28"/>
        </w:rPr>
        <w:t>场监管局专项补助经费的通知绩效目标表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13063023P000004100021</w:t>
            </w:r>
          </w:p>
        </w:tc>
        <w:tc>
          <w:tcPr>
            <w:tcW w:w="2835" w:type="dxa"/>
            <w:vAlign w:val="center"/>
          </w:tcPr>
          <w:p>
            <w:pPr>
              <w:pStyle w:val="11"/>
            </w:pPr>
            <w:r>
              <w:t>项目名称</w:t>
            </w:r>
          </w:p>
        </w:tc>
        <w:tc>
          <w:tcPr>
            <w:tcW w:w="6094" w:type="dxa"/>
            <w:gridSpan w:val="3"/>
            <w:vAlign w:val="center"/>
          </w:tcPr>
          <w:p>
            <w:pPr>
              <w:pStyle w:val="13"/>
            </w:pPr>
            <w:r>
              <w:t>涞源县财政局关于提前下达2023年</w:t>
            </w:r>
            <w:r>
              <w:rPr>
                <w:rFonts w:hint="eastAsia"/>
                <w:lang w:eastAsia="zh-CN"/>
              </w:rPr>
              <w:t>市</w:t>
            </w:r>
            <w:r>
              <w:t>场监管局专项补助经费的通知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0.99</w:t>
            </w:r>
          </w:p>
        </w:tc>
        <w:tc>
          <w:tcPr>
            <w:tcW w:w="2835" w:type="dxa"/>
            <w:vAlign w:val="center"/>
          </w:tcPr>
          <w:p>
            <w:pPr>
              <w:pStyle w:val="11"/>
            </w:pPr>
            <w:r>
              <w:t>其中：财政    资金</w:t>
            </w:r>
          </w:p>
        </w:tc>
        <w:tc>
          <w:tcPr>
            <w:tcW w:w="2551" w:type="dxa"/>
            <w:vAlign w:val="center"/>
          </w:tcPr>
          <w:p>
            <w:pPr>
              <w:pStyle w:val="13"/>
            </w:pPr>
            <w:r>
              <w:t>0.99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lang w:eastAsia="zh-CN"/>
              </w:rPr>
              <w:t>市</w:t>
            </w:r>
            <w:r>
              <w:t>场监管提前下达2023年</w:t>
            </w:r>
            <w:r>
              <w:rPr>
                <w:rFonts w:hint="eastAsia"/>
                <w:lang w:eastAsia="zh-CN"/>
              </w:rPr>
              <w:t>市</w:t>
            </w:r>
            <w:r>
              <w:t>场监管经费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0.99</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修缮改造任务完成率（%）</w:t>
            </w:r>
          </w:p>
        </w:tc>
        <w:tc>
          <w:tcPr>
            <w:tcW w:w="5386" w:type="dxa"/>
            <w:vAlign w:val="center"/>
          </w:tcPr>
          <w:p>
            <w:pPr>
              <w:pStyle w:val="13"/>
            </w:pPr>
            <w:r>
              <w:t>基层所标准化，规范化建设试点</w:t>
            </w:r>
          </w:p>
        </w:tc>
        <w:tc>
          <w:tcPr>
            <w:tcW w:w="2268" w:type="dxa"/>
            <w:vAlign w:val="center"/>
          </w:tcPr>
          <w:p>
            <w:pPr>
              <w:pStyle w:val="13"/>
            </w:pPr>
            <w:r>
              <w:t>1个</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出去执法力量*人次</w:t>
            </w:r>
          </w:p>
        </w:tc>
        <w:tc>
          <w:tcPr>
            <w:tcW w:w="5386" w:type="dxa"/>
            <w:vAlign w:val="center"/>
          </w:tcPr>
          <w:p>
            <w:pPr>
              <w:pStyle w:val="13"/>
            </w:pPr>
            <w:r>
              <w:t>出去执法力量*人次</w:t>
            </w:r>
          </w:p>
        </w:tc>
        <w:tc>
          <w:tcPr>
            <w:tcW w:w="2268" w:type="dxa"/>
            <w:vAlign w:val="center"/>
          </w:tcPr>
          <w:p>
            <w:pPr>
              <w:pStyle w:val="13"/>
            </w:pPr>
            <w:r>
              <w:t>≥5次</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1年</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检验成本率</w:t>
            </w:r>
          </w:p>
        </w:tc>
        <w:tc>
          <w:tcPr>
            <w:tcW w:w="5386" w:type="dxa"/>
            <w:vAlign w:val="center"/>
          </w:tcPr>
          <w:p>
            <w:pPr>
              <w:pStyle w:val="13"/>
            </w:pPr>
            <w:r>
              <w:t>检验检测平均成本</w:t>
            </w:r>
          </w:p>
        </w:tc>
        <w:tc>
          <w:tcPr>
            <w:tcW w:w="2268" w:type="dxa"/>
            <w:vAlign w:val="center"/>
          </w:tcPr>
          <w:p>
            <w:pPr>
              <w:pStyle w:val="13"/>
            </w:pPr>
            <w:r>
              <w:t>≤3800元/批次</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计划完成率</w:t>
            </w:r>
          </w:p>
        </w:tc>
        <w:tc>
          <w:tcPr>
            <w:tcW w:w="5386" w:type="dxa"/>
            <w:vAlign w:val="center"/>
          </w:tcPr>
          <w:p>
            <w:pPr>
              <w:pStyle w:val="13"/>
            </w:pPr>
            <w:r>
              <w:t>完成率</w:t>
            </w:r>
          </w:p>
        </w:tc>
        <w:tc>
          <w:tcPr>
            <w:tcW w:w="2268" w:type="dxa"/>
            <w:vAlign w:val="center"/>
          </w:tcPr>
          <w:p>
            <w:pPr>
              <w:pStyle w:val="13"/>
            </w:pPr>
            <w:r>
              <w:t>≥90百分比</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监管计划完成率</w:t>
            </w:r>
          </w:p>
        </w:tc>
        <w:tc>
          <w:tcPr>
            <w:tcW w:w="2268" w:type="dxa"/>
            <w:vAlign w:val="center"/>
          </w:tcPr>
          <w:p>
            <w:pPr>
              <w:pStyle w:val="13"/>
            </w:pPr>
            <w:r>
              <w:t>≥95百分比</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案件处理效率</w:t>
            </w:r>
          </w:p>
        </w:tc>
        <w:tc>
          <w:tcPr>
            <w:tcW w:w="5386" w:type="dxa"/>
            <w:vAlign w:val="center"/>
          </w:tcPr>
          <w:p>
            <w:pPr>
              <w:pStyle w:val="13"/>
            </w:pPr>
            <w:r>
              <w:t>重大案件发生次数</w:t>
            </w:r>
          </w:p>
        </w:tc>
        <w:tc>
          <w:tcPr>
            <w:tcW w:w="2268" w:type="dxa"/>
            <w:vAlign w:val="center"/>
          </w:tcPr>
          <w:p>
            <w:pPr>
              <w:pStyle w:val="13"/>
            </w:pPr>
            <w:r>
              <w:t>&lt;1次</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社会反馈意见对</w:t>
            </w:r>
            <w:r>
              <w:rPr>
                <w:rFonts w:hint="eastAsia"/>
                <w:lang w:eastAsia="zh-CN"/>
              </w:rPr>
              <w:t>市</w:t>
            </w:r>
            <w:r>
              <w:t>场监管工作满意度</w:t>
            </w:r>
          </w:p>
        </w:tc>
        <w:tc>
          <w:tcPr>
            <w:tcW w:w="2268" w:type="dxa"/>
            <w:vAlign w:val="center"/>
          </w:tcPr>
          <w:p>
            <w:pPr>
              <w:pStyle w:val="13"/>
            </w:pPr>
            <w:r>
              <w:t>≥85百分比</w:t>
            </w:r>
          </w:p>
        </w:tc>
        <w:tc>
          <w:tcPr>
            <w:tcW w:w="1276" w:type="dxa"/>
            <w:vAlign w:val="center"/>
          </w:tcPr>
          <w:p>
            <w:pPr>
              <w:pStyle w:val="13"/>
            </w:pPr>
            <w:r>
              <w:t>依据文件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50.00</w:t>
            </w:r>
          </w:p>
        </w:tc>
        <w:tc>
          <w:tcPr>
            <w:tcW w:w="964" w:type="dxa"/>
            <w:vAlign w:val="center"/>
          </w:tcPr>
          <w:p>
            <w:pPr>
              <w:pStyle w:val="16"/>
            </w:pPr>
            <w:r>
              <w:t>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涞源县</w:t>
            </w:r>
            <w:r>
              <w:rPr>
                <w:rFonts w:hint="eastAsia"/>
                <w:lang w:eastAsia="zh-CN"/>
              </w:rPr>
              <w:t>市</w:t>
            </w:r>
            <w:r>
              <w:t>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50.00</w:t>
            </w:r>
          </w:p>
        </w:tc>
        <w:tc>
          <w:tcPr>
            <w:tcW w:w="964" w:type="dxa"/>
            <w:vAlign w:val="center"/>
          </w:tcPr>
          <w:p>
            <w:pPr>
              <w:pStyle w:val="16"/>
            </w:pPr>
            <w:r>
              <w:t>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lang w:eastAsia="zh-CN"/>
              </w:rPr>
              <w:t>市</w:t>
            </w:r>
            <w:r>
              <w:t>场监管抽检经费</w:t>
            </w:r>
          </w:p>
        </w:tc>
        <w:tc>
          <w:tcPr>
            <w:tcW w:w="964" w:type="dxa"/>
            <w:vAlign w:val="center"/>
          </w:tcPr>
          <w:p>
            <w:pPr>
              <w:pStyle w:val="12"/>
            </w:pPr>
            <w:r>
              <w:t>50.00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场监督管理局（含所属单位）上年末固定资产金额为1401.85万元（详见下表）。本年度拟购置固定资产总额为0.00万元，已按要求列入政府采购预算，详见政府采购预算表。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424涞源县</w:t>
            </w:r>
            <w:r>
              <w:rPr>
                <w:rFonts w:hint="eastAsia"/>
                <w:lang w:eastAsia="zh-CN"/>
              </w:rPr>
              <w:t>市</w:t>
            </w:r>
            <w:r>
              <w:t>场监督管理局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4523</w:t>
            </w:r>
          </w:p>
        </w:tc>
        <w:tc>
          <w:tcPr>
            <w:tcW w:w="2835" w:type="dxa"/>
            <w:vAlign w:val="center"/>
          </w:tcPr>
          <w:p>
            <w:pPr>
              <w:pStyle w:val="12"/>
            </w:pPr>
            <w:r>
              <w:t>473.43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3200</w:t>
            </w:r>
          </w:p>
        </w:tc>
        <w:tc>
          <w:tcPr>
            <w:tcW w:w="2835" w:type="dxa"/>
            <w:vAlign w:val="center"/>
          </w:tcPr>
          <w:p>
            <w:pPr>
              <w:pStyle w:val="12"/>
            </w:pPr>
            <w:r>
              <w:t>300.56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32</w:t>
            </w:r>
          </w:p>
        </w:tc>
        <w:tc>
          <w:tcPr>
            <w:tcW w:w="2835" w:type="dxa"/>
            <w:vAlign w:val="center"/>
          </w:tcPr>
          <w:p>
            <w:pPr>
              <w:pStyle w:val="12"/>
            </w:pPr>
            <w:r>
              <w:t>245.97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548</w:t>
            </w:r>
          </w:p>
        </w:tc>
        <w:tc>
          <w:tcPr>
            <w:tcW w:w="2835" w:type="dxa"/>
            <w:vAlign w:val="center"/>
          </w:tcPr>
          <w:p>
            <w:pPr>
              <w:pStyle w:val="12"/>
            </w:pPr>
            <w:r>
              <w:t>682.45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MyNDhmMmE1MTcyOTFjZWMxYTY3MWFiNWExNzVjNzkifQ=="/>
  </w:docVars>
  <w:rsids>
    <w:rsidRoot w:val="00000000"/>
    <w:rsid w:val="1538539E"/>
    <w:rsid w:val="3D8726E3"/>
    <w:rsid w:val="4315253F"/>
    <w:rsid w:val="68DA15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autoRedefine/>
    <w:qFormat/>
    <w:uiPriority w:val="0"/>
    <w:pPr>
      <w:spacing w:line="500" w:lineRule="exact"/>
      <w:ind w:firstLine="560"/>
    </w:pPr>
    <w:rPr>
      <w:rFonts w:eastAsia="方正仿宋_GBK"/>
      <w:sz w:val="28"/>
    </w:rPr>
  </w:style>
  <w:style w:type="paragraph" w:customStyle="1" w:styleId="27">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2024-03-06T10:24:16Z</dcterms:created>
  <dcterms:modified xsi:type="dcterms:W3CDTF">2024-03-06T02:24:16Z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2024-03-06T10:24:16Z</dcterms:created>
  <dcterms:modified xsi:type="dcterms:W3CDTF">2024-03-06T02:24:16Z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2024-03-06T10:24:16Z</dcterms:created>
  <dcterms:modified xsi:type="dcterms:W3CDTF">2024-03-06T02:24:16Z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2024-03-06T10:24:17Z</dcterms:created>
  <dcterms:modified xsi:type="dcterms:W3CDTF">2024-03-06T02:24:17Z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2024-03-06T10:24:15Z</dcterms:created>
  <dcterms:modified xsi:type="dcterms:W3CDTF">2024-03-06T02:24:14Z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2024-03-06T10:24:17Z</dcterms:created>
  <dcterms:modified xsi:type="dcterms:W3CDTF">2024-03-06T02:24:17Z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2024-03-06T10:24:18Z</dcterms:created>
  <dcterms:modified xsi:type="dcterms:W3CDTF">2024-03-06T02:24:18Z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2024-03-06T10:24:18Z</dcterms:created>
  <dcterms:modified xsi:type="dcterms:W3CDTF">2024-03-06T02:24:18Z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2024-03-06T10:24:14Z</dcterms:created>
  <dcterms:modified xsi:type="dcterms:W3CDTF">2024-03-06T02:24:14Z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2024-03-06T10:24:14Z</dcterms:created>
  <dcterms:modified xsi:type="dcterms:W3CDTF">2024-03-06T02:24:14Z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2024-03-06T10:24:15Z</dcterms:created>
  <dcterms:modified xsi:type="dcterms:W3CDTF">2024-03-06T02:24:15Z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2024-03-06T10:24:12Z</dcterms:created>
  <dcterms:modified xsi:type="dcterms:W3CDTF">2024-03-06T02:24:11Z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2024-03-06T10:24:15Z</dcterms:created>
  <dcterms:modified xsi:type="dcterms:W3CDTF">2024-03-06T02:24:15Z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2024-03-06T10:24:15Z</dcterms:created>
  <dcterms:modified xsi:type="dcterms:W3CDTF">2024-03-06T02:24:15Z</dcterms:modified>
</cp:coreProperties>
</file>

<file path=customXml/itemProps1.xml><?xml version="1.0" encoding="utf-8"?>
<ds:datastoreItem xmlns:ds="http://schemas.openxmlformats.org/officeDocument/2006/customXml" ds:itemID="{472ab8fc-34d3-4535-bc3f-13ff9a43c759}">
  <ds:schemaRefs/>
</ds:datastoreItem>
</file>

<file path=customXml/itemProps10.xml><?xml version="1.0" encoding="utf-8"?>
<ds:datastoreItem xmlns:ds="http://schemas.openxmlformats.org/officeDocument/2006/customXml" ds:itemID="{c38d94b0-d3c6-4de2-9d4e-a1ddd9f0ce3a}">
  <ds:schemaRefs/>
</ds:datastoreItem>
</file>

<file path=customXml/itemProps11.xml><?xml version="1.0" encoding="utf-8"?>
<ds:datastoreItem xmlns:ds="http://schemas.openxmlformats.org/officeDocument/2006/customXml" ds:itemID="{78ff957d-e98e-4e33-823b-6c894b9081b1}">
  <ds:schemaRefs/>
</ds:datastoreItem>
</file>

<file path=customXml/itemProps12.xml><?xml version="1.0" encoding="utf-8"?>
<ds:datastoreItem xmlns:ds="http://schemas.openxmlformats.org/officeDocument/2006/customXml" ds:itemID="{d3e66bdf-50e2-43ff-abff-f568794b746a}">
  <ds:schemaRefs/>
</ds:datastoreItem>
</file>

<file path=customXml/itemProps13.xml><?xml version="1.0" encoding="utf-8"?>
<ds:datastoreItem xmlns:ds="http://schemas.openxmlformats.org/officeDocument/2006/customXml" ds:itemID="{288649c7-a333-4d93-af70-0fd78d86ba39}">
  <ds:schemaRefs/>
</ds:datastoreItem>
</file>

<file path=customXml/itemProps14.xml><?xml version="1.0" encoding="utf-8"?>
<ds:datastoreItem xmlns:ds="http://schemas.openxmlformats.org/officeDocument/2006/customXml" ds:itemID="{c3549859-c20f-4a92-be62-68e70fb18aca}">
  <ds:schemaRefs/>
</ds:datastoreItem>
</file>

<file path=customXml/itemProps15.xml><?xml version="1.0" encoding="utf-8"?>
<ds:datastoreItem xmlns:ds="http://schemas.openxmlformats.org/officeDocument/2006/customXml" ds:itemID="{633115dc-7bf3-48d7-9d74-38cdd6b2c05b}">
  <ds:schemaRefs/>
</ds:datastoreItem>
</file>

<file path=customXml/itemProps16.xml><?xml version="1.0" encoding="utf-8"?>
<ds:datastoreItem xmlns:ds="http://schemas.openxmlformats.org/officeDocument/2006/customXml" ds:itemID="{905d7495-66a6-4600-aaf4-4a566146a08b}">
  <ds:schemaRefs/>
</ds:datastoreItem>
</file>

<file path=customXml/itemProps17.xml><?xml version="1.0" encoding="utf-8"?>
<ds:datastoreItem xmlns:ds="http://schemas.openxmlformats.org/officeDocument/2006/customXml" ds:itemID="{92be0ceb-e0e2-42c9-aa43-4f82fda8df32}">
  <ds:schemaRefs/>
</ds:datastoreItem>
</file>

<file path=customXml/itemProps18.xml><?xml version="1.0" encoding="utf-8"?>
<ds:datastoreItem xmlns:ds="http://schemas.openxmlformats.org/officeDocument/2006/customXml" ds:itemID="{43e7970e-a174-47ff-a350-f7cdf7b74535}">
  <ds:schemaRefs/>
</ds:datastoreItem>
</file>

<file path=customXml/itemProps19.xml><?xml version="1.0" encoding="utf-8"?>
<ds:datastoreItem xmlns:ds="http://schemas.openxmlformats.org/officeDocument/2006/customXml" ds:itemID="{8ad8f771-ab3d-4060-8702-6252e982c4ea}">
  <ds:schemaRefs/>
</ds:datastoreItem>
</file>

<file path=customXml/itemProps2.xml><?xml version="1.0" encoding="utf-8"?>
<ds:datastoreItem xmlns:ds="http://schemas.openxmlformats.org/officeDocument/2006/customXml" ds:itemID="{958a4142-e737-4ce9-aba1-f0f2c13af1d0}">
  <ds:schemaRefs/>
</ds:datastoreItem>
</file>

<file path=customXml/itemProps20.xml><?xml version="1.0" encoding="utf-8"?>
<ds:datastoreItem xmlns:ds="http://schemas.openxmlformats.org/officeDocument/2006/customXml" ds:itemID="{1b9c1617-60cc-4e44-8de4-240ffe7268ea}">
  <ds:schemaRefs/>
</ds:datastoreItem>
</file>

<file path=customXml/itemProps21.xml><?xml version="1.0" encoding="utf-8"?>
<ds:datastoreItem xmlns:ds="http://schemas.openxmlformats.org/officeDocument/2006/customXml" ds:itemID="{fcadce03-d99c-4c4f-94e1-d24a97fdac06}">
  <ds:schemaRefs/>
</ds:datastoreItem>
</file>

<file path=customXml/itemProps22.xml><?xml version="1.0" encoding="utf-8"?>
<ds:datastoreItem xmlns:ds="http://schemas.openxmlformats.org/officeDocument/2006/customXml" ds:itemID="{a907da3d-d942-45db-9674-2050c6bb81dd}">
  <ds:schemaRefs/>
</ds:datastoreItem>
</file>

<file path=customXml/itemProps23.xml><?xml version="1.0" encoding="utf-8"?>
<ds:datastoreItem xmlns:ds="http://schemas.openxmlformats.org/officeDocument/2006/customXml" ds:itemID="{92e215f5-a221-4d91-801b-62ded05b7464}">
  <ds:schemaRefs/>
</ds:datastoreItem>
</file>

<file path=customXml/itemProps24.xml><?xml version="1.0" encoding="utf-8"?>
<ds:datastoreItem xmlns:ds="http://schemas.openxmlformats.org/officeDocument/2006/customXml" ds:itemID="{f0a63e97-5f8c-4fce-bbcd-50ff503507bd}">
  <ds:schemaRefs/>
</ds:datastoreItem>
</file>

<file path=customXml/itemProps25.xml><?xml version="1.0" encoding="utf-8"?>
<ds:datastoreItem xmlns:ds="http://schemas.openxmlformats.org/officeDocument/2006/customXml" ds:itemID="{ee5ac0c1-350c-4c1f-9a77-27749214a19b}">
  <ds:schemaRefs/>
</ds:datastoreItem>
</file>

<file path=customXml/itemProps26.xml><?xml version="1.0" encoding="utf-8"?>
<ds:datastoreItem xmlns:ds="http://schemas.openxmlformats.org/officeDocument/2006/customXml" ds:itemID="{8e5ab91a-1476-4ba6-b21d-87a9698200b9}">
  <ds:schemaRefs/>
</ds:datastoreItem>
</file>

<file path=customXml/itemProps27.xml><?xml version="1.0" encoding="utf-8"?>
<ds:datastoreItem xmlns:ds="http://schemas.openxmlformats.org/officeDocument/2006/customXml" ds:itemID="{8cbb8131-1a65-4ddb-ab42-6ed2ac1dcf98}">
  <ds:schemaRefs/>
</ds:datastoreItem>
</file>

<file path=customXml/itemProps28.xml><?xml version="1.0" encoding="utf-8"?>
<ds:datastoreItem xmlns:ds="http://schemas.openxmlformats.org/officeDocument/2006/customXml" ds:itemID="{dc60d1bb-521f-49d4-94c5-e5e9d0351b7b}">
  <ds:schemaRefs/>
</ds:datastoreItem>
</file>

<file path=customXml/itemProps3.xml><?xml version="1.0" encoding="utf-8"?>
<ds:datastoreItem xmlns:ds="http://schemas.openxmlformats.org/officeDocument/2006/customXml" ds:itemID="{73bced15-3928-4587-86a2-a742c79f7105}">
  <ds:schemaRefs/>
</ds:datastoreItem>
</file>

<file path=customXml/itemProps4.xml><?xml version="1.0" encoding="utf-8"?>
<ds:datastoreItem xmlns:ds="http://schemas.openxmlformats.org/officeDocument/2006/customXml" ds:itemID="{b3dfb0b2-34b3-4bfc-8136-7174ce432889}">
  <ds:schemaRefs/>
</ds:datastoreItem>
</file>

<file path=customXml/itemProps5.xml><?xml version="1.0" encoding="utf-8"?>
<ds:datastoreItem xmlns:ds="http://schemas.openxmlformats.org/officeDocument/2006/customXml" ds:itemID="{ba11bd2f-209b-4569-a2f8-037111b1f81b}">
  <ds:schemaRefs/>
</ds:datastoreItem>
</file>

<file path=customXml/itemProps6.xml><?xml version="1.0" encoding="utf-8"?>
<ds:datastoreItem xmlns:ds="http://schemas.openxmlformats.org/officeDocument/2006/customXml" ds:itemID="{b45a6dfd-69fa-41da-9b18-f9a9a9cf67f9}">
  <ds:schemaRefs/>
</ds:datastoreItem>
</file>

<file path=customXml/itemProps7.xml><?xml version="1.0" encoding="utf-8"?>
<ds:datastoreItem xmlns:ds="http://schemas.openxmlformats.org/officeDocument/2006/customXml" ds:itemID="{83f8f168-7f61-42e9-b455-44bbe66b1e7c}">
  <ds:schemaRefs/>
</ds:datastoreItem>
</file>

<file path=customXml/itemProps8.xml><?xml version="1.0" encoding="utf-8"?>
<ds:datastoreItem xmlns:ds="http://schemas.openxmlformats.org/officeDocument/2006/customXml" ds:itemID="{7defbcd3-8ae7-4583-a67e-82735131ccc7}">
  <ds:schemaRefs/>
</ds:datastoreItem>
</file>

<file path=customXml/itemProps9.xml><?xml version="1.0" encoding="utf-8"?>
<ds:datastoreItem xmlns:ds="http://schemas.openxmlformats.org/officeDocument/2006/customXml" ds:itemID="{3e97ca92-2f73-4cb5-8367-e7c66a23e739}">
  <ds:schemaRefs/>
</ds:datastoreItem>
</file>

<file path=docProps/app.xml><?xml version="1.0" encoding="utf-8"?>
<Properties xmlns="http://schemas.openxmlformats.org/officeDocument/2006/extended-properties" xmlns:vt="http://schemas.openxmlformats.org/officeDocument/2006/docPropsVTypes">
  <Pages>45</Pages>
  <Words>13289</Words>
  <Characters>15040</Characters>
  <TotalTime>5</TotalTime>
  <ScaleCrop>false</ScaleCrop>
  <LinksUpToDate>false</LinksUpToDate>
  <CharactersWithSpaces>15295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2024-03-06T10:24:00Z</dcterms:created>
  <dc:creator>cw</dc:creator>
  <cp:lastModifiedBy>꧁༺哈༒哈༻꧂</cp:lastModifiedBy>
  <dcterms:modified xsi:type="dcterms:W3CDTF">2024-06-04T08:06:04Z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CB57B8AC6C7042DDA1461170BD21E4D2_12</vt:lpwstr>
  </property>
</Properties>
</file>