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r>
        <w:br w:type="page"/>
      </w:r>
    </w:p>
    <w:p>
      <w:pPr>
        <w:rPr>
          <w:rFonts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812涞源县市场建设管理办公室</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251.71</w:t>
            </w:r>
          </w:p>
        </w:tc>
        <w:tc>
          <w:tcPr>
            <w:tcW w:w="4535" w:type="dxa"/>
            <w:vAlign w:val="center"/>
          </w:tcPr>
          <w:p>
            <w:pPr>
              <w:pStyle w:val="16"/>
            </w:pPr>
            <w:r>
              <w:t>一、一般公共服务支出</w:t>
            </w:r>
          </w:p>
        </w:tc>
        <w:tc>
          <w:tcPr>
            <w:tcW w:w="2126" w:type="dxa"/>
            <w:vAlign w:val="center"/>
          </w:tcPr>
          <w:p>
            <w:pPr>
              <w:pStyle w:val="15"/>
            </w:pPr>
            <w:r>
              <w:t>227.75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251.71</w:t>
            </w:r>
          </w:p>
        </w:tc>
        <w:tc>
          <w:tcPr>
            <w:tcW w:w="4535" w:type="dxa"/>
            <w:vAlign w:val="center"/>
          </w:tcPr>
          <w:p>
            <w:pPr>
              <w:pStyle w:val="18"/>
            </w:pPr>
            <w:r>
              <w:t>支出总计</w:t>
            </w:r>
          </w:p>
        </w:tc>
        <w:tc>
          <w:tcPr>
            <w:tcW w:w="2126" w:type="dxa"/>
            <w:vAlign w:val="center"/>
          </w:tcPr>
          <w:p>
            <w:pPr>
              <w:pStyle w:val="19"/>
            </w:pPr>
            <w:r>
              <w:t>251.71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76"/>
        <w:gridCol w:w="1375"/>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812涞源县市场建设管理办公室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76" w:type="dxa"/>
            <w:vAlign w:val="center"/>
          </w:tcPr>
          <w:p>
            <w:pPr>
              <w:pStyle w:val="14"/>
            </w:pPr>
            <w:r>
              <w:t>科目    编码</w:t>
            </w:r>
          </w:p>
        </w:tc>
        <w:tc>
          <w:tcPr>
            <w:tcW w:w="1375"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1176" w:type="dxa"/>
            <w:vAlign w:val="center"/>
          </w:tcPr>
          <w:p>
            <w:pPr>
              <w:pStyle w:val="14"/>
            </w:pPr>
            <w:r>
              <w:t>1</w:t>
            </w:r>
          </w:p>
        </w:tc>
        <w:tc>
          <w:tcPr>
            <w:tcW w:w="1375"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1</w:t>
            </w:r>
          </w:p>
        </w:tc>
        <w:tc>
          <w:tcPr>
            <w:tcW w:w="1176" w:type="dxa"/>
            <w:vAlign w:val="center"/>
          </w:tcPr>
          <w:p>
            <w:pPr>
              <w:pStyle w:val="20"/>
            </w:pPr>
          </w:p>
        </w:tc>
        <w:tc>
          <w:tcPr>
            <w:tcW w:w="1375" w:type="dxa"/>
            <w:vAlign w:val="center"/>
          </w:tcPr>
          <w:p>
            <w:pPr>
              <w:pStyle w:val="18"/>
            </w:pPr>
            <w:r>
              <w:t>合计</w:t>
            </w:r>
          </w:p>
        </w:tc>
        <w:tc>
          <w:tcPr>
            <w:tcW w:w="1134" w:type="dxa"/>
            <w:vAlign w:val="center"/>
          </w:tcPr>
          <w:p>
            <w:pPr>
              <w:pStyle w:val="19"/>
            </w:pPr>
            <w:r>
              <w:t>251.71</w:t>
            </w:r>
          </w:p>
        </w:tc>
        <w:tc>
          <w:tcPr>
            <w:tcW w:w="1134" w:type="dxa"/>
            <w:vAlign w:val="center"/>
          </w:tcPr>
          <w:p>
            <w:pPr>
              <w:pStyle w:val="19"/>
            </w:pPr>
            <w:r>
              <w:t>251.71</w:t>
            </w:r>
          </w:p>
        </w:tc>
        <w:tc>
          <w:tcPr>
            <w:tcW w:w="1134" w:type="dxa"/>
            <w:vAlign w:val="center"/>
          </w:tcPr>
          <w:p>
            <w:pPr>
              <w:pStyle w:val="19"/>
            </w:pPr>
            <w:r>
              <w:t>251.71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2</w:t>
            </w:r>
          </w:p>
        </w:tc>
        <w:tc>
          <w:tcPr>
            <w:tcW w:w="1176" w:type="dxa"/>
            <w:vAlign w:val="center"/>
          </w:tcPr>
          <w:p>
            <w:pPr>
              <w:pStyle w:val="16"/>
            </w:pPr>
            <w:r>
              <w:t>201</w:t>
            </w:r>
          </w:p>
        </w:tc>
        <w:tc>
          <w:tcPr>
            <w:tcW w:w="1375" w:type="dxa"/>
            <w:vAlign w:val="center"/>
          </w:tcPr>
          <w:p>
            <w:pPr>
              <w:pStyle w:val="16"/>
            </w:pPr>
            <w:r>
              <w:t>一般公共服务支出</w:t>
            </w:r>
          </w:p>
        </w:tc>
        <w:tc>
          <w:tcPr>
            <w:tcW w:w="1134" w:type="dxa"/>
            <w:vAlign w:val="center"/>
          </w:tcPr>
          <w:p>
            <w:pPr>
              <w:pStyle w:val="15"/>
            </w:pPr>
            <w:r>
              <w:t>227.75</w:t>
            </w:r>
          </w:p>
        </w:tc>
        <w:tc>
          <w:tcPr>
            <w:tcW w:w="1134" w:type="dxa"/>
            <w:vAlign w:val="center"/>
          </w:tcPr>
          <w:p>
            <w:pPr>
              <w:pStyle w:val="15"/>
            </w:pPr>
            <w:r>
              <w:t>227.75</w:t>
            </w:r>
          </w:p>
        </w:tc>
        <w:tc>
          <w:tcPr>
            <w:tcW w:w="1134" w:type="dxa"/>
            <w:vAlign w:val="center"/>
          </w:tcPr>
          <w:p>
            <w:pPr>
              <w:pStyle w:val="15"/>
            </w:pPr>
            <w:r>
              <w:t>227.75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rPr>
                <w:rFonts w:hint="eastAsia"/>
                <w:lang w:val="en-US" w:eastAsia="zh-CN"/>
              </w:rPr>
              <w:t>3</w:t>
            </w:r>
          </w:p>
        </w:tc>
        <w:tc>
          <w:tcPr>
            <w:tcW w:w="1176" w:type="dxa"/>
            <w:vAlign w:val="center"/>
          </w:tcPr>
          <w:p>
            <w:pPr>
              <w:pStyle w:val="16"/>
            </w:pPr>
            <w:r>
              <w:t>20103</w:t>
            </w:r>
          </w:p>
        </w:tc>
        <w:tc>
          <w:tcPr>
            <w:tcW w:w="1375" w:type="dxa"/>
            <w:vAlign w:val="center"/>
          </w:tcPr>
          <w:p>
            <w:pPr>
              <w:pStyle w:val="16"/>
            </w:pPr>
            <w:r>
              <w:t>政府办公厅（室）及相关机构事务</w:t>
            </w:r>
          </w:p>
        </w:tc>
        <w:tc>
          <w:tcPr>
            <w:tcW w:w="1134" w:type="dxa"/>
            <w:vAlign w:val="center"/>
          </w:tcPr>
          <w:p>
            <w:pPr>
              <w:pStyle w:val="15"/>
            </w:pPr>
            <w:r>
              <w:t>227.75</w:t>
            </w:r>
          </w:p>
        </w:tc>
        <w:tc>
          <w:tcPr>
            <w:tcW w:w="1134" w:type="dxa"/>
            <w:vAlign w:val="center"/>
          </w:tcPr>
          <w:p>
            <w:pPr>
              <w:pStyle w:val="15"/>
            </w:pPr>
            <w:r>
              <w:t>227.75</w:t>
            </w:r>
          </w:p>
        </w:tc>
        <w:tc>
          <w:tcPr>
            <w:tcW w:w="1134" w:type="dxa"/>
            <w:vAlign w:val="center"/>
          </w:tcPr>
          <w:p>
            <w:pPr>
              <w:pStyle w:val="15"/>
            </w:pPr>
            <w:r>
              <w:t>227.75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t>4</w:t>
            </w:r>
          </w:p>
        </w:tc>
        <w:tc>
          <w:tcPr>
            <w:tcW w:w="1176" w:type="dxa"/>
            <w:vAlign w:val="center"/>
          </w:tcPr>
          <w:p>
            <w:pPr>
              <w:pStyle w:val="16"/>
            </w:pPr>
            <w:r>
              <w:t>2010399</w:t>
            </w:r>
          </w:p>
        </w:tc>
        <w:tc>
          <w:tcPr>
            <w:tcW w:w="1375" w:type="dxa"/>
            <w:vAlign w:val="center"/>
          </w:tcPr>
          <w:p>
            <w:pPr>
              <w:pStyle w:val="16"/>
            </w:pPr>
            <w:r>
              <w:t>其他政府办公厅（室）及相关机构事务支出</w:t>
            </w:r>
          </w:p>
        </w:tc>
        <w:tc>
          <w:tcPr>
            <w:tcW w:w="1134" w:type="dxa"/>
            <w:vAlign w:val="center"/>
          </w:tcPr>
          <w:p>
            <w:pPr>
              <w:pStyle w:val="15"/>
            </w:pPr>
            <w:r>
              <w:t>227.75</w:t>
            </w:r>
          </w:p>
        </w:tc>
        <w:tc>
          <w:tcPr>
            <w:tcW w:w="1134" w:type="dxa"/>
            <w:vAlign w:val="center"/>
          </w:tcPr>
          <w:p>
            <w:pPr>
              <w:pStyle w:val="15"/>
            </w:pPr>
            <w:r>
              <w:t>227.75</w:t>
            </w:r>
          </w:p>
        </w:tc>
        <w:tc>
          <w:tcPr>
            <w:tcW w:w="1134" w:type="dxa"/>
            <w:vAlign w:val="center"/>
          </w:tcPr>
          <w:p>
            <w:pPr>
              <w:pStyle w:val="15"/>
            </w:pPr>
            <w:r>
              <w:t>227.75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eastAsia" w:eastAsia="方正书宋_GBK"/>
                <w:lang w:eastAsia="zh-CN"/>
              </w:rPr>
            </w:pPr>
            <w:r>
              <w:t>5</w:t>
            </w:r>
          </w:p>
        </w:tc>
        <w:tc>
          <w:tcPr>
            <w:tcW w:w="1176" w:type="dxa"/>
            <w:vAlign w:val="center"/>
          </w:tcPr>
          <w:p>
            <w:pPr>
              <w:pStyle w:val="16"/>
            </w:pPr>
            <w:r>
              <w:t>208</w:t>
            </w:r>
          </w:p>
        </w:tc>
        <w:tc>
          <w:tcPr>
            <w:tcW w:w="1375" w:type="dxa"/>
            <w:vAlign w:val="center"/>
          </w:tcPr>
          <w:p>
            <w:pPr>
              <w:pStyle w:val="16"/>
            </w:pPr>
            <w:r>
              <w:t>社会保障和就业支出</w:t>
            </w:r>
          </w:p>
        </w:tc>
        <w:tc>
          <w:tcPr>
            <w:tcW w:w="1134" w:type="dxa"/>
            <w:vAlign w:val="center"/>
          </w:tcPr>
          <w:p>
            <w:pPr>
              <w:pStyle w:val="15"/>
            </w:pPr>
            <w:r>
              <w:t>23.96</w:t>
            </w:r>
          </w:p>
        </w:tc>
        <w:tc>
          <w:tcPr>
            <w:tcW w:w="1134" w:type="dxa"/>
            <w:vAlign w:val="center"/>
          </w:tcPr>
          <w:p>
            <w:pPr>
              <w:pStyle w:val="15"/>
            </w:pPr>
            <w:r>
              <w:t>23.96</w:t>
            </w:r>
          </w:p>
        </w:tc>
        <w:tc>
          <w:tcPr>
            <w:tcW w:w="1134" w:type="dxa"/>
            <w:vAlign w:val="center"/>
          </w:tcPr>
          <w:p>
            <w:pPr>
              <w:pStyle w:val="15"/>
            </w:pPr>
            <w:r>
              <w:t>23.96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1176" w:type="dxa"/>
            <w:vAlign w:val="center"/>
          </w:tcPr>
          <w:p>
            <w:pPr>
              <w:pStyle w:val="16"/>
            </w:pPr>
            <w:r>
              <w:t>20805</w:t>
            </w:r>
          </w:p>
        </w:tc>
        <w:tc>
          <w:tcPr>
            <w:tcW w:w="1375" w:type="dxa"/>
            <w:vAlign w:val="center"/>
          </w:tcPr>
          <w:p>
            <w:pPr>
              <w:pStyle w:val="16"/>
            </w:pPr>
            <w:r>
              <w:t>行政事业单位养老支出</w:t>
            </w:r>
          </w:p>
        </w:tc>
        <w:tc>
          <w:tcPr>
            <w:tcW w:w="1134" w:type="dxa"/>
            <w:vAlign w:val="center"/>
          </w:tcPr>
          <w:p>
            <w:pPr>
              <w:pStyle w:val="15"/>
            </w:pPr>
            <w:r>
              <w:t>23.96</w:t>
            </w:r>
          </w:p>
        </w:tc>
        <w:tc>
          <w:tcPr>
            <w:tcW w:w="1134" w:type="dxa"/>
            <w:vAlign w:val="center"/>
          </w:tcPr>
          <w:p>
            <w:pPr>
              <w:pStyle w:val="15"/>
            </w:pPr>
            <w:r>
              <w:t>23.96</w:t>
            </w:r>
          </w:p>
        </w:tc>
        <w:tc>
          <w:tcPr>
            <w:tcW w:w="1134" w:type="dxa"/>
            <w:vAlign w:val="center"/>
          </w:tcPr>
          <w:p>
            <w:pPr>
              <w:pStyle w:val="15"/>
            </w:pPr>
            <w:r>
              <w:t>23.96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1176" w:type="dxa"/>
            <w:vAlign w:val="center"/>
          </w:tcPr>
          <w:p>
            <w:pPr>
              <w:pStyle w:val="16"/>
            </w:pPr>
            <w:r>
              <w:t>2080501</w:t>
            </w:r>
          </w:p>
        </w:tc>
        <w:tc>
          <w:tcPr>
            <w:tcW w:w="1375" w:type="dxa"/>
            <w:vAlign w:val="center"/>
          </w:tcPr>
          <w:p>
            <w:pPr>
              <w:pStyle w:val="16"/>
            </w:pPr>
            <w:r>
              <w:t>行政单位离退休</w:t>
            </w:r>
          </w:p>
        </w:tc>
        <w:tc>
          <w:tcPr>
            <w:tcW w:w="1134" w:type="dxa"/>
            <w:vAlign w:val="center"/>
          </w:tcPr>
          <w:p>
            <w:pPr>
              <w:pStyle w:val="15"/>
            </w:pPr>
            <w:r>
              <w:t>0.21</w:t>
            </w:r>
          </w:p>
        </w:tc>
        <w:tc>
          <w:tcPr>
            <w:tcW w:w="1134" w:type="dxa"/>
            <w:vAlign w:val="center"/>
          </w:tcPr>
          <w:p>
            <w:pPr>
              <w:pStyle w:val="15"/>
            </w:pPr>
            <w:r>
              <w:t>0.21</w:t>
            </w:r>
          </w:p>
        </w:tc>
        <w:tc>
          <w:tcPr>
            <w:tcW w:w="1134" w:type="dxa"/>
            <w:vAlign w:val="center"/>
          </w:tcPr>
          <w:p>
            <w:pPr>
              <w:pStyle w:val="15"/>
            </w:pPr>
            <w:r>
              <w:t>0.21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1176" w:type="dxa"/>
            <w:vAlign w:val="center"/>
          </w:tcPr>
          <w:p>
            <w:pPr>
              <w:pStyle w:val="16"/>
              <w:rPr>
                <w:rFonts w:hint="eastAsia" w:eastAsia="方正书宋_GBK"/>
                <w:lang w:val="en-US" w:eastAsia="zh-CN"/>
              </w:rPr>
            </w:pPr>
            <w:r>
              <w:t>208050</w:t>
            </w:r>
            <w:r>
              <w:rPr>
                <w:rFonts w:hint="eastAsia"/>
                <w:lang w:val="en-US" w:eastAsia="zh-CN"/>
              </w:rPr>
              <w:t>5</w:t>
            </w:r>
          </w:p>
        </w:tc>
        <w:tc>
          <w:tcPr>
            <w:tcW w:w="1375" w:type="dxa"/>
            <w:vAlign w:val="center"/>
          </w:tcPr>
          <w:p>
            <w:pPr>
              <w:pStyle w:val="16"/>
            </w:pPr>
            <w:r>
              <w:t>机关事业单位基本养老保险缴费支出</w:t>
            </w:r>
          </w:p>
        </w:tc>
        <w:tc>
          <w:tcPr>
            <w:tcW w:w="1134" w:type="dxa"/>
            <w:vAlign w:val="center"/>
          </w:tcPr>
          <w:p>
            <w:pPr>
              <w:pStyle w:val="15"/>
            </w:pPr>
            <w:r>
              <w:t>21.21</w:t>
            </w:r>
          </w:p>
        </w:tc>
        <w:tc>
          <w:tcPr>
            <w:tcW w:w="1134" w:type="dxa"/>
            <w:vAlign w:val="center"/>
          </w:tcPr>
          <w:p>
            <w:pPr>
              <w:pStyle w:val="15"/>
            </w:pPr>
            <w:r>
              <w:t>21.21</w:t>
            </w:r>
          </w:p>
        </w:tc>
        <w:tc>
          <w:tcPr>
            <w:tcW w:w="1134" w:type="dxa"/>
            <w:vAlign w:val="center"/>
          </w:tcPr>
          <w:p>
            <w:pPr>
              <w:pStyle w:val="15"/>
            </w:pPr>
            <w:r>
              <w:t>21.21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1176" w:type="dxa"/>
            <w:vAlign w:val="center"/>
          </w:tcPr>
          <w:p>
            <w:pPr>
              <w:pStyle w:val="16"/>
            </w:pPr>
            <w:r>
              <w:t>2080506</w:t>
            </w:r>
          </w:p>
        </w:tc>
        <w:tc>
          <w:tcPr>
            <w:tcW w:w="1375" w:type="dxa"/>
            <w:vAlign w:val="center"/>
          </w:tcPr>
          <w:p>
            <w:pPr>
              <w:pStyle w:val="16"/>
            </w:pPr>
            <w:r>
              <w:t>机关事业单位职业年金缴费支出</w:t>
            </w:r>
          </w:p>
        </w:tc>
        <w:tc>
          <w:tcPr>
            <w:tcW w:w="1134" w:type="dxa"/>
            <w:vAlign w:val="center"/>
          </w:tcPr>
          <w:p>
            <w:pPr>
              <w:pStyle w:val="15"/>
            </w:pPr>
            <w:r>
              <w:t>2.54</w:t>
            </w:r>
          </w:p>
        </w:tc>
        <w:tc>
          <w:tcPr>
            <w:tcW w:w="1134" w:type="dxa"/>
            <w:vAlign w:val="center"/>
          </w:tcPr>
          <w:p>
            <w:pPr>
              <w:pStyle w:val="15"/>
            </w:pPr>
            <w:r>
              <w:t>2.54</w:t>
            </w:r>
          </w:p>
        </w:tc>
        <w:tc>
          <w:tcPr>
            <w:tcW w:w="1134" w:type="dxa"/>
            <w:vAlign w:val="center"/>
          </w:tcPr>
          <w:p>
            <w:pPr>
              <w:pStyle w:val="15"/>
            </w:pPr>
            <w:r>
              <w:t>2.54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812涞源县市场建设管理办公室</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251.71</w:t>
            </w:r>
          </w:p>
        </w:tc>
        <w:tc>
          <w:tcPr>
            <w:tcW w:w="1361" w:type="dxa"/>
            <w:vAlign w:val="center"/>
          </w:tcPr>
          <w:p>
            <w:pPr>
              <w:pStyle w:val="19"/>
            </w:pPr>
            <w:r>
              <w:t>251.71</w:t>
            </w:r>
          </w:p>
        </w:tc>
        <w:tc>
          <w:tcPr>
            <w:tcW w:w="1361" w:type="dxa"/>
            <w:vAlign w:val="center"/>
          </w:tcPr>
          <w:p>
            <w:pPr>
              <w:pStyle w:val="17"/>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227.75</w:t>
            </w:r>
          </w:p>
        </w:tc>
        <w:tc>
          <w:tcPr>
            <w:tcW w:w="1361" w:type="dxa"/>
            <w:vAlign w:val="center"/>
          </w:tcPr>
          <w:p>
            <w:pPr>
              <w:pStyle w:val="15"/>
            </w:pPr>
            <w:r>
              <w:t>227.75</w:t>
            </w:r>
          </w:p>
        </w:tc>
        <w:tc>
          <w:tcPr>
            <w:tcW w:w="1361" w:type="dxa"/>
            <w:vAlign w:val="center"/>
          </w:tcPr>
          <w:p>
            <w:pPr>
              <w:pStyle w:val="17"/>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6" w:type="dxa"/>
            <w:vAlign w:val="center"/>
          </w:tcPr>
          <w:p>
            <w:pPr>
              <w:pStyle w:val="16"/>
            </w:pPr>
            <w:r>
              <w:t>政府办公厅（室）及相关机构事务</w:t>
            </w:r>
          </w:p>
        </w:tc>
        <w:tc>
          <w:tcPr>
            <w:tcW w:w="1361" w:type="dxa"/>
            <w:vAlign w:val="center"/>
          </w:tcPr>
          <w:p>
            <w:pPr>
              <w:pStyle w:val="15"/>
            </w:pPr>
            <w:r>
              <w:t>227.75</w:t>
            </w:r>
          </w:p>
        </w:tc>
        <w:tc>
          <w:tcPr>
            <w:tcW w:w="1361" w:type="dxa"/>
            <w:vAlign w:val="center"/>
          </w:tcPr>
          <w:p>
            <w:pPr>
              <w:pStyle w:val="15"/>
            </w:pPr>
            <w:r>
              <w:t>227.75</w:t>
            </w:r>
          </w:p>
        </w:tc>
        <w:tc>
          <w:tcPr>
            <w:tcW w:w="1361" w:type="dxa"/>
            <w:vAlign w:val="center"/>
          </w:tcPr>
          <w:p>
            <w:pPr>
              <w:pStyle w:val="17"/>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2010399</w:t>
            </w:r>
          </w:p>
        </w:tc>
        <w:tc>
          <w:tcPr>
            <w:tcW w:w="4536" w:type="dxa"/>
            <w:vAlign w:val="center"/>
          </w:tcPr>
          <w:p>
            <w:pPr>
              <w:pStyle w:val="16"/>
            </w:pPr>
            <w:r>
              <w:t>其他政府办公厅（室）及相关机构事务支出</w:t>
            </w:r>
          </w:p>
        </w:tc>
        <w:tc>
          <w:tcPr>
            <w:tcW w:w="1361" w:type="dxa"/>
            <w:vAlign w:val="center"/>
          </w:tcPr>
          <w:p>
            <w:pPr>
              <w:pStyle w:val="15"/>
            </w:pPr>
            <w:r>
              <w:t>227.75</w:t>
            </w:r>
          </w:p>
        </w:tc>
        <w:tc>
          <w:tcPr>
            <w:tcW w:w="1361" w:type="dxa"/>
            <w:vAlign w:val="center"/>
          </w:tcPr>
          <w:p>
            <w:pPr>
              <w:pStyle w:val="15"/>
            </w:pPr>
            <w:r>
              <w:t>227.75</w:t>
            </w:r>
          </w:p>
        </w:tc>
        <w:tc>
          <w:tcPr>
            <w:tcW w:w="1361" w:type="dxa"/>
            <w:vAlign w:val="center"/>
          </w:tcPr>
          <w:p>
            <w:pPr>
              <w:pStyle w:val="17"/>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23.96</w:t>
            </w:r>
          </w:p>
        </w:tc>
        <w:tc>
          <w:tcPr>
            <w:tcW w:w="1361" w:type="dxa"/>
            <w:vAlign w:val="center"/>
          </w:tcPr>
          <w:p>
            <w:pPr>
              <w:pStyle w:val="15"/>
            </w:pPr>
            <w:r>
              <w:t>23.96</w:t>
            </w:r>
          </w:p>
        </w:tc>
        <w:tc>
          <w:tcPr>
            <w:tcW w:w="1361" w:type="dxa"/>
            <w:vAlign w:val="center"/>
          </w:tcPr>
          <w:p>
            <w:pPr>
              <w:pStyle w:val="17"/>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23.96</w:t>
            </w:r>
          </w:p>
        </w:tc>
        <w:tc>
          <w:tcPr>
            <w:tcW w:w="1361" w:type="dxa"/>
            <w:vAlign w:val="center"/>
          </w:tcPr>
          <w:p>
            <w:pPr>
              <w:pStyle w:val="15"/>
            </w:pPr>
            <w:r>
              <w:t>23.96</w:t>
            </w:r>
          </w:p>
        </w:tc>
        <w:tc>
          <w:tcPr>
            <w:tcW w:w="1361" w:type="dxa"/>
            <w:vAlign w:val="center"/>
          </w:tcPr>
          <w:p>
            <w:pPr>
              <w:pStyle w:val="17"/>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6" w:type="dxa"/>
            <w:vAlign w:val="center"/>
          </w:tcPr>
          <w:p>
            <w:pPr>
              <w:pStyle w:val="16"/>
            </w:pPr>
            <w:r>
              <w:t>行政单位离退休</w:t>
            </w:r>
          </w:p>
        </w:tc>
        <w:tc>
          <w:tcPr>
            <w:tcW w:w="1361" w:type="dxa"/>
            <w:vAlign w:val="center"/>
          </w:tcPr>
          <w:p>
            <w:pPr>
              <w:pStyle w:val="15"/>
            </w:pPr>
            <w:r>
              <w:t>0.21</w:t>
            </w:r>
          </w:p>
        </w:tc>
        <w:tc>
          <w:tcPr>
            <w:tcW w:w="1361" w:type="dxa"/>
            <w:vAlign w:val="center"/>
          </w:tcPr>
          <w:p>
            <w:pPr>
              <w:pStyle w:val="15"/>
            </w:pPr>
            <w:r>
              <w:t>0.21</w:t>
            </w:r>
          </w:p>
        </w:tc>
        <w:tc>
          <w:tcPr>
            <w:tcW w:w="1361" w:type="dxa"/>
            <w:vAlign w:val="center"/>
          </w:tcPr>
          <w:p>
            <w:pPr>
              <w:pStyle w:val="17"/>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21.21</w:t>
            </w:r>
          </w:p>
        </w:tc>
        <w:tc>
          <w:tcPr>
            <w:tcW w:w="1361" w:type="dxa"/>
            <w:vAlign w:val="center"/>
          </w:tcPr>
          <w:p>
            <w:pPr>
              <w:pStyle w:val="15"/>
            </w:pPr>
            <w:r>
              <w:t>21.21</w:t>
            </w:r>
          </w:p>
        </w:tc>
        <w:tc>
          <w:tcPr>
            <w:tcW w:w="1361" w:type="dxa"/>
            <w:vAlign w:val="center"/>
          </w:tcPr>
          <w:p>
            <w:pPr>
              <w:pStyle w:val="17"/>
              <w:jc w:val="both"/>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2.54</w:t>
            </w:r>
          </w:p>
        </w:tc>
        <w:tc>
          <w:tcPr>
            <w:tcW w:w="1361" w:type="dxa"/>
            <w:vAlign w:val="center"/>
          </w:tcPr>
          <w:p>
            <w:pPr>
              <w:pStyle w:val="15"/>
            </w:pPr>
            <w:r>
              <w:t>2.54</w:t>
            </w:r>
          </w:p>
        </w:tc>
        <w:tc>
          <w:tcPr>
            <w:tcW w:w="1361" w:type="dxa"/>
            <w:vAlign w:val="center"/>
          </w:tcPr>
          <w:p>
            <w:pPr>
              <w:pStyle w:val="17"/>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812涞源县市场建设管理办公室</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251.71</w:t>
            </w:r>
          </w:p>
        </w:tc>
        <w:tc>
          <w:tcPr>
            <w:tcW w:w="3402" w:type="dxa"/>
            <w:vAlign w:val="center"/>
          </w:tcPr>
          <w:p>
            <w:pPr>
              <w:pStyle w:val="16"/>
            </w:pPr>
            <w:r>
              <w:t>一、一般公共服务支出</w:t>
            </w:r>
          </w:p>
        </w:tc>
        <w:tc>
          <w:tcPr>
            <w:tcW w:w="1474" w:type="dxa"/>
            <w:vAlign w:val="center"/>
          </w:tcPr>
          <w:p>
            <w:pPr>
              <w:pStyle w:val="15"/>
            </w:pPr>
            <w:r>
              <w:t>227.75</w:t>
            </w:r>
          </w:p>
        </w:tc>
        <w:tc>
          <w:tcPr>
            <w:tcW w:w="1474" w:type="dxa"/>
            <w:vAlign w:val="center"/>
          </w:tcPr>
          <w:p>
            <w:pPr>
              <w:pStyle w:val="15"/>
            </w:pPr>
            <w:r>
              <w:t>227.75</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23.96</w:t>
            </w:r>
          </w:p>
        </w:tc>
        <w:tc>
          <w:tcPr>
            <w:tcW w:w="1474" w:type="dxa"/>
            <w:vAlign w:val="center"/>
          </w:tcPr>
          <w:p>
            <w:pPr>
              <w:pStyle w:val="15"/>
            </w:pPr>
            <w:r>
              <w:t>23.96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251.71</w:t>
            </w:r>
          </w:p>
        </w:tc>
        <w:tc>
          <w:tcPr>
            <w:tcW w:w="3402" w:type="dxa"/>
            <w:vAlign w:val="center"/>
          </w:tcPr>
          <w:p>
            <w:pPr>
              <w:pStyle w:val="18"/>
            </w:pPr>
            <w:r>
              <w:t>本年支出合计</w:t>
            </w:r>
          </w:p>
        </w:tc>
        <w:tc>
          <w:tcPr>
            <w:tcW w:w="1474" w:type="dxa"/>
            <w:vAlign w:val="center"/>
          </w:tcPr>
          <w:p>
            <w:pPr>
              <w:pStyle w:val="19"/>
            </w:pPr>
            <w:r>
              <w:t>251.71</w:t>
            </w:r>
          </w:p>
        </w:tc>
        <w:tc>
          <w:tcPr>
            <w:tcW w:w="1474" w:type="dxa"/>
            <w:vAlign w:val="center"/>
          </w:tcPr>
          <w:p>
            <w:pPr>
              <w:pStyle w:val="19"/>
            </w:pPr>
            <w:r>
              <w:t>251.71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251.71</w:t>
            </w:r>
          </w:p>
        </w:tc>
        <w:tc>
          <w:tcPr>
            <w:tcW w:w="3402" w:type="dxa"/>
            <w:vAlign w:val="center"/>
          </w:tcPr>
          <w:p>
            <w:pPr>
              <w:pStyle w:val="18"/>
            </w:pPr>
            <w:r>
              <w:t>支出总计</w:t>
            </w:r>
          </w:p>
        </w:tc>
        <w:tc>
          <w:tcPr>
            <w:tcW w:w="1474" w:type="dxa"/>
            <w:vAlign w:val="center"/>
          </w:tcPr>
          <w:p>
            <w:pPr>
              <w:pStyle w:val="19"/>
            </w:pPr>
            <w:r>
              <w:t>251.71</w:t>
            </w:r>
          </w:p>
        </w:tc>
        <w:tc>
          <w:tcPr>
            <w:tcW w:w="1474" w:type="dxa"/>
            <w:vAlign w:val="center"/>
          </w:tcPr>
          <w:p>
            <w:pPr>
              <w:pStyle w:val="19"/>
            </w:pPr>
            <w:r>
              <w:t>251.71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812涞源县市场建设管理办公室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251.71</w:t>
            </w:r>
          </w:p>
        </w:tc>
        <w:tc>
          <w:tcPr>
            <w:tcW w:w="2551" w:type="dxa"/>
            <w:vAlign w:val="center"/>
          </w:tcPr>
          <w:p>
            <w:pPr>
              <w:pStyle w:val="19"/>
            </w:pPr>
            <w:r>
              <w:t>251.71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227.75</w:t>
            </w:r>
          </w:p>
        </w:tc>
        <w:tc>
          <w:tcPr>
            <w:tcW w:w="2551" w:type="dxa"/>
            <w:vAlign w:val="center"/>
          </w:tcPr>
          <w:p>
            <w:pPr>
              <w:pStyle w:val="15"/>
            </w:pPr>
            <w:r>
              <w:t>227.75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227.75</w:t>
            </w:r>
          </w:p>
        </w:tc>
        <w:tc>
          <w:tcPr>
            <w:tcW w:w="2551" w:type="dxa"/>
            <w:vAlign w:val="center"/>
          </w:tcPr>
          <w:p>
            <w:pPr>
              <w:pStyle w:val="15"/>
            </w:pPr>
            <w:r>
              <w:t>227.75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227.75</w:t>
            </w:r>
          </w:p>
        </w:tc>
        <w:tc>
          <w:tcPr>
            <w:tcW w:w="2551" w:type="dxa"/>
            <w:vAlign w:val="center"/>
          </w:tcPr>
          <w:p>
            <w:pPr>
              <w:pStyle w:val="15"/>
            </w:pPr>
            <w:r>
              <w:t>227.75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23.96</w:t>
            </w:r>
          </w:p>
        </w:tc>
        <w:tc>
          <w:tcPr>
            <w:tcW w:w="2551" w:type="dxa"/>
            <w:vAlign w:val="center"/>
          </w:tcPr>
          <w:p>
            <w:pPr>
              <w:pStyle w:val="15"/>
            </w:pPr>
            <w:r>
              <w:t>23.96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23.96</w:t>
            </w:r>
          </w:p>
        </w:tc>
        <w:tc>
          <w:tcPr>
            <w:tcW w:w="2551" w:type="dxa"/>
            <w:vAlign w:val="center"/>
          </w:tcPr>
          <w:p>
            <w:pPr>
              <w:pStyle w:val="15"/>
            </w:pPr>
            <w:r>
              <w:t>23.96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0.21</w:t>
            </w:r>
          </w:p>
        </w:tc>
        <w:tc>
          <w:tcPr>
            <w:tcW w:w="2551" w:type="dxa"/>
            <w:vAlign w:val="center"/>
          </w:tcPr>
          <w:p>
            <w:pPr>
              <w:pStyle w:val="15"/>
            </w:pPr>
            <w:r>
              <w:t>0.21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21.21</w:t>
            </w:r>
          </w:p>
        </w:tc>
        <w:tc>
          <w:tcPr>
            <w:tcW w:w="2551" w:type="dxa"/>
            <w:vAlign w:val="center"/>
          </w:tcPr>
          <w:p>
            <w:pPr>
              <w:pStyle w:val="15"/>
            </w:pPr>
            <w:r>
              <w:t>21.21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2.54</w:t>
            </w:r>
          </w:p>
        </w:tc>
        <w:tc>
          <w:tcPr>
            <w:tcW w:w="2551" w:type="dxa"/>
            <w:vAlign w:val="center"/>
          </w:tcPr>
          <w:p>
            <w:pPr>
              <w:pStyle w:val="15"/>
            </w:pPr>
            <w:r>
              <w:t>2.54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812涞源县市场建设管理办公室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251.71</w:t>
            </w:r>
          </w:p>
        </w:tc>
        <w:tc>
          <w:tcPr>
            <w:tcW w:w="2551" w:type="dxa"/>
            <w:vAlign w:val="center"/>
          </w:tcPr>
          <w:p>
            <w:pPr>
              <w:pStyle w:val="19"/>
            </w:pPr>
            <w:r>
              <w:t>208.01</w:t>
            </w:r>
          </w:p>
        </w:tc>
        <w:tc>
          <w:tcPr>
            <w:tcW w:w="2552" w:type="dxa"/>
            <w:vAlign w:val="center"/>
          </w:tcPr>
          <w:p>
            <w:pPr>
              <w:pStyle w:val="19"/>
            </w:pPr>
            <w:r>
              <w:t>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202.04</w:t>
            </w:r>
          </w:p>
        </w:tc>
        <w:tc>
          <w:tcPr>
            <w:tcW w:w="2551" w:type="dxa"/>
            <w:vAlign w:val="center"/>
          </w:tcPr>
          <w:p>
            <w:pPr>
              <w:pStyle w:val="15"/>
            </w:pPr>
            <w:r>
              <w:t>202.04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104.88</w:t>
            </w:r>
          </w:p>
        </w:tc>
        <w:tc>
          <w:tcPr>
            <w:tcW w:w="2551" w:type="dxa"/>
            <w:vAlign w:val="center"/>
          </w:tcPr>
          <w:p>
            <w:pPr>
              <w:pStyle w:val="15"/>
            </w:pPr>
            <w:r>
              <w:t>104.88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49.00</w:t>
            </w:r>
          </w:p>
        </w:tc>
        <w:tc>
          <w:tcPr>
            <w:tcW w:w="2551" w:type="dxa"/>
            <w:vAlign w:val="center"/>
          </w:tcPr>
          <w:p>
            <w:pPr>
              <w:pStyle w:val="15"/>
            </w:pPr>
            <w:r>
              <w:t>49.00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11.34</w:t>
            </w:r>
          </w:p>
        </w:tc>
        <w:tc>
          <w:tcPr>
            <w:tcW w:w="2551" w:type="dxa"/>
            <w:vAlign w:val="center"/>
          </w:tcPr>
          <w:p>
            <w:pPr>
              <w:pStyle w:val="15"/>
            </w:pPr>
            <w:r>
              <w:t>11.34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21.21</w:t>
            </w:r>
          </w:p>
        </w:tc>
        <w:tc>
          <w:tcPr>
            <w:tcW w:w="2551" w:type="dxa"/>
            <w:vAlign w:val="center"/>
          </w:tcPr>
          <w:p>
            <w:pPr>
              <w:pStyle w:val="15"/>
            </w:pPr>
            <w:r>
              <w:t>21.21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2.54</w:t>
            </w:r>
          </w:p>
        </w:tc>
        <w:tc>
          <w:tcPr>
            <w:tcW w:w="2551" w:type="dxa"/>
            <w:vAlign w:val="center"/>
          </w:tcPr>
          <w:p>
            <w:pPr>
              <w:pStyle w:val="15"/>
            </w:pPr>
            <w:r>
              <w:t>2.54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9.00</w:t>
            </w:r>
          </w:p>
        </w:tc>
        <w:tc>
          <w:tcPr>
            <w:tcW w:w="2551" w:type="dxa"/>
            <w:vAlign w:val="center"/>
          </w:tcPr>
          <w:p>
            <w:pPr>
              <w:pStyle w:val="15"/>
            </w:pPr>
            <w:r>
              <w:t>9.00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0.66</w:t>
            </w:r>
          </w:p>
        </w:tc>
        <w:tc>
          <w:tcPr>
            <w:tcW w:w="2551" w:type="dxa"/>
            <w:vAlign w:val="center"/>
          </w:tcPr>
          <w:p>
            <w:pPr>
              <w:pStyle w:val="15"/>
            </w:pPr>
            <w:r>
              <w:t>0.66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3.41</w:t>
            </w:r>
          </w:p>
        </w:tc>
        <w:tc>
          <w:tcPr>
            <w:tcW w:w="2551" w:type="dxa"/>
            <w:vAlign w:val="center"/>
          </w:tcPr>
          <w:p>
            <w:pPr>
              <w:pStyle w:val="15"/>
            </w:pPr>
            <w:r>
              <w:t>3.41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49.46</w:t>
            </w:r>
          </w:p>
        </w:tc>
        <w:tc>
          <w:tcPr>
            <w:tcW w:w="2551" w:type="dxa"/>
            <w:vAlign w:val="center"/>
          </w:tcPr>
          <w:p>
            <w:pPr>
              <w:pStyle w:val="15"/>
            </w:pPr>
            <w:r>
              <w:t>5.76</w:t>
            </w:r>
          </w:p>
        </w:tc>
        <w:tc>
          <w:tcPr>
            <w:tcW w:w="2552" w:type="dxa"/>
            <w:vAlign w:val="center"/>
          </w:tcPr>
          <w:p>
            <w:pPr>
              <w:pStyle w:val="15"/>
            </w:pPr>
            <w:r>
              <w:t>43.70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9.96</w:t>
            </w:r>
          </w:p>
        </w:tc>
        <w:tc>
          <w:tcPr>
            <w:tcW w:w="2551" w:type="dxa"/>
            <w:vAlign w:val="center"/>
          </w:tcPr>
          <w:p>
            <w:pPr>
              <w:pStyle w:val="15"/>
            </w:pPr>
          </w:p>
        </w:tc>
        <w:tc>
          <w:tcPr>
            <w:tcW w:w="2552" w:type="dxa"/>
            <w:vAlign w:val="center"/>
          </w:tcPr>
          <w:p>
            <w:pPr>
              <w:pStyle w:val="15"/>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3.70</w:t>
            </w:r>
          </w:p>
        </w:tc>
        <w:tc>
          <w:tcPr>
            <w:tcW w:w="2551" w:type="dxa"/>
            <w:vAlign w:val="center"/>
          </w:tcPr>
          <w:p>
            <w:pPr>
              <w:pStyle w:val="15"/>
            </w:pPr>
          </w:p>
        </w:tc>
        <w:tc>
          <w:tcPr>
            <w:tcW w:w="2552" w:type="dxa"/>
            <w:vAlign w:val="center"/>
          </w:tcPr>
          <w:p>
            <w:pPr>
              <w:pStyle w:val="15"/>
            </w:pPr>
            <w: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0.54</w:t>
            </w:r>
          </w:p>
        </w:tc>
        <w:tc>
          <w:tcPr>
            <w:tcW w:w="2551" w:type="dxa"/>
            <w:vAlign w:val="center"/>
          </w:tcPr>
          <w:p>
            <w:pPr>
              <w:pStyle w:val="15"/>
            </w:pPr>
          </w:p>
        </w:tc>
        <w:tc>
          <w:tcPr>
            <w:tcW w:w="2552" w:type="dxa"/>
            <w:vAlign w:val="center"/>
          </w:tcPr>
          <w:p>
            <w:pPr>
              <w:pStyle w:val="15"/>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3.50</w:t>
            </w:r>
          </w:p>
        </w:tc>
        <w:tc>
          <w:tcPr>
            <w:tcW w:w="2551" w:type="dxa"/>
            <w:vAlign w:val="center"/>
          </w:tcPr>
          <w:p>
            <w:pPr>
              <w:pStyle w:val="15"/>
            </w:pPr>
          </w:p>
        </w:tc>
        <w:tc>
          <w:tcPr>
            <w:tcW w:w="2552"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5.76</w:t>
            </w:r>
          </w:p>
        </w:tc>
        <w:tc>
          <w:tcPr>
            <w:tcW w:w="2551" w:type="dxa"/>
            <w:vAlign w:val="center"/>
          </w:tcPr>
          <w:p>
            <w:pPr>
              <w:pStyle w:val="15"/>
            </w:pPr>
            <w:r>
              <w:t>5.76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3.40</w:t>
            </w:r>
          </w:p>
        </w:tc>
        <w:tc>
          <w:tcPr>
            <w:tcW w:w="2551" w:type="dxa"/>
            <w:vAlign w:val="center"/>
          </w:tcPr>
          <w:p>
            <w:pPr>
              <w:pStyle w:val="15"/>
            </w:pPr>
          </w:p>
        </w:tc>
        <w:tc>
          <w:tcPr>
            <w:tcW w:w="2552"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8.00</w:t>
            </w:r>
          </w:p>
        </w:tc>
        <w:tc>
          <w:tcPr>
            <w:tcW w:w="2551" w:type="dxa"/>
            <w:vAlign w:val="center"/>
          </w:tcPr>
          <w:p>
            <w:pPr>
              <w:pStyle w:val="15"/>
            </w:pPr>
          </w:p>
        </w:tc>
        <w:tc>
          <w:tcPr>
            <w:tcW w:w="2552"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13.60</w:t>
            </w:r>
          </w:p>
        </w:tc>
        <w:tc>
          <w:tcPr>
            <w:tcW w:w="2551" w:type="dxa"/>
            <w:vAlign w:val="center"/>
          </w:tcPr>
          <w:p>
            <w:pPr>
              <w:pStyle w:val="15"/>
            </w:pPr>
          </w:p>
        </w:tc>
        <w:tc>
          <w:tcPr>
            <w:tcW w:w="2552" w:type="dxa"/>
            <w:vAlign w:val="center"/>
          </w:tcPr>
          <w:p>
            <w:pPr>
              <w:pStyle w:val="15"/>
            </w:pPr>
            <w:r>
              <w:t>13.60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0.21</w:t>
            </w:r>
          </w:p>
        </w:tc>
        <w:tc>
          <w:tcPr>
            <w:tcW w:w="2551" w:type="dxa"/>
            <w:vAlign w:val="center"/>
          </w:tcPr>
          <w:p>
            <w:pPr>
              <w:pStyle w:val="15"/>
            </w:pPr>
            <w:r>
              <w:t>0.21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0.21</w:t>
            </w:r>
          </w:p>
        </w:tc>
        <w:tc>
          <w:tcPr>
            <w:tcW w:w="2551" w:type="dxa"/>
            <w:vAlign w:val="center"/>
          </w:tcPr>
          <w:p>
            <w:pPr>
              <w:pStyle w:val="15"/>
            </w:pPr>
            <w:r>
              <w:t>0.21</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812涞源县市场建设管理办公室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812涞源县市场建设管理办公室</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812涞源县市场建设管理办公室</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8"/>
            </w:pP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涞源县市场建设管理办公室2022年部门预算信息公开情况说明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预算法》、《地方预决算公开操作规程》和《关于进一步推进预算公开工作的实施意见》规定，现将涞源县市场建设管理办公室2022年部门预算公开如下：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涞源县市场建设管理办公室</w:t>
      </w:r>
    </w:p>
    <w:p>
      <w:pPr>
        <w:pStyle w:val="21"/>
      </w:pPr>
    </w:p>
    <w:p>
      <w:pPr>
        <w:pStyle w:val="21"/>
      </w:pPr>
      <w:r>
        <w:t>1、负责市场论证、开发建设、布局规划、登记管理。</w:t>
      </w:r>
    </w:p>
    <w:p>
      <w:pPr>
        <w:pStyle w:val="21"/>
      </w:pPr>
      <w:r>
        <w:t>2、负责市场培育发展、繁荣发展集市贸易、组织各类庙会、商品交易会。</w:t>
      </w:r>
    </w:p>
    <w:p>
      <w:pPr>
        <w:pStyle w:val="21"/>
      </w:pPr>
      <w:r>
        <w:t>3、管理市场物业，负责市场设施的维修、摊位场地租赁、经营市场资产、收取设施租赁费和其它费用。</w:t>
      </w:r>
    </w:p>
    <w:p>
      <w:pPr>
        <w:pStyle w:val="21"/>
      </w:pPr>
      <w:r>
        <w:t>4、围绕市场提供帮购帮销，代储代运、信息网络建设。</w:t>
      </w:r>
    </w:p>
    <w:p>
      <w:pPr>
        <w:pStyle w:val="21"/>
      </w:pPr>
      <w:r>
        <w:t>5、负责各类市场统一管理、统一收费、收入合理分配，确保市场安全、卫生、有序，配合有关部门查处市场中的违法、违章行为。</w:t>
      </w:r>
    </w:p>
    <w:p>
      <w:pPr>
        <w:pStyle w:val="21"/>
      </w:pPr>
      <w:r>
        <w:t>6、规范经营秩序，负责市场稽查、治理马路市场。</w:t>
      </w:r>
    </w:p>
    <w:p>
      <w:pPr>
        <w:pStyle w:val="21"/>
      </w:pPr>
      <w:r>
        <w:t>7、组织开发商品生产基地、销售基地，拓宽流通渠道，保持市场繁荣兴旺。</w:t>
      </w:r>
    </w:p>
    <w:p>
      <w:pPr>
        <w:pStyle w:val="21"/>
      </w:pPr>
      <w:r>
        <w:t>8、负责市场的各类检查、评比、验收及统计分析。</w:t>
      </w:r>
    </w:p>
    <w:p>
      <w:pPr>
        <w:pStyle w:val="21"/>
      </w:pPr>
      <w:r>
        <w:t>9、承办县委、</w:t>
      </w:r>
      <w:r>
        <w:rPr>
          <w:rFonts w:hint="eastAsia"/>
          <w:lang w:val="en-US" w:eastAsia="zh-CN"/>
        </w:rPr>
        <w:t>县</w:t>
      </w:r>
      <w:r>
        <w:t>政府交办的其它任务。</w:t>
      </w: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涞源县市场建设管理办公室本级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部门预算的编制实行综合预算管理，即全部收入和支出都反映在预算中。涞源县市场建设管理办公室机关及所属事业单位的收支包含在部门预算中。</w:t>
      </w:r>
    </w:p>
    <w:p>
      <w:pPr>
        <w:pStyle w:val="22"/>
      </w:pPr>
      <w:r>
        <w:t>部门预算安排的总体情况</w:t>
      </w:r>
    </w:p>
    <w:p>
      <w:pPr>
        <w:pStyle w:val="22"/>
      </w:pPr>
      <w:r>
        <w:t>按照预算管理有关规定，目前我县单位预算的编制实行综合预算管理，即全部收入和支出都反映在预算中。</w:t>
      </w:r>
    </w:p>
    <w:p>
      <w:pPr>
        <w:pStyle w:val="22"/>
      </w:pPr>
      <w:r>
        <w:t>1、收入说明</w:t>
      </w:r>
    </w:p>
    <w:p>
      <w:pPr>
        <w:pStyle w:val="22"/>
      </w:pPr>
      <w:r>
        <w:t>反映本单位当年全部收入。2022年预算收入251.71万元，其中：一般公共预算收入251.71万元(一般财力191.71万元，行政事业性收费60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涞源县市场建设管理办公室年度单位预算中支出预算的总体情况。2022年支出预算251.71万元，其中基本支出251.71万元，包括人员经费208.01万元和日常公用经费43.7万元；项目支出0万元。</w:t>
      </w:r>
    </w:p>
    <w:p>
      <w:pPr>
        <w:pStyle w:val="22"/>
      </w:pPr>
      <w:r>
        <w:t>3、比上年增减情况</w:t>
      </w:r>
    </w:p>
    <w:p>
      <w:pPr>
        <w:pStyle w:val="22"/>
      </w:pPr>
      <w:r>
        <w:t>2022年预算收支安排251.71万元，较2021年预算减少13.41万元，其中：基本支出减少13.41万元，主要为2021年补各项保险。</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机关运行经费安排情况</w:t>
      </w:r>
    </w:p>
    <w:p>
      <w:pPr>
        <w:pStyle w:val="23"/>
      </w:pPr>
      <w:r>
        <w:t>2022年，我单位运行经费共计安排43.7万元，主要用于日常办公费、维修费、租赁费、邮电费等日常运行支出。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财政拨款“三公”经费预算情况</w:t>
      </w:r>
    </w:p>
    <w:p>
      <w:pPr>
        <w:pStyle w:val="24"/>
      </w:pPr>
      <w:r>
        <w:t>我</w:t>
      </w:r>
      <w:r>
        <w:rPr>
          <w:rFonts w:hint="eastAsia"/>
          <w:lang w:val="en-US" w:eastAsia="zh-CN"/>
        </w:rPr>
        <w:t>部门</w:t>
      </w:r>
      <w:r>
        <w:t>无三公经费支出。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涞源县市场建设管理办公室</w:t>
      </w:r>
    </w:p>
    <w:p>
      <w:pPr>
        <w:pStyle w:val="25"/>
      </w:pPr>
      <w:r>
        <w:t>2022年部门总体绩效目标</w:t>
      </w:r>
    </w:p>
    <w:p>
      <w:pPr>
        <w:pStyle w:val="25"/>
      </w:pPr>
    </w:p>
    <w:p>
      <w:pPr>
        <w:pStyle w:val="25"/>
      </w:pPr>
      <w:r>
        <w:t>在县委、县政府建设经济强县、旅游城市、美丽涞源发展目标，充分发挥职能作用，做好本职工作。</w:t>
      </w:r>
    </w:p>
    <w:p>
      <w:pPr>
        <w:pStyle w:val="25"/>
      </w:pPr>
      <w:r>
        <w:t>1.对沙河大街开展脏、乱、差综合整治活动，达到整洁、规范、有序。</w:t>
      </w:r>
    </w:p>
    <w:p>
      <w:pPr>
        <w:pStyle w:val="25"/>
      </w:pPr>
      <w:r>
        <w:t>2.加大市场建设力度，实现规范化管理。</w:t>
      </w:r>
    </w:p>
    <w:p>
      <w:pPr>
        <w:pStyle w:val="25"/>
      </w:pPr>
      <w:r>
        <w:t>3.把学习“不忘初心、牢记使命”</w:t>
      </w:r>
      <w:r>
        <w:rPr>
          <w:rFonts w:hint="eastAsia"/>
          <w:lang w:val="en-US" w:eastAsia="zh-CN"/>
        </w:rPr>
        <w:t>主题</w:t>
      </w:r>
      <w:bookmarkStart w:id="18" w:name="_GoBack"/>
      <w:bookmarkEnd w:id="18"/>
      <w:r>
        <w:t>教育纳入日常工作，提高自身政治站位和自身修养，加强党风廉政建设，改进工作作风，加强班子建设，为政府分配的工作交一份满意的答卷。</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涞源县市场建设管理办公室</w:t>
      </w:r>
    </w:p>
    <w:p>
      <w:pPr>
        <w:pStyle w:val="26"/>
      </w:pPr>
      <w:r>
        <w:t>职责分类绩效目标：</w:t>
      </w:r>
    </w:p>
    <w:p>
      <w:pPr>
        <w:pStyle w:val="26"/>
      </w:pPr>
      <w:r>
        <w:t>一是深入调研，科学论证，积极推动打造东外环矿山机械、建材千亩物流基地的项目，为我县市场实现基地化、规模化、规范化奠定了基础。</w:t>
      </w:r>
    </w:p>
    <w:p>
      <w:pPr>
        <w:pStyle w:val="26"/>
      </w:pPr>
      <w:r>
        <w:t>二是围绕建设旅游城市、经济强县、生态涞源总体目标，实现统一使用燃气等清洁能源的治理目标。同时，进一步加大沙河大街脏、乱、差治理，加强对垃圾进行集中清运监管，有效治理了沙河大街垃圾存放现象。在此基础上，同有关部门一起划定车位，治理沙河街车辆乱停乱放问题。经县政府研究决定，拟在广平大街北延路段东建一占地15亩的现代化综合市场。市场建成后，能够彻底解决东内环长期以来形成的以路为市、以街为市、占道经营、人车混乱的局面。为商品经营者提供一个良好的经营场所。</w:t>
      </w:r>
    </w:p>
    <w:p>
      <w:pPr>
        <w:pStyle w:val="26"/>
      </w:pPr>
      <w:r>
        <w:t>三是加大对王安镇等9个乡镇集贸市场的改造、迁建力度，理顺管理关系及方式，使其更加便民，方便当地群众生产生活。同时，积极促进仝川、乌龙沟等小型便民市场的发展，提高覆盖率，市场功能更加完备。</w:t>
      </w:r>
    </w:p>
    <w:p>
      <w:pPr>
        <w:pStyle w:val="26"/>
      </w:pPr>
      <w:r>
        <w:t>四是根据大气污染综合治理工作要求，沙河大街露天烧烤和室外炸油条及炸鸡所有商户进行综合治理，要求烧烤商户在规定区域内经营，按要求使用环保炉具，做到炉子进店、油烟进管，取缔了所有露天烧烤摊位，室外炸油条及炸鸡的所有商户都按要求安装了油烟净化器设备。</w:t>
      </w:r>
    </w:p>
    <w:p>
      <w:pPr>
        <w:pStyle w:val="26"/>
        <w:rPr>
          <w:rFonts w:hint="eastAsia"/>
          <w:lang w:eastAsia="zh-CN"/>
        </w:rPr>
      </w:pPr>
      <w:r>
        <w:t>五是在县委、县政府的坚强领导下，以党的十八大和</w:t>
      </w:r>
      <w:r>
        <w:rPr>
          <w:rFonts w:hint="eastAsia"/>
          <w:lang w:val="en-US" w:eastAsia="zh-CN"/>
        </w:rPr>
        <w:t>党的</w:t>
      </w:r>
      <w:r>
        <w:t>十九</w:t>
      </w:r>
      <w:r>
        <w:rPr>
          <w:rFonts w:hint="eastAsia"/>
          <w:lang w:val="en-US" w:eastAsia="zh-CN"/>
        </w:rPr>
        <w:t>大</w:t>
      </w:r>
      <w:r>
        <w:t>精神为指导，全面贯彻落实中央和省委、市委、县委、关于全面深化改革的决策部署，坚持“四个全面”战略布局，树立“创新、转型、协调、绿色、开放、共享”发展理念，突出“开放带动、转型升级、绿色崛起”三大发展主题</w:t>
      </w:r>
      <w:r>
        <w:rPr>
          <w:rFonts w:hint="eastAsia"/>
          <w:lang w:eastAsia="zh-CN"/>
        </w:rPr>
        <w:t>。</w:t>
      </w:r>
    </w:p>
    <w:p>
      <w:pPr>
        <w:pStyle w:val="26"/>
      </w:pPr>
      <w:r>
        <w:rPr>
          <w:rFonts w:hint="eastAsia"/>
          <w:lang w:val="en-US" w:eastAsia="zh-CN"/>
        </w:rPr>
        <w:t>六</w:t>
      </w:r>
      <w:r>
        <w:t>是按照县委、县政府指示开展精准扶贫，在所包王安镇杜家台村认真开展入户调查，搞好贫困户的识别、确认工作。</w:t>
      </w: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涞源县市场建设管理办公室</w:t>
      </w:r>
    </w:p>
    <w:p>
      <w:pPr>
        <w:pStyle w:val="27"/>
      </w:pPr>
    </w:p>
    <w:p>
      <w:pPr>
        <w:pStyle w:val="27"/>
      </w:pPr>
      <w:r>
        <w:t>实现年度发展规划目标的保障措施：</w:t>
      </w:r>
    </w:p>
    <w:p>
      <w:pPr>
        <w:pStyle w:val="27"/>
      </w:pPr>
      <w:r>
        <w:t>1、加强思想建设：</w:t>
      </w:r>
    </w:p>
    <w:p>
      <w:pPr>
        <w:pStyle w:val="27"/>
        <w:rPr>
          <w:rFonts w:hint="eastAsia" w:eastAsia="方正仿宋_GBK"/>
          <w:lang w:eastAsia="zh-CN"/>
        </w:rPr>
      </w:pPr>
      <w:r>
        <w:t>认真学习贯彻中央、省委、市委、县委、县纪委有关全面从严治党、党风廉政建设工作部署要求，提高政治站位，旗帜鲜明地讲政治，牢固树立“四个意识”，坚持“四个自信”，做到“两个维护”，坚决在思想上政治上行动上同以习近平同志为核心的党中央保持高度一致。并制定了学习计划，建立健全学习的有关规定，利用“学习强国”平台把“不忘初心、牢记使命”</w:t>
      </w:r>
      <w:r>
        <w:rPr>
          <w:rFonts w:hint="eastAsia"/>
          <w:lang w:val="en-US" w:eastAsia="zh-CN"/>
        </w:rPr>
        <w:t>主题教育</w:t>
      </w:r>
      <w:r>
        <w:t>贯穿始终</w:t>
      </w:r>
      <w:r>
        <w:rPr>
          <w:rFonts w:hint="eastAsia"/>
          <w:lang w:eastAsia="zh-CN"/>
        </w:rPr>
        <w:t>。</w:t>
      </w:r>
    </w:p>
    <w:p>
      <w:pPr>
        <w:pStyle w:val="27"/>
      </w:pPr>
      <w:r>
        <w:t>2、加强制度建设</w:t>
      </w:r>
    </w:p>
    <w:p>
      <w:pPr>
        <w:pStyle w:val="27"/>
      </w:pPr>
      <w:r>
        <w:t>进一步严格落实岗位责任制，完善管理制度，建立长效机制。一是健全内部管理制度，完善考核制度、财务管理制度、公务接待制度。二是明确岗位职责、严格工作标准、严守工作纪律、规范日常行为，做好各项工作有章可、规范有序，形成用制度规范行为、按制度管人办事的长效机制。</w:t>
      </w:r>
    </w:p>
    <w:p>
      <w:pPr>
        <w:pStyle w:val="27"/>
      </w:pPr>
      <w:r>
        <w:t>3、建立考核制度</w:t>
      </w:r>
    </w:p>
    <w:p>
      <w:pPr>
        <w:pStyle w:val="27"/>
      </w:pPr>
      <w:r>
        <w:t>领导班子将预算工作列入重要议事日程，成立了以主管副主任为组长的领导小组，分解年度发展规划目标，责任到人，每半年考核一次。</w:t>
      </w:r>
    </w:p>
    <w:p>
      <w:pPr>
        <w:pStyle w:val="27"/>
      </w:pPr>
      <w:r>
        <w:t>4、筑牢廉政防线</w:t>
      </w:r>
    </w:p>
    <w:p>
      <w:pPr>
        <w:pStyle w:val="27"/>
      </w:pPr>
      <w:r>
        <w:t>进一步加强干部职工党风廉政建设。为防止个别职工利用管理市场的权力，滋生吃拿卡要等腐败现象，党组认真开展了党风廉政建设教育，使广大职工牢固树立廉洁从政思想，做到警钟长鸣、防患未然。对苗头性、倾向性问题做到早发现、早处理。在教育的基础上，制定了党风廉政建设等有关制度，建立起长效机制。用制度管人，用制度管事。同时，进一步加强对党员干部的思想道德教育，用身边的典型教育人、激励人，教育干部职工树立正确的世界观、人生观、价值观。提升了干部职工廉洁从政，廉洁自律意识。</w:t>
      </w:r>
    </w:p>
    <w:p>
      <w:pPr>
        <w:ind w:firstLine="640"/>
        <w:rPr>
          <w:rFonts w:ascii="方正楷体_GBK" w:hAnsi="方正楷体_GBK" w:eastAsia="方正楷体_GBK" w:cs="方正楷体_GBK"/>
          <w:b/>
          <w:color w:val="000000"/>
          <w:sz w:val="32"/>
          <w:lang w:eastAsia="zh-CN"/>
        </w:rPr>
      </w:pPr>
    </w:p>
    <w:p>
      <w:pPr>
        <w:pStyle w:val="28"/>
      </w:pPr>
    </w:p>
    <w:p>
      <w:pPr>
        <w:spacing w:before="10" w:after="10" w:line="240" w:lineRule="auto"/>
        <w:ind w:firstLine="640"/>
        <w:jc w:val="left"/>
        <w:outlineLvl w:val="2"/>
      </w:pPr>
      <w:bookmarkStart w:id="14" w:name="_Toc_3_3_0000000015"/>
      <w:bookmarkStart w:id="15" w:name="_Toc_3_3_0000000016"/>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2022年，涞源县市场建设管理办公室安排政府采购预算0.00万元。具体内容见下表。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812涞源县市场建设管理办公室</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bookmarkEnd w:id="15"/>
    <w:p>
      <w:pPr>
        <w:spacing w:before="10" w:after="10" w:line="240" w:lineRule="auto"/>
        <w:ind w:firstLine="640"/>
        <w:jc w:val="left"/>
        <w:outlineLvl w:val="2"/>
      </w:pPr>
      <w:bookmarkStart w:id="16" w:name="_Toc_3_3_0000000017"/>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涞源县市场建设管理办公室（含所属单位）上年末固定资产金额为</w:t>
      </w:r>
      <w:r>
        <w:rPr>
          <w:rFonts w:hint="eastAsia" w:eastAsia="方正仿宋_GBK" w:cs="Times New Roman"/>
          <w:b w:val="0"/>
          <w:color w:val="000000"/>
          <w:sz w:val="28"/>
          <w:lang w:val="en-US" w:eastAsia="zh-CN"/>
        </w:rPr>
        <w:t>23.91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812涞源县市场建设管理办公室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23.91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23.91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86C1C6C"/>
    <w:rsid w:val="0A5630F5"/>
    <w:rsid w:val="0ED61EFE"/>
    <w:rsid w:val="10D57025"/>
    <w:rsid w:val="135D4D58"/>
    <w:rsid w:val="32D37BBF"/>
    <w:rsid w:val="40082B27"/>
    <w:rsid w:val="4EA27897"/>
    <w:rsid w:val="518505A4"/>
    <w:rsid w:val="56DB1815"/>
    <w:rsid w:val="584A4430"/>
    <w:rsid w:val="5BC83C57"/>
    <w:rsid w:val="5BFB55EF"/>
    <w:rsid w:val="5FF253E6"/>
    <w:rsid w:val="676E6F89"/>
    <w:rsid w:val="7391799E"/>
    <w:rsid w:val="7864321F"/>
    <w:rsid w:val="79DD7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6354</Words>
  <Characters>7294</Characters>
  <Lines>443</Lines>
  <Paragraphs>124</Paragraphs>
  <TotalTime>19</TotalTime>
  <ScaleCrop>false</ScaleCrop>
  <LinksUpToDate>false</LinksUpToDate>
  <CharactersWithSpaces>7428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娜娜</cp:lastModifiedBy>
  <dcterms:modified xsi:type="dcterms:W3CDTF">2024-01-29T05:32:21Z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8F6A70ACE8FE42E5B2B3795674C99BF5_13</vt:lpwstr>
  </property>
</Properties>
</file>