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一、涞源县市场建设服务中心本级收支预算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一、涞源县市场建设服务中心本级收支预算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282.56</w:t>
            </w:r>
          </w:p>
        </w:tc>
        <w:tc>
          <w:tcPr>
            <w:tcW w:w="4535" w:type="dxa"/>
            <w:vAlign w:val="center"/>
          </w:tcPr>
          <w:p>
            <w:pPr>
              <w:pStyle w:val="12"/>
            </w:pPr>
            <w:r>
              <w:t>一、一般公共服务支出</w:t>
            </w:r>
          </w:p>
        </w:tc>
        <w:tc>
          <w:tcPr>
            <w:tcW w:w="2126" w:type="dxa"/>
            <w:vAlign w:val="center"/>
          </w:tcPr>
          <w:p>
            <w:pPr>
              <w:pStyle w:val="11"/>
            </w:pPr>
            <w:r>
              <w:t>279.68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282.56</w:t>
            </w:r>
          </w:p>
        </w:tc>
        <w:tc>
          <w:tcPr>
            <w:tcW w:w="4535" w:type="dxa"/>
            <w:vAlign w:val="center"/>
          </w:tcPr>
          <w:p>
            <w:pPr>
              <w:pStyle w:val="14"/>
            </w:pPr>
            <w:r>
              <w:t>本年支出合计</w:t>
            </w:r>
          </w:p>
        </w:tc>
        <w:tc>
          <w:tcPr>
            <w:tcW w:w="2126" w:type="dxa"/>
            <w:vAlign w:val="center"/>
          </w:tcPr>
          <w:p>
            <w:pPr>
              <w:pStyle w:val="15"/>
            </w:pPr>
            <w:r>
              <w:t>282.56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282.56</w:t>
            </w:r>
          </w:p>
        </w:tc>
        <w:tc>
          <w:tcPr>
            <w:tcW w:w="4535" w:type="dxa"/>
            <w:vAlign w:val="center"/>
          </w:tcPr>
          <w:p>
            <w:pPr>
              <w:pStyle w:val="14"/>
            </w:pPr>
            <w:r>
              <w:t>支出总计</w:t>
            </w:r>
          </w:p>
        </w:tc>
        <w:tc>
          <w:tcPr>
            <w:tcW w:w="2126" w:type="dxa"/>
            <w:vAlign w:val="center"/>
          </w:tcPr>
          <w:p>
            <w:pPr>
              <w:pStyle w:val="15"/>
            </w:pPr>
            <w:r>
              <w:t>282.56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282.56</w:t>
            </w:r>
          </w:p>
        </w:tc>
        <w:tc>
          <w:tcPr>
            <w:tcW w:w="1134" w:type="dxa"/>
            <w:vAlign w:val="center"/>
          </w:tcPr>
          <w:p>
            <w:pPr>
              <w:pStyle w:val="15"/>
            </w:pPr>
            <w:r>
              <w:t>282.56</w:t>
            </w:r>
          </w:p>
        </w:tc>
        <w:tc>
          <w:tcPr>
            <w:tcW w:w="1134" w:type="dxa"/>
            <w:vAlign w:val="center"/>
          </w:tcPr>
          <w:p>
            <w:pPr>
              <w:pStyle w:val="15"/>
            </w:pPr>
            <w:r>
              <w:t>282.56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r>
              <w:t>279.68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1.44</w:t>
            </w:r>
          </w:p>
        </w:tc>
        <w:tc>
          <w:tcPr>
            <w:tcW w:w="1134" w:type="dxa"/>
            <w:vAlign w:val="center"/>
          </w:tcPr>
          <w:p>
            <w:pPr>
              <w:pStyle w:val="11"/>
            </w:pPr>
            <w:r>
              <w:t>1.44</w:t>
            </w:r>
          </w:p>
        </w:tc>
        <w:tc>
          <w:tcPr>
            <w:tcW w:w="1134" w:type="dxa"/>
            <w:vAlign w:val="center"/>
          </w:tcPr>
          <w:p>
            <w:pPr>
              <w:pStyle w:val="11"/>
            </w:pPr>
            <w:r>
              <w:t>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282.56</w:t>
            </w:r>
          </w:p>
        </w:tc>
        <w:tc>
          <w:tcPr>
            <w:tcW w:w="1361" w:type="dxa"/>
            <w:vAlign w:val="center"/>
          </w:tcPr>
          <w:p>
            <w:pPr>
              <w:pStyle w:val="15"/>
            </w:pPr>
            <w:r>
              <w:t>282.56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279.68</w:t>
            </w:r>
          </w:p>
        </w:tc>
        <w:tc>
          <w:tcPr>
            <w:tcW w:w="1361" w:type="dxa"/>
            <w:vAlign w:val="center"/>
          </w:tcPr>
          <w:p>
            <w:pPr>
              <w:pStyle w:val="11"/>
            </w:pPr>
            <w:r>
              <w:t>279.68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279.68</w:t>
            </w:r>
          </w:p>
        </w:tc>
        <w:tc>
          <w:tcPr>
            <w:tcW w:w="1361" w:type="dxa"/>
            <w:vAlign w:val="center"/>
          </w:tcPr>
          <w:p>
            <w:pPr>
              <w:pStyle w:val="11"/>
            </w:pPr>
            <w:r>
              <w:t>279.68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279.68</w:t>
            </w:r>
          </w:p>
        </w:tc>
        <w:tc>
          <w:tcPr>
            <w:tcW w:w="1361" w:type="dxa"/>
            <w:vAlign w:val="center"/>
          </w:tcPr>
          <w:p>
            <w:pPr>
              <w:pStyle w:val="11"/>
            </w:pPr>
            <w:r>
              <w:t>279.68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2.16</w:t>
            </w: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2.16</w:t>
            </w: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1.44</w:t>
            </w:r>
          </w:p>
        </w:tc>
        <w:tc>
          <w:tcPr>
            <w:tcW w:w="1361" w:type="dxa"/>
            <w:vAlign w:val="center"/>
          </w:tcPr>
          <w:p>
            <w:pPr>
              <w:pStyle w:val="11"/>
            </w:pPr>
            <w:r>
              <w:t>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0.72</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0.72</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0.72</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0.72</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282.56</w:t>
            </w:r>
          </w:p>
        </w:tc>
        <w:tc>
          <w:tcPr>
            <w:tcW w:w="3402" w:type="dxa"/>
            <w:vAlign w:val="center"/>
          </w:tcPr>
          <w:p>
            <w:pPr>
              <w:pStyle w:val="12"/>
            </w:pPr>
            <w:r>
              <w:t>一、一般公共服务支出</w:t>
            </w:r>
          </w:p>
        </w:tc>
        <w:tc>
          <w:tcPr>
            <w:tcW w:w="1474" w:type="dxa"/>
            <w:vAlign w:val="center"/>
          </w:tcPr>
          <w:p>
            <w:pPr>
              <w:pStyle w:val="11"/>
            </w:pPr>
            <w:r>
              <w:t>279.68</w:t>
            </w:r>
          </w:p>
        </w:tc>
        <w:tc>
          <w:tcPr>
            <w:tcW w:w="1474" w:type="dxa"/>
            <w:vAlign w:val="center"/>
          </w:tcPr>
          <w:p>
            <w:pPr>
              <w:pStyle w:val="11"/>
            </w:pPr>
            <w:r>
              <w:t>279.68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2.16</w:t>
            </w:r>
          </w:p>
        </w:tc>
        <w:tc>
          <w:tcPr>
            <w:tcW w:w="1474" w:type="dxa"/>
            <w:vAlign w:val="center"/>
          </w:tcPr>
          <w:p>
            <w:pPr>
              <w:pStyle w:val="11"/>
            </w:pPr>
            <w:r>
              <w:t>2.16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0.72</w:t>
            </w:r>
          </w:p>
        </w:tc>
        <w:tc>
          <w:tcPr>
            <w:tcW w:w="1474" w:type="dxa"/>
            <w:vAlign w:val="center"/>
          </w:tcPr>
          <w:p>
            <w:pPr>
              <w:pStyle w:val="11"/>
            </w:pPr>
            <w:r>
              <w:t>0.72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282.56</w:t>
            </w:r>
          </w:p>
        </w:tc>
        <w:tc>
          <w:tcPr>
            <w:tcW w:w="3402" w:type="dxa"/>
            <w:vAlign w:val="center"/>
          </w:tcPr>
          <w:p>
            <w:pPr>
              <w:pStyle w:val="14"/>
            </w:pPr>
            <w:r>
              <w:t>本年支出合计</w:t>
            </w:r>
          </w:p>
        </w:tc>
        <w:tc>
          <w:tcPr>
            <w:tcW w:w="1474" w:type="dxa"/>
            <w:vAlign w:val="center"/>
          </w:tcPr>
          <w:p>
            <w:pPr>
              <w:pStyle w:val="15"/>
            </w:pPr>
            <w:r>
              <w:t>282.56</w:t>
            </w:r>
          </w:p>
        </w:tc>
        <w:tc>
          <w:tcPr>
            <w:tcW w:w="1474" w:type="dxa"/>
            <w:vAlign w:val="center"/>
          </w:tcPr>
          <w:p>
            <w:pPr>
              <w:pStyle w:val="15"/>
            </w:pPr>
            <w:r>
              <w:t>282.56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282.56</w:t>
            </w:r>
          </w:p>
        </w:tc>
        <w:tc>
          <w:tcPr>
            <w:tcW w:w="3402" w:type="dxa"/>
            <w:vAlign w:val="center"/>
          </w:tcPr>
          <w:p>
            <w:pPr>
              <w:pStyle w:val="14"/>
            </w:pPr>
            <w:r>
              <w:t>支出总计</w:t>
            </w:r>
          </w:p>
        </w:tc>
        <w:tc>
          <w:tcPr>
            <w:tcW w:w="1474" w:type="dxa"/>
            <w:vAlign w:val="center"/>
          </w:tcPr>
          <w:p>
            <w:pPr>
              <w:pStyle w:val="15"/>
            </w:pPr>
            <w:r>
              <w:t>282.56</w:t>
            </w:r>
          </w:p>
        </w:tc>
        <w:tc>
          <w:tcPr>
            <w:tcW w:w="1474" w:type="dxa"/>
            <w:vAlign w:val="center"/>
          </w:tcPr>
          <w:p>
            <w:pPr>
              <w:pStyle w:val="15"/>
            </w:pPr>
            <w:r>
              <w:t>282.56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282.56</w:t>
            </w:r>
          </w:p>
        </w:tc>
        <w:tc>
          <w:tcPr>
            <w:tcW w:w="2551" w:type="dxa"/>
            <w:vAlign w:val="center"/>
          </w:tcPr>
          <w:p>
            <w:pPr>
              <w:pStyle w:val="15"/>
            </w:pPr>
            <w:r>
              <w:t>282.56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279.68</w:t>
            </w:r>
          </w:p>
        </w:tc>
        <w:tc>
          <w:tcPr>
            <w:tcW w:w="2551" w:type="dxa"/>
            <w:vAlign w:val="center"/>
          </w:tcPr>
          <w:p>
            <w:pPr>
              <w:pStyle w:val="11"/>
            </w:pPr>
            <w:r>
              <w:t>279.68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279.68</w:t>
            </w:r>
          </w:p>
        </w:tc>
        <w:tc>
          <w:tcPr>
            <w:tcW w:w="2551" w:type="dxa"/>
            <w:vAlign w:val="center"/>
          </w:tcPr>
          <w:p>
            <w:pPr>
              <w:pStyle w:val="11"/>
            </w:pPr>
            <w:r>
              <w:t>279.68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279.68</w:t>
            </w:r>
          </w:p>
        </w:tc>
        <w:tc>
          <w:tcPr>
            <w:tcW w:w="2551" w:type="dxa"/>
            <w:vAlign w:val="center"/>
          </w:tcPr>
          <w:p>
            <w:pPr>
              <w:pStyle w:val="11"/>
            </w:pPr>
            <w:r>
              <w:t>279.68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2.16</w:t>
            </w:r>
          </w:p>
        </w:tc>
        <w:tc>
          <w:tcPr>
            <w:tcW w:w="2551" w:type="dxa"/>
            <w:vAlign w:val="center"/>
          </w:tcPr>
          <w:p>
            <w:pPr>
              <w:pStyle w:val="11"/>
            </w:pPr>
            <w:r>
              <w:t>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2.16</w:t>
            </w:r>
          </w:p>
        </w:tc>
        <w:tc>
          <w:tcPr>
            <w:tcW w:w="2551" w:type="dxa"/>
            <w:vAlign w:val="center"/>
          </w:tcPr>
          <w:p>
            <w:pPr>
              <w:pStyle w:val="11"/>
            </w:pPr>
            <w:r>
              <w:t>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282.56</w:t>
            </w:r>
          </w:p>
        </w:tc>
        <w:tc>
          <w:tcPr>
            <w:tcW w:w="2551" w:type="dxa"/>
            <w:vAlign w:val="center"/>
          </w:tcPr>
          <w:p>
            <w:pPr>
              <w:pStyle w:val="15"/>
            </w:pPr>
            <w:r>
              <w:t>191.99</w:t>
            </w:r>
          </w:p>
        </w:tc>
        <w:tc>
          <w:tcPr>
            <w:tcW w:w="2551" w:type="dxa"/>
            <w:vAlign w:val="center"/>
          </w:tcPr>
          <w:p>
            <w:pPr>
              <w:pStyle w:val="15"/>
            </w:pPr>
            <w:r>
              <w:t>90.57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185.79</w:t>
            </w:r>
          </w:p>
        </w:tc>
        <w:tc>
          <w:tcPr>
            <w:tcW w:w="2551" w:type="dxa"/>
            <w:vAlign w:val="center"/>
          </w:tcPr>
          <w:p>
            <w:pPr>
              <w:pStyle w:val="11"/>
            </w:pPr>
            <w:r>
              <w:t>185.79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156.05</w:t>
            </w:r>
          </w:p>
        </w:tc>
        <w:tc>
          <w:tcPr>
            <w:tcW w:w="2551" w:type="dxa"/>
            <w:vAlign w:val="center"/>
          </w:tcPr>
          <w:p>
            <w:pPr>
              <w:pStyle w:val="11"/>
            </w:pPr>
            <w:r>
              <w:t>156.05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14.58</w:t>
            </w:r>
          </w:p>
        </w:tc>
        <w:tc>
          <w:tcPr>
            <w:tcW w:w="2551" w:type="dxa"/>
            <w:vAlign w:val="center"/>
          </w:tcPr>
          <w:p>
            <w:pPr>
              <w:pStyle w:val="11"/>
            </w:pPr>
            <w:r>
              <w:t>14.58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11.59</w:t>
            </w:r>
          </w:p>
        </w:tc>
        <w:tc>
          <w:tcPr>
            <w:tcW w:w="2551" w:type="dxa"/>
            <w:vAlign w:val="center"/>
          </w:tcPr>
          <w:p>
            <w:pPr>
              <w:pStyle w:val="11"/>
            </w:pPr>
            <w:r>
              <w:t>11.59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90.57</w:t>
            </w:r>
          </w:p>
        </w:tc>
        <w:tc>
          <w:tcPr>
            <w:tcW w:w="2551" w:type="dxa"/>
            <w:vAlign w:val="center"/>
          </w:tcPr>
          <w:p>
            <w:pPr>
              <w:pStyle w:val="11"/>
            </w:pPr>
          </w:p>
        </w:tc>
        <w:tc>
          <w:tcPr>
            <w:tcW w:w="2551" w:type="dxa"/>
            <w:vAlign w:val="center"/>
          </w:tcPr>
          <w:p>
            <w:pPr>
              <w:pStyle w:val="11"/>
            </w:pPr>
            <w:r>
              <w:t>90.57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4.73</w:t>
            </w:r>
          </w:p>
        </w:tc>
        <w:tc>
          <w:tcPr>
            <w:tcW w:w="2551" w:type="dxa"/>
            <w:vAlign w:val="center"/>
          </w:tcPr>
          <w:p>
            <w:pPr>
              <w:pStyle w:val="11"/>
            </w:pPr>
          </w:p>
        </w:tc>
        <w:tc>
          <w:tcPr>
            <w:tcW w:w="2551" w:type="dxa"/>
            <w:vAlign w:val="center"/>
          </w:tcPr>
          <w:p>
            <w:pPr>
              <w:pStyle w:val="11"/>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77.00</w:t>
            </w:r>
          </w:p>
        </w:tc>
        <w:tc>
          <w:tcPr>
            <w:tcW w:w="2551" w:type="dxa"/>
            <w:vAlign w:val="center"/>
          </w:tcPr>
          <w:p>
            <w:pPr>
              <w:pStyle w:val="11"/>
            </w:pPr>
          </w:p>
        </w:tc>
        <w:tc>
          <w:tcPr>
            <w:tcW w:w="2551" w:type="dxa"/>
            <w:vAlign w:val="center"/>
          </w:tcPr>
          <w:p>
            <w:pPr>
              <w:pStyle w:val="11"/>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涞源县市场建设服务中心本级2024年单位预算信息公开情况说明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按照《中华人民共和国预算法》、《地方预决算公开操作规程》和《关于进一步推进预算公开工作的实施意见》规定，现将涞源县市场建设服务中心本级2024年单位预算公开如下：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（一）</w:t>
      </w:r>
      <w:r>
        <w:rPr>
          <w:rFonts w:ascii="Times New Roman" w:hAnsi="Times New Roman" w:eastAsia="方正仿宋_GBK" w:cs="Times New Roman"/>
          <w:b w:val="0"/>
          <w:color w:val="000000"/>
          <w:sz w:val="28"/>
          <w:szCs w:val="24"/>
          <w:lang w:val="en-US" w:eastAsia="zh-CN" w:bidi="ar-SA"/>
        </w:rPr>
        <w:t>负责市场论证、开发建设、布局规划、登记管理。</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（二）</w:t>
      </w:r>
      <w:r>
        <w:rPr>
          <w:rFonts w:ascii="Times New Roman" w:hAnsi="Times New Roman" w:eastAsia="方正仿宋_GBK" w:cs="Times New Roman"/>
          <w:b w:val="0"/>
          <w:color w:val="000000"/>
          <w:sz w:val="28"/>
          <w:szCs w:val="24"/>
          <w:lang w:val="en-US" w:eastAsia="zh-CN" w:bidi="ar-SA"/>
        </w:rPr>
        <w:t>负责市场培育发展、繁荣发展集市贸易、组织各类庙会、商品交易会。</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（三）</w:t>
      </w:r>
      <w:r>
        <w:rPr>
          <w:rFonts w:ascii="Times New Roman" w:hAnsi="Times New Roman" w:eastAsia="方正仿宋_GBK" w:cs="Times New Roman"/>
          <w:b w:val="0"/>
          <w:color w:val="000000"/>
          <w:sz w:val="28"/>
          <w:szCs w:val="24"/>
          <w:lang w:val="en-US" w:eastAsia="zh-CN" w:bidi="ar-SA"/>
        </w:rPr>
        <w:t>管理市场物业，负责市场设施的维修、摊位场地租赁、经营市场资产、收取设施租赁费和其它费用。</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（四）</w:t>
      </w:r>
      <w:r>
        <w:rPr>
          <w:rFonts w:ascii="Times New Roman" w:hAnsi="Times New Roman" w:eastAsia="方正仿宋_GBK" w:cs="Times New Roman"/>
          <w:b w:val="0"/>
          <w:color w:val="000000"/>
          <w:sz w:val="28"/>
          <w:szCs w:val="24"/>
          <w:lang w:val="en-US" w:eastAsia="zh-CN" w:bidi="ar-SA"/>
        </w:rPr>
        <w:t>围绕市场提供帮购帮销，代储代运、信息网络建设。</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（五）</w:t>
      </w:r>
      <w:r>
        <w:rPr>
          <w:rFonts w:ascii="Times New Roman" w:hAnsi="Times New Roman" w:eastAsia="方正仿宋_GBK" w:cs="Times New Roman"/>
          <w:b w:val="0"/>
          <w:color w:val="000000"/>
          <w:sz w:val="28"/>
          <w:szCs w:val="24"/>
          <w:lang w:val="en-US" w:eastAsia="zh-CN" w:bidi="ar-SA"/>
        </w:rPr>
        <w:t>负责各类市场统一管理、统一收费、收入合理分配，确保市场安全、卫生、有序，配合有关部门查处市场中的违法、违章行为。</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（六）</w:t>
      </w:r>
      <w:r>
        <w:rPr>
          <w:rFonts w:ascii="Times New Roman" w:hAnsi="Times New Roman" w:eastAsia="方正仿宋_GBK" w:cs="Times New Roman"/>
          <w:b w:val="0"/>
          <w:color w:val="000000"/>
          <w:sz w:val="28"/>
          <w:szCs w:val="24"/>
          <w:lang w:val="en-US" w:eastAsia="zh-CN" w:bidi="ar-SA"/>
        </w:rPr>
        <w:t>规范经营秩序，负责市场稽查、治理马路市场。</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（七）</w:t>
      </w:r>
      <w:r>
        <w:rPr>
          <w:rFonts w:ascii="Times New Roman" w:hAnsi="Times New Roman" w:eastAsia="方正仿宋_GBK" w:cs="Times New Roman"/>
          <w:b w:val="0"/>
          <w:color w:val="000000"/>
          <w:sz w:val="28"/>
          <w:szCs w:val="24"/>
          <w:lang w:val="en-US" w:eastAsia="zh-CN" w:bidi="ar-SA"/>
        </w:rPr>
        <w:t>组织开发商品生产基地、销售基地，拓宽流通渠道，保持市场繁荣兴旺。</w:t>
      </w:r>
    </w:p>
    <w:p>
      <w:pPr>
        <w:pStyle w:val="22"/>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（八）</w:t>
      </w:r>
      <w:r>
        <w:rPr>
          <w:rFonts w:ascii="Times New Roman" w:hAnsi="Times New Roman" w:eastAsia="方正仿宋_GBK" w:cs="Times New Roman"/>
          <w:b w:val="0"/>
          <w:color w:val="000000"/>
          <w:sz w:val="28"/>
          <w:szCs w:val="24"/>
          <w:lang w:val="en-US" w:eastAsia="zh-CN" w:bidi="ar-SA"/>
        </w:rPr>
        <w:t>负责市场的各类检查、评比、验收及统计分析。</w:t>
      </w:r>
    </w:p>
    <w:p>
      <w:pPr>
        <w:pStyle w:val="22"/>
      </w:pPr>
      <w:r>
        <w:rPr>
          <w:rFonts w:hint="eastAsia" w:ascii="Times New Roman" w:hAnsi="Times New Roman" w:eastAsia="方正仿宋_GBK" w:cs="Times New Roman"/>
          <w:b w:val="0"/>
          <w:color w:val="000000"/>
          <w:sz w:val="28"/>
          <w:szCs w:val="24"/>
          <w:lang w:val="en-US" w:eastAsia="zh-CN" w:bidi="ar-SA"/>
        </w:rPr>
        <w:t>（九）</w:t>
      </w:r>
      <w:r>
        <w:rPr>
          <w:rFonts w:ascii="Times New Roman" w:hAnsi="Times New Roman" w:eastAsia="方正仿宋_GBK" w:cs="Times New Roman"/>
          <w:b w:val="0"/>
          <w:color w:val="000000"/>
          <w:sz w:val="28"/>
          <w:szCs w:val="24"/>
          <w:lang w:val="en-US" w:eastAsia="zh-CN" w:bidi="ar-SA"/>
        </w:rPr>
        <w:t>承办县委、</w:t>
      </w:r>
      <w:r>
        <w:rPr>
          <w:rFonts w:hint="eastAsia" w:ascii="Times New Roman" w:hAnsi="Times New Roman" w:eastAsia="方正仿宋_GBK" w:cs="Times New Roman"/>
          <w:b w:val="0"/>
          <w:color w:val="000000"/>
          <w:sz w:val="28"/>
          <w:szCs w:val="24"/>
          <w:lang w:val="en-US" w:eastAsia="zh-CN" w:bidi="ar-SA"/>
        </w:rPr>
        <w:t>县</w:t>
      </w:r>
      <w:r>
        <w:rPr>
          <w:rFonts w:ascii="Times New Roman" w:hAnsi="Times New Roman" w:eastAsia="方正仿宋_GBK" w:cs="Times New Roman"/>
          <w:b w:val="0"/>
          <w:color w:val="000000"/>
          <w:sz w:val="28"/>
          <w:szCs w:val="24"/>
          <w:lang w:val="en-US" w:eastAsia="zh-CN" w:bidi="ar-SA"/>
        </w:rPr>
        <w:t>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涞源县市场建设服务中心本级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282.56万元，其中：一般公共预算收入282.56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市场建设服务中心本级年度单位预算中支出预算的总体情况。2024年支出预算282.56万元，其中基本支出282.56万元，包括人员经费191.99万元和日常公用经费90.57万元；项目支出0.00万元，主要为无项目支出</w:t>
      </w:r>
    </w:p>
    <w:p>
      <w:pPr>
        <w:pStyle w:val="18"/>
      </w:pPr>
      <w:r>
        <w:t>3、比上年增减情况</w:t>
      </w:r>
    </w:p>
    <w:p>
      <w:pPr>
        <w:pStyle w:val="18"/>
      </w:pPr>
      <w:r>
        <w:t>2024年预算收支安排282.56万元，较2023年预算增加8.11万元，其中：基本支出增加8.11万元，主要为增加公用经费支出项目支出增加0.00万元，主要为无项目支出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2024年，我单位机关运行经费共计安排90.57万元，主要用于日常维修、办公用房水电费、办公用房取暖费、办公用房物业管理费等日常运行支出。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bookmarkStart w:id="1" w:name="_GoBack"/>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w:t>
      </w:r>
      <w:r>
        <w:rPr>
          <w:rFonts w:hint="eastAsia"/>
          <w:lang w:val="en-US" w:eastAsia="zh-CN"/>
        </w:rPr>
        <w:t>单位</w:t>
      </w:r>
      <w:r>
        <w:t>无三公经费支出</w:t>
      </w:r>
      <w:r>
        <w:rPr>
          <w:rFonts w:hint="eastAsia"/>
          <w:lang w:eastAsia="zh-CN"/>
        </w:rPr>
        <w:t>。</w:t>
      </w:r>
    </w:p>
    <w:bookmarkEnd w:id="1"/>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涞源县市场建设服务中心本级上年末固定资产金额为26.16万元（详见下表）。本年度拟购置固定资产总额为0.00万元，已按要求列入政府采购预算，详见政府采购预算表。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812001涞源县市场建设服务中心本级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83</w:t>
            </w:r>
          </w:p>
        </w:tc>
        <w:tc>
          <w:tcPr>
            <w:tcW w:w="2835" w:type="dxa"/>
            <w:vAlign w:val="center"/>
          </w:tcPr>
          <w:p>
            <w:pPr>
              <w:pStyle w:val="11"/>
            </w:pPr>
            <w:r>
              <w:t>26.16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368B1EB0"/>
    <w:rsid w:val="658D4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2024-03-06T14:33:11Z</dcterms:created>
  <dcterms:modified xsi:type="dcterms:W3CDTF">2024-03-06T06:33:10Z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2024-03-06T14:33:11Z</dcterms:created>
  <dcterms:modified xsi:type="dcterms:W3CDTF">2024-03-06T06:33:11Z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2024-03-06T14:33:06Z</dcterms:created>
  <dcterms:modified xsi:type="dcterms:W3CDTF">2024-03-06T06:33:06Z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23256e-f695-441a-8904-987b647acb9a}">
  <ds:schemaRefs/>
</ds:datastoreItem>
</file>

<file path=customXml/itemProps2.xml><?xml version="1.0" encoding="utf-8"?>
<ds:datastoreItem xmlns:ds="http://schemas.openxmlformats.org/officeDocument/2006/customXml" ds:itemID="{ef6c16a7-8188-4572-9234-ca0b3bd6a058}">
  <ds:schemaRefs/>
</ds:datastoreItem>
</file>

<file path=customXml/itemProps3.xml><?xml version="1.0" encoding="utf-8"?>
<ds:datastoreItem xmlns:ds="http://schemas.openxmlformats.org/officeDocument/2006/customXml" ds:itemID="{9d4dcc1d-fc57-4195-b3ee-f619df45d35e}">
  <ds:schemaRefs/>
</ds:datastoreItem>
</file>

<file path=customXml/itemProps4.xml><?xml version="1.0" encoding="utf-8"?>
<ds:datastoreItem xmlns:ds="http://schemas.openxmlformats.org/officeDocument/2006/customXml" ds:itemID="{1bbd7bd8-28a3-4870-b4f2-f92154a167ed}">
  <ds:schemaRefs/>
</ds:datastoreItem>
</file>

<file path=customXml/itemProps5.xml><?xml version="1.0" encoding="utf-8"?>
<ds:datastoreItem xmlns:ds="http://schemas.openxmlformats.org/officeDocument/2006/customXml" ds:itemID="{971e882a-9e84-41ee-8245-4300d2281ff9}">
  <ds:schemaRefs/>
</ds:datastoreItem>
</file>

<file path=customXml/itemProps6.xml><?xml version="1.0" encoding="utf-8"?>
<ds:datastoreItem xmlns:ds="http://schemas.openxmlformats.org/officeDocument/2006/customXml" ds:itemID="{45d8a11f-0a8d-499f-8602-1b25cd8cc69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2024-03-06T14:33:00Z</dcterms:created>
  <dc:creator>华为</dc:creator>
  <cp:lastModifiedBy>娜娜</cp:lastModifiedBy>
  <dcterms:modified xsi:type="dcterms:W3CDTF">2024-03-06T08:29:53Z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93BCF0197C614E818C5FD3FEA693D47F_13</vt:lpwstr>
  </property>
</Properties>
</file>