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45"/>
        <w:jc w:val="center"/>
        <w:rPr>
          <w:rFonts w:ascii="宋体" w:cs="Times New Roman"/>
          <w:b/>
          <w:bCs/>
          <w:color w:val="111111"/>
          <w:kern w:val="0"/>
          <w:sz w:val="44"/>
          <w:szCs w:val="44"/>
        </w:rPr>
      </w:pPr>
      <w:r>
        <w:rPr>
          <w:rFonts w:hint="eastAsia" w:ascii="宋体" w:hAnsi="宋体" w:cs="宋体"/>
          <w:b/>
          <w:bCs/>
          <w:color w:val="111111"/>
          <w:kern w:val="0"/>
          <w:sz w:val="44"/>
          <w:szCs w:val="44"/>
        </w:rPr>
        <w:t>涞源县就业服务局</w:t>
      </w:r>
    </w:p>
    <w:p>
      <w:pPr>
        <w:widowControl/>
        <w:spacing w:line="480" w:lineRule="atLeast"/>
        <w:ind w:firstLine="645"/>
        <w:jc w:val="center"/>
        <w:rPr>
          <w:rFonts w:ascii="黑体" w:eastAsia="黑体" w:cs="Times New Roman"/>
          <w:color w:val="111111"/>
          <w:kern w:val="0"/>
        </w:rPr>
      </w:pPr>
      <w:r>
        <w:rPr>
          <w:rFonts w:ascii="宋体" w:hAnsi="宋体" w:cs="宋体"/>
          <w:b/>
          <w:bCs/>
          <w:color w:val="111111"/>
          <w:kern w:val="0"/>
          <w:sz w:val="44"/>
          <w:szCs w:val="44"/>
        </w:rPr>
        <w:t>2017</w:t>
      </w:r>
      <w:r>
        <w:rPr>
          <w:rFonts w:hint="eastAsia" w:ascii="宋体" w:hAnsi="宋体" w:cs="宋体"/>
          <w:b/>
          <w:bCs/>
          <w:color w:val="111111"/>
          <w:kern w:val="0"/>
          <w:sz w:val="44"/>
          <w:szCs w:val="44"/>
        </w:rPr>
        <w:t>年部门预算信息公开</w:t>
      </w:r>
      <w:r>
        <w:rPr>
          <w:rFonts w:ascii="宋体" w:hAnsi="宋体" w:cs="宋体"/>
          <w:b/>
          <w:bCs/>
          <w:color w:val="111111"/>
          <w:kern w:val="0"/>
          <w:sz w:val="44"/>
          <w:szCs w:val="44"/>
        </w:rPr>
        <w:t xml:space="preserve"> </w:t>
      </w:r>
    </w:p>
    <w:p>
      <w:pPr>
        <w:widowControl/>
        <w:spacing w:line="480" w:lineRule="atLeast"/>
        <w:ind w:firstLine="645"/>
        <w:jc w:val="center"/>
        <w:rPr>
          <w:rFonts w:ascii="黑体" w:eastAsia="黑体" w:cs="Times New Roman"/>
          <w:color w:val="111111"/>
          <w:kern w:val="0"/>
          <w:sz w:val="32"/>
          <w:szCs w:val="32"/>
        </w:rPr>
      </w:pPr>
    </w:p>
    <w:p>
      <w:pPr>
        <w:widowControl/>
        <w:spacing w:line="480" w:lineRule="atLeast"/>
        <w:ind w:firstLine="645"/>
        <w:rPr>
          <w:rFonts w:ascii="仿宋_GB2312" w:hAnsi="仿宋" w:eastAsia="仿宋_GB2312" w:cs="Times New Roman"/>
          <w:color w:val="111111"/>
          <w:kern w:val="0"/>
          <w:sz w:val="32"/>
          <w:szCs w:val="32"/>
        </w:rPr>
      </w:pPr>
      <w:r>
        <w:rPr>
          <w:rFonts w:hint="eastAsia" w:ascii="仿宋_GB2312" w:hAnsi="仿宋" w:eastAsia="仿宋_GB2312" w:cs="仿宋_GB2312"/>
          <w:color w:val="111111"/>
          <w:kern w:val="0"/>
          <w:sz w:val="32"/>
          <w:szCs w:val="32"/>
        </w:rPr>
        <w:t>按照《预算法》规定，现将涞源县就业服务局</w:t>
      </w:r>
      <w:r>
        <w:rPr>
          <w:rFonts w:ascii="仿宋_GB2312" w:hAnsi="仿宋" w:eastAsia="仿宋_GB2312" w:cs="仿宋_GB2312"/>
          <w:color w:val="111111"/>
          <w:kern w:val="0"/>
          <w:sz w:val="32"/>
          <w:szCs w:val="32"/>
        </w:rPr>
        <w:t>2017</w:t>
      </w:r>
      <w:r>
        <w:rPr>
          <w:rFonts w:hint="eastAsia" w:ascii="仿宋_GB2312" w:hAnsi="仿宋" w:eastAsia="仿宋_GB2312" w:cs="仿宋_GB2312"/>
          <w:color w:val="111111"/>
          <w:kern w:val="0"/>
          <w:sz w:val="32"/>
          <w:szCs w:val="32"/>
        </w:rPr>
        <w:t>年部门预算公开如下：</w:t>
      </w:r>
    </w:p>
    <w:p>
      <w:pPr>
        <w:widowControl/>
        <w:spacing w:line="480" w:lineRule="atLeast"/>
        <w:ind w:firstLine="645"/>
        <w:jc w:val="center"/>
        <w:rPr>
          <w:rFonts w:ascii="黑体" w:hAnsi="黑体" w:eastAsia="黑体" w:cs="Times New Roman"/>
          <w:color w:val="111111"/>
          <w:kern w:val="0"/>
          <w:sz w:val="32"/>
          <w:szCs w:val="32"/>
        </w:rPr>
      </w:pPr>
    </w:p>
    <w:p>
      <w:pPr>
        <w:widowControl/>
        <w:spacing w:line="480" w:lineRule="atLeast"/>
        <w:ind w:firstLine="645"/>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第一部分：部门职责及机构设置情况</w:t>
      </w:r>
    </w:p>
    <w:p>
      <w:pPr>
        <w:widowControl/>
        <w:spacing w:line="480" w:lineRule="atLeast"/>
        <w:ind w:firstLine="645"/>
        <w:jc w:val="center"/>
        <w:rPr>
          <w:rFonts w:ascii="黑体" w:hAnsi="黑体" w:eastAsia="黑体" w:cs="Times New Roman"/>
          <w:color w:val="111111"/>
          <w:kern w:val="0"/>
          <w:sz w:val="32"/>
          <w:szCs w:val="32"/>
        </w:rPr>
      </w:pPr>
    </w:p>
    <w:p>
      <w:pPr>
        <w:pStyle w:val="13"/>
        <w:widowControl/>
        <w:numPr>
          <w:ilvl w:val="0"/>
          <w:numId w:val="1"/>
        </w:numPr>
        <w:spacing w:line="560" w:lineRule="atLeast"/>
        <w:ind w:firstLineChars="0"/>
        <w:jc w:val="left"/>
        <w:rPr>
          <w:rFonts w:ascii="黑体" w:hAnsi="黑体" w:eastAsia="黑体" w:cs="Times New Roman"/>
          <w:color w:val="111111"/>
          <w:kern w:val="0"/>
        </w:rPr>
      </w:pPr>
      <w:r>
        <w:rPr>
          <w:rFonts w:hint="eastAsia" w:ascii="黑体" w:hAnsi="黑体" w:eastAsia="黑体" w:cs="黑体"/>
          <w:color w:val="111111"/>
          <w:kern w:val="0"/>
          <w:sz w:val="32"/>
          <w:szCs w:val="32"/>
        </w:rPr>
        <w:t>部门职责</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color w:val="484747"/>
          <w:kern w:val="0"/>
          <w:sz w:val="32"/>
          <w:szCs w:val="32"/>
        </w:rPr>
        <w:t>（一）</w:t>
      </w:r>
      <w:r>
        <w:rPr>
          <w:rFonts w:hint="eastAsia" w:ascii="仿宋_GB2312" w:hAnsi="仿宋" w:eastAsia="仿宋_GB2312" w:cs="仿宋_GB2312"/>
          <w:sz w:val="32"/>
          <w:szCs w:val="32"/>
        </w:rPr>
        <w:t>贯彻执行国家、省、市的就业创业扶持政策，制定符合县级实际情况的就业扶持政策，推动县级就业工作，实施县政府批准的就业项目，组织实施就业和管理工作。</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（二）建设就业服务体系，建立健全职业指导、职业介绍、就业服务人力资源市场等公共就业服务体系，建立基层人力资源和社会保障服务平台，实施免费的公共就业服务。</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（三）职业培训能力建设，做好就业困难人员培训工作，提高就业困难人员，实现稳定就业。</w:t>
      </w:r>
    </w:p>
    <w:p>
      <w:pPr>
        <w:ind w:firstLine="480" w:firstLineChars="150"/>
        <w:rPr>
          <w:rFonts w:ascii="仿宋_GB2312" w:hAnsi="仿宋" w:eastAsia="仿宋_GB2312" w:cs="Times New Roman"/>
          <w:sz w:val="32"/>
          <w:szCs w:val="32"/>
        </w:rPr>
      </w:pPr>
      <w:r>
        <w:rPr>
          <w:rFonts w:hint="eastAsia" w:ascii="仿宋_GB2312" w:hAnsi="仿宋" w:eastAsia="仿宋_GB2312" w:cs="仿宋_GB2312"/>
          <w:sz w:val="32"/>
          <w:szCs w:val="32"/>
        </w:rPr>
        <w:t>（四）积极开展失业人员，就业困难人员，高校毕业生各项促就业专项活动，通过每个乡镇社区劳动保障事务所发放招工信息，每个村在群众容易聚集、明显的位置，至少建立</w:t>
      </w:r>
      <w:r>
        <w:rPr>
          <w:rFonts w:ascii="仿宋_GB2312" w:hAnsi="仿宋" w:eastAsia="仿宋_GB2312" w:cs="仿宋_GB2312"/>
          <w:sz w:val="32"/>
          <w:szCs w:val="32"/>
        </w:rPr>
        <w:t>1</w:t>
      </w:r>
      <w:r>
        <w:rPr>
          <w:rFonts w:hint="eastAsia" w:ascii="仿宋_GB2312" w:hAnsi="仿宋" w:eastAsia="仿宋_GB2312" w:cs="仿宋_GB2312"/>
          <w:sz w:val="32"/>
          <w:szCs w:val="32"/>
        </w:rPr>
        <w:t>块就业信息栏。关于招工的信息每半月更换一次，每次发至全县每个村庄角落。</w:t>
      </w:r>
    </w:p>
    <w:p>
      <w:pPr>
        <w:jc w:val="left"/>
        <w:rPr>
          <w:rFonts w:ascii="仿宋" w:hAnsi="仿宋" w:eastAsia="仿宋" w:cs="Times New Roman"/>
          <w:sz w:val="32"/>
          <w:szCs w:val="32"/>
        </w:rPr>
      </w:pP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二、机构设置</w:t>
      </w:r>
      <w:bookmarkStart w:id="1" w:name="_GoBack"/>
      <w:bookmarkEnd w:id="1"/>
    </w:p>
    <w:p>
      <w:pPr>
        <w:ind w:firstLine="560" w:firstLineChars="200"/>
        <w:jc w:val="center"/>
        <w:rPr>
          <w:rFonts w:ascii="仿宋" w:hAnsi="仿宋" w:eastAsia="仿宋" w:cs="Times New Roman"/>
          <w:sz w:val="28"/>
          <w:szCs w:val="28"/>
        </w:rPr>
      </w:pPr>
      <w:r>
        <w:rPr>
          <w:rFonts w:hint="eastAsia" w:ascii="仿宋" w:hAnsi="仿宋" w:eastAsia="仿宋" w:cs="仿宋"/>
          <w:sz w:val="28"/>
          <w:szCs w:val="28"/>
        </w:rPr>
        <w:t>部门机构设置情况</w:t>
      </w:r>
    </w:p>
    <w:tbl>
      <w:tblPr>
        <w:tblStyle w:val="8"/>
        <w:tblW w:w="132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95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单位名称</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单位性质</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单位规格</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涞源县就业服务局</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事业</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lang w:eastAsia="zh-CN"/>
              </w:rPr>
              <w:t>副</w:t>
            </w:r>
            <w:r>
              <w:rPr>
                <w:rFonts w:hint="eastAsia" w:ascii="仿宋_GB2312" w:hAnsi="仿宋" w:eastAsia="仿宋_GB2312" w:cs="仿宋_GB2312"/>
                <w:sz w:val="28"/>
                <w:szCs w:val="28"/>
              </w:rPr>
              <w:t>科级</w:t>
            </w:r>
          </w:p>
        </w:tc>
        <w:tc>
          <w:tcPr>
            <w:tcW w:w="2867" w:type="dxa"/>
          </w:tcPr>
          <w:p>
            <w:pPr>
              <w:jc w:val="center"/>
              <w:rPr>
                <w:rFonts w:hint="eastAsia" w:ascii="仿宋_GB2312" w:hAnsi="仿宋" w:eastAsia="仿宋_GB2312" w:cs="Times New Roman"/>
                <w:sz w:val="28"/>
                <w:szCs w:val="28"/>
                <w:lang w:eastAsia="zh-CN"/>
              </w:rPr>
            </w:pPr>
            <w:r>
              <w:rPr>
                <w:rFonts w:hint="eastAsia" w:ascii="仿宋_GB2312" w:hAnsi="仿宋" w:eastAsia="仿宋_GB2312" w:cs="仿宋_GB2312"/>
                <w:sz w:val="28"/>
                <w:szCs w:val="28"/>
                <w:lang w:eastAsia="zh-CN"/>
              </w:rPr>
              <w:t>经费自理</w:t>
            </w:r>
          </w:p>
        </w:tc>
      </w:tr>
    </w:tbl>
    <w:p>
      <w:pPr>
        <w:ind w:firstLine="640" w:firstLineChars="200"/>
        <w:jc w:val="center"/>
        <w:rPr>
          <w:rFonts w:ascii="黑体" w:hAnsi="黑体" w:eastAsia="黑体" w:cs="Times New Roman"/>
          <w:sz w:val="32"/>
          <w:szCs w:val="32"/>
        </w:rPr>
      </w:pPr>
    </w:p>
    <w:p>
      <w:pPr>
        <w:spacing w:line="520" w:lineRule="exact"/>
        <w:ind w:left="1713" w:firstLine="320" w:firstLineChars="100"/>
        <w:jc w:val="center"/>
        <w:rPr>
          <w:rFonts w:ascii="黑体" w:hAnsi="黑体" w:eastAsia="黑体" w:cs="Times New Roman"/>
          <w:sz w:val="32"/>
          <w:szCs w:val="32"/>
        </w:rPr>
      </w:pPr>
      <w:r>
        <w:rPr>
          <w:rFonts w:hint="eastAsia" w:ascii="黑体" w:hAnsi="黑体" w:eastAsia="黑体" w:cs="黑体"/>
          <w:sz w:val="32"/>
          <w:szCs w:val="32"/>
        </w:rPr>
        <w:t>第二部分：部门预算安排的总体情况</w:t>
      </w:r>
    </w:p>
    <w:p>
      <w:pPr>
        <w:spacing w:line="520" w:lineRule="exact"/>
        <w:ind w:left="1713" w:firstLine="320" w:firstLineChars="100"/>
        <w:jc w:val="center"/>
        <w:rPr>
          <w:rFonts w:ascii="黑体" w:hAnsi="黑体" w:eastAsia="黑体" w:cs="Times New Roman"/>
          <w:sz w:val="32"/>
          <w:szCs w:val="32"/>
        </w:rPr>
      </w:pPr>
    </w:p>
    <w:p>
      <w:pPr>
        <w:spacing w:line="520" w:lineRule="exact"/>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、收入说明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年涞源县就业服务局年初部门收入预算总额为</w:t>
      </w:r>
      <w:r>
        <w:rPr>
          <w:rFonts w:ascii="仿宋_GB2312" w:hAnsi="仿宋" w:eastAsia="仿宋_GB2312" w:cs="仿宋_GB2312"/>
          <w:sz w:val="32"/>
          <w:szCs w:val="32"/>
        </w:rPr>
        <w:t>225.61</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其中：一般公共预算收入</w:t>
      </w:r>
      <w:r>
        <w:rPr>
          <w:rFonts w:ascii="仿宋_GB2312" w:hAnsi="仿宋" w:eastAsia="仿宋_GB2312" w:cs="仿宋_GB2312"/>
          <w:sz w:val="32"/>
          <w:szCs w:val="32"/>
        </w:rPr>
        <w:t>225.61</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、支出说明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年部门支出安排预算总额</w:t>
      </w:r>
      <w:r>
        <w:rPr>
          <w:rFonts w:ascii="仿宋_GB2312" w:hAnsi="仿宋" w:eastAsia="仿宋_GB2312" w:cs="仿宋_GB2312"/>
          <w:sz w:val="32"/>
          <w:szCs w:val="32"/>
        </w:rPr>
        <w:t>225.61</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基本支出</w:t>
      </w:r>
      <w:r>
        <w:rPr>
          <w:rFonts w:ascii="仿宋_GB2312" w:hAnsi="仿宋" w:eastAsia="仿宋_GB2312" w:cs="仿宋_GB2312"/>
          <w:sz w:val="32"/>
          <w:szCs w:val="32"/>
        </w:rPr>
        <w:t xml:space="preserve">  163.46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其中：人员经费</w:t>
      </w:r>
      <w:r>
        <w:rPr>
          <w:rFonts w:ascii="仿宋_GB2312" w:hAnsi="仿宋" w:eastAsia="仿宋_GB2312" w:cs="仿宋_GB2312"/>
          <w:sz w:val="32"/>
          <w:szCs w:val="32"/>
        </w:rPr>
        <w:t xml:space="preserve"> 154.04</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日常公用经费</w:t>
      </w:r>
      <w:r>
        <w:rPr>
          <w:rFonts w:ascii="仿宋_GB2312" w:hAnsi="仿宋" w:eastAsia="仿宋_GB2312" w:cs="仿宋_GB2312"/>
          <w:sz w:val="32"/>
          <w:szCs w:val="32"/>
        </w:rPr>
        <w:t xml:space="preserve"> 9.42</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项目支出</w:t>
      </w:r>
      <w:r>
        <w:rPr>
          <w:rFonts w:ascii="仿宋_GB2312" w:hAnsi="仿宋" w:eastAsia="仿宋_GB2312" w:cs="仿宋_GB2312"/>
          <w:sz w:val="32"/>
          <w:szCs w:val="32"/>
        </w:rPr>
        <w:t xml:space="preserve">   62.15</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其中：本级支出</w:t>
      </w:r>
      <w:r>
        <w:rPr>
          <w:rFonts w:ascii="仿宋_GB2312" w:hAnsi="仿宋" w:eastAsia="仿宋_GB2312" w:cs="仿宋_GB2312"/>
          <w:sz w:val="32"/>
          <w:szCs w:val="32"/>
        </w:rPr>
        <w:t xml:space="preserve"> 62.15</w:t>
      </w:r>
      <w:r>
        <w:rPr>
          <w:rFonts w:hint="eastAsia" w:ascii="仿宋_GB2312" w:hAnsi="仿宋" w:eastAsia="仿宋_GB2312" w:cs="仿宋_GB2312"/>
          <w:sz w:val="32"/>
          <w:szCs w:val="32"/>
        </w:rPr>
        <w:t>万元</w:t>
      </w:r>
    </w:p>
    <w:p>
      <w:pPr>
        <w:tabs>
          <w:tab w:val="left" w:pos="916"/>
        </w:tabs>
        <w:spacing w:line="560" w:lineRule="exact"/>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、比上年增减情况</w:t>
      </w:r>
    </w:p>
    <w:p>
      <w:pPr>
        <w:tabs>
          <w:tab w:val="left" w:pos="916"/>
        </w:tabs>
        <w:spacing w:line="560" w:lineRule="exact"/>
        <w:ind w:left="480" w:hanging="480" w:hangingChars="150"/>
        <w:jc w:val="left"/>
        <w:rPr>
          <w:rFonts w:ascii="仿宋_GB2312" w:hAnsi="仿宋" w:eastAsia="仿宋_GB2312" w:cs="Times New Roman"/>
          <w:sz w:val="32"/>
          <w:szCs w:val="32"/>
        </w:rPr>
      </w:pPr>
      <w:r>
        <w:rPr>
          <w:rFonts w:hint="eastAsia" w:ascii="仿宋_GB2312" w:hAnsi="仿宋" w:eastAsia="仿宋_GB2312" w:cs="仿宋_GB2312"/>
          <w:sz w:val="32"/>
          <w:szCs w:val="32"/>
        </w:rPr>
        <w:t>　　本年度预算收支安排</w:t>
      </w:r>
      <w:r>
        <w:rPr>
          <w:rFonts w:ascii="仿宋_GB2312" w:hAnsi="仿宋" w:eastAsia="仿宋_GB2312" w:cs="仿宋_GB2312"/>
          <w:sz w:val="32"/>
          <w:szCs w:val="32"/>
        </w:rPr>
        <w:t>225.61</w:t>
      </w:r>
      <w:r>
        <w:rPr>
          <w:rFonts w:hint="eastAsia" w:ascii="仿宋_GB2312" w:hAnsi="仿宋" w:eastAsia="仿宋_GB2312" w:cs="仿宋_GB2312"/>
          <w:sz w:val="32"/>
          <w:szCs w:val="32"/>
        </w:rPr>
        <w:t>万元，较上年增加</w:t>
      </w:r>
      <w:r>
        <w:rPr>
          <w:rFonts w:ascii="仿宋_GB2312" w:hAnsi="仿宋" w:eastAsia="仿宋_GB2312" w:cs="仿宋_GB2312"/>
          <w:sz w:val="32"/>
          <w:szCs w:val="32"/>
        </w:rPr>
        <w:t>37.61</w:t>
      </w:r>
      <w:r>
        <w:rPr>
          <w:rFonts w:hint="eastAsia" w:ascii="仿宋_GB2312" w:hAnsi="仿宋" w:eastAsia="仿宋_GB2312" w:cs="仿宋_GB2312"/>
          <w:sz w:val="32"/>
          <w:szCs w:val="32"/>
        </w:rPr>
        <w:t>万元。其中</w:t>
      </w:r>
      <w:r>
        <w:rPr>
          <w:rFonts w:ascii="仿宋_GB2312" w:hAnsi="仿宋" w:eastAsia="仿宋_GB2312" w:cs="仿宋_GB2312"/>
          <w:sz w:val="32"/>
          <w:szCs w:val="32"/>
        </w:rPr>
        <w:t>:</w:t>
      </w:r>
      <w:r>
        <w:rPr>
          <w:rFonts w:hint="eastAsia" w:ascii="仿宋_GB2312" w:hAnsi="仿宋" w:eastAsia="仿宋_GB2312" w:cs="仿宋_GB2312"/>
          <w:sz w:val="32"/>
          <w:szCs w:val="32"/>
        </w:rPr>
        <w:t>基本支出增加</w:t>
      </w:r>
      <w:r>
        <w:rPr>
          <w:rFonts w:ascii="仿宋_GB2312" w:hAnsi="仿宋" w:eastAsia="仿宋_GB2312" w:cs="仿宋_GB2312"/>
          <w:sz w:val="32"/>
          <w:szCs w:val="32"/>
        </w:rPr>
        <w:t>37.61</w:t>
      </w:r>
      <w:r>
        <w:rPr>
          <w:rFonts w:hint="eastAsia" w:ascii="仿宋_GB2312" w:hAnsi="仿宋" w:eastAsia="仿宋_GB2312" w:cs="仿宋_GB2312"/>
          <w:sz w:val="32"/>
          <w:szCs w:val="32"/>
        </w:rPr>
        <w:t>万元，主要人员经费增加</w:t>
      </w:r>
      <w:r>
        <w:rPr>
          <w:rFonts w:ascii="仿宋_GB2312" w:hAnsi="仿宋" w:eastAsia="仿宋_GB2312" w:cs="仿宋_GB2312"/>
          <w:sz w:val="32"/>
          <w:szCs w:val="32"/>
        </w:rPr>
        <w:t>37.61</w:t>
      </w:r>
      <w:r>
        <w:rPr>
          <w:rFonts w:hint="eastAsia" w:ascii="仿宋_GB2312" w:hAnsi="仿宋" w:eastAsia="仿宋_GB2312" w:cs="仿宋_GB2312"/>
          <w:sz w:val="32"/>
          <w:szCs w:val="32"/>
        </w:rPr>
        <w:t>万元（调资增长）。</w:t>
      </w:r>
      <w:r>
        <w:rPr>
          <w:rFonts w:ascii="仿宋_GB2312" w:hAnsi="仿宋" w:eastAsia="仿宋_GB2312" w:cs="仿宋_GB2312"/>
          <w:sz w:val="32"/>
          <w:szCs w:val="32"/>
        </w:rPr>
        <w:t xml:space="preserve"> </w:t>
      </w:r>
    </w:p>
    <w:p>
      <w:pPr>
        <w:spacing w:line="520" w:lineRule="exact"/>
        <w:outlineLvl w:val="0"/>
        <w:rPr>
          <w:rFonts w:ascii="黑体" w:hAnsi="黑体" w:eastAsia="黑体"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第三部分：机关运行经费安排情况</w:t>
      </w:r>
    </w:p>
    <w:p>
      <w:pPr>
        <w:spacing w:line="520" w:lineRule="exact"/>
        <w:jc w:val="center"/>
        <w:outlineLvl w:val="0"/>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涞源县就业服务局运行经费安排</w:t>
      </w:r>
      <w:r>
        <w:rPr>
          <w:rFonts w:ascii="仿宋_GB2312" w:hAnsi="仿宋" w:eastAsia="仿宋_GB2312" w:cs="仿宋_GB2312"/>
          <w:sz w:val="32"/>
          <w:szCs w:val="32"/>
        </w:rPr>
        <w:t>9.42</w:t>
      </w:r>
      <w:r>
        <w:rPr>
          <w:rFonts w:hint="eastAsia" w:ascii="仿宋_GB2312" w:hAnsi="仿宋" w:eastAsia="仿宋_GB2312" w:cs="仿宋_GB2312"/>
          <w:sz w:val="32"/>
          <w:szCs w:val="32"/>
        </w:rPr>
        <w:t>万元，其中办公费</w:t>
      </w:r>
      <w:r>
        <w:rPr>
          <w:rFonts w:ascii="仿宋_GB2312" w:hAnsi="仿宋" w:eastAsia="仿宋_GB2312" w:cs="仿宋_GB2312"/>
          <w:sz w:val="32"/>
          <w:szCs w:val="32"/>
        </w:rPr>
        <w:t>1.8</w:t>
      </w:r>
      <w:r>
        <w:rPr>
          <w:rFonts w:hint="eastAsia" w:ascii="仿宋_GB2312" w:hAnsi="仿宋" w:eastAsia="仿宋_GB2312" w:cs="仿宋_GB2312"/>
          <w:sz w:val="32"/>
          <w:szCs w:val="32"/>
        </w:rPr>
        <w:t>万元，电费</w:t>
      </w:r>
      <w:r>
        <w:rPr>
          <w:rFonts w:ascii="仿宋_GB2312" w:hAnsi="仿宋" w:eastAsia="仿宋_GB2312" w:cs="仿宋_GB2312"/>
          <w:sz w:val="32"/>
          <w:szCs w:val="32"/>
        </w:rPr>
        <w:t>1.8</w:t>
      </w:r>
      <w:r>
        <w:rPr>
          <w:rFonts w:hint="eastAsia" w:ascii="仿宋_GB2312" w:hAnsi="仿宋" w:eastAsia="仿宋_GB2312" w:cs="仿宋_GB2312"/>
          <w:sz w:val="32"/>
          <w:szCs w:val="32"/>
        </w:rPr>
        <w:t>万元，邮电费</w:t>
      </w:r>
      <w:r>
        <w:rPr>
          <w:rFonts w:ascii="仿宋_GB2312" w:hAnsi="仿宋" w:eastAsia="仿宋_GB2312" w:cs="仿宋_GB2312"/>
          <w:sz w:val="32"/>
          <w:szCs w:val="32"/>
        </w:rPr>
        <w:t>0.72</w:t>
      </w:r>
      <w:r>
        <w:rPr>
          <w:rFonts w:hint="eastAsia" w:ascii="仿宋_GB2312" w:hAnsi="仿宋" w:eastAsia="仿宋_GB2312" w:cs="仿宋_GB2312"/>
          <w:sz w:val="32"/>
          <w:szCs w:val="32"/>
        </w:rPr>
        <w:t>万元，差旅费</w:t>
      </w:r>
      <w:r>
        <w:rPr>
          <w:rFonts w:ascii="仿宋_GB2312" w:hAnsi="仿宋" w:eastAsia="仿宋_GB2312" w:cs="仿宋_GB2312"/>
          <w:sz w:val="32"/>
          <w:szCs w:val="32"/>
        </w:rPr>
        <w:t>3.6</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1.5</w:t>
      </w:r>
      <w:r>
        <w:rPr>
          <w:rFonts w:hint="eastAsia" w:ascii="仿宋_GB2312" w:hAnsi="仿宋" w:eastAsia="仿宋_GB2312" w:cs="仿宋_GB2312"/>
          <w:sz w:val="32"/>
          <w:szCs w:val="32"/>
        </w:rPr>
        <w:t>万元。</w:t>
      </w:r>
    </w:p>
    <w:p>
      <w:pPr>
        <w:ind w:firstLine="640" w:firstLineChars="200"/>
        <w:jc w:val="left"/>
        <w:rPr>
          <w:rFonts w:ascii="仿宋_GB2312" w:hAnsi="仿宋" w:eastAsia="仿宋_GB2312"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第四部分：财政拨款“三公”经费预算情况及增减变化原因</w:t>
      </w:r>
    </w:p>
    <w:p>
      <w:pPr>
        <w:spacing w:line="520" w:lineRule="exact"/>
        <w:jc w:val="center"/>
        <w:outlineLvl w:val="0"/>
        <w:rPr>
          <w:rFonts w:ascii="黑体" w:hAnsi="黑体" w:eastAsia="黑体" w:cs="Times New Roman"/>
          <w:sz w:val="32"/>
          <w:szCs w:val="32"/>
        </w:rPr>
      </w:pPr>
    </w:p>
    <w:tbl>
      <w:tblPr>
        <w:tblStyle w:val="8"/>
        <w:tblW w:w="14333" w:type="dxa"/>
        <w:tblInd w:w="-106" w:type="dxa"/>
        <w:tblLayout w:type="fixed"/>
        <w:tblCellMar>
          <w:top w:w="0" w:type="dxa"/>
          <w:left w:w="108" w:type="dxa"/>
          <w:bottom w:w="0" w:type="dxa"/>
          <w:right w:w="108" w:type="dxa"/>
        </w:tblCellMar>
      </w:tblPr>
      <w:tblGrid>
        <w:gridCol w:w="3107"/>
        <w:gridCol w:w="2497"/>
        <w:gridCol w:w="2497"/>
        <w:gridCol w:w="1711"/>
        <w:gridCol w:w="4521"/>
      </w:tblGrid>
      <w:tr>
        <w:tblPrEx>
          <w:tblLayout w:type="fixed"/>
          <w:tblCellMar>
            <w:top w:w="0" w:type="dxa"/>
            <w:left w:w="108" w:type="dxa"/>
            <w:bottom w:w="0" w:type="dxa"/>
            <w:right w:w="108" w:type="dxa"/>
          </w:tblCellMar>
        </w:tblPrEx>
        <w:trPr>
          <w:trHeight w:val="405" w:hRule="atLeast"/>
        </w:trPr>
        <w:tc>
          <w:tcPr>
            <w:tcW w:w="14333" w:type="dxa"/>
            <w:gridSpan w:val="5"/>
            <w:tcBorders>
              <w:top w:val="nil"/>
              <w:left w:val="nil"/>
              <w:bottom w:val="nil"/>
              <w:right w:val="nil"/>
            </w:tcBorders>
            <w:vAlign w:val="center"/>
          </w:tcPr>
          <w:p>
            <w:pPr>
              <w:widowControl/>
              <w:spacing w:line="520" w:lineRule="exact"/>
              <w:jc w:val="center"/>
              <w:rPr>
                <w:rFonts w:ascii="黑体" w:hAnsi="黑体" w:eastAsia="黑体" w:cs="Times New Roman"/>
                <w:kern w:val="0"/>
                <w:sz w:val="32"/>
                <w:szCs w:val="32"/>
              </w:rPr>
            </w:pPr>
            <w:r>
              <w:rPr>
                <w:rFonts w:hint="eastAsia" w:ascii="黑体" w:hAnsi="黑体" w:eastAsia="黑体" w:cs="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right"/>
              <w:rPr>
                <w:rFonts w:ascii="宋体" w:cs="Times New Roman"/>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trPr>
        <w:tc>
          <w:tcPr>
            <w:tcW w:w="3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2016</w:t>
            </w:r>
            <w:r>
              <w:rPr>
                <w:rFonts w:hint="eastAsia" w:ascii="仿宋_GB2312" w:hAnsi="宋体" w:eastAsia="仿宋_GB2312" w:cs="仿宋_GB2312"/>
                <w:kern w:val="0"/>
                <w:sz w:val="24"/>
                <w:szCs w:val="24"/>
              </w:rPr>
              <w:t>年度预算</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2017</w:t>
            </w:r>
            <w:r>
              <w:rPr>
                <w:rFonts w:hint="eastAsia" w:ascii="仿宋_GB2312" w:hAnsi="宋体" w:eastAsia="仿宋_GB2312" w:cs="仿宋_GB2312"/>
                <w:kern w:val="0"/>
                <w:sz w:val="24"/>
                <w:szCs w:val="24"/>
              </w:rPr>
              <w:t>年度预算</w:t>
            </w:r>
          </w:p>
        </w:tc>
        <w:tc>
          <w:tcPr>
            <w:tcW w:w="17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增减金额</w:t>
            </w:r>
          </w:p>
        </w:tc>
        <w:tc>
          <w:tcPr>
            <w:tcW w:w="45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变化原因</w:t>
            </w:r>
          </w:p>
        </w:tc>
      </w:tr>
      <w:tr>
        <w:tblPrEx>
          <w:tblLayout w:type="fixed"/>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因公出国经费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公务用车购置经费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Layout w:type="fixed"/>
          <w:tblCellMar>
            <w:top w:w="0" w:type="dxa"/>
            <w:left w:w="108" w:type="dxa"/>
            <w:bottom w:w="0" w:type="dxa"/>
            <w:right w:w="108" w:type="dxa"/>
          </w:tblCellMar>
        </w:tblPrEx>
        <w:trPr>
          <w:trHeight w:val="419"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公务用车运行经费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Layout w:type="fixed"/>
          <w:tblCellMar>
            <w:top w:w="0" w:type="dxa"/>
            <w:left w:w="108" w:type="dxa"/>
            <w:bottom w:w="0" w:type="dxa"/>
            <w:right w:w="108" w:type="dxa"/>
          </w:tblCellMar>
        </w:tblPrEx>
        <w:trPr>
          <w:trHeight w:val="85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公务接待费支出</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Layout w:type="fixed"/>
          <w:tblCellMar>
            <w:top w:w="0" w:type="dxa"/>
            <w:left w:w="108" w:type="dxa"/>
            <w:bottom w:w="0" w:type="dxa"/>
            <w:right w:w="108" w:type="dxa"/>
          </w:tblCellMar>
        </w:tblPrEx>
        <w:trPr>
          <w:trHeight w:val="1140"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合计</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left"/>
              <w:rPr>
                <w:rFonts w:ascii="宋体" w:cs="Times New Roman"/>
                <w:kern w:val="0"/>
                <w:sz w:val="24"/>
                <w:szCs w:val="24"/>
              </w:rPr>
            </w:pPr>
          </w:p>
        </w:tc>
      </w:tr>
    </w:tbl>
    <w:p>
      <w:pP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第五部分：绩效预算信息</w:t>
      </w:r>
    </w:p>
    <w:p>
      <w:pPr>
        <w:pStyle w:val="13"/>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总体绩效目标：</w:t>
      </w:r>
    </w:p>
    <w:p>
      <w:pPr>
        <w:ind w:firstLine="560"/>
        <w:rPr>
          <w:rFonts w:ascii="仿宋_GB2312" w:hAnsi="仿宋" w:eastAsia="仿宋_GB2312" w:cs="Times New Roman"/>
          <w:sz w:val="32"/>
          <w:szCs w:val="32"/>
        </w:rPr>
      </w:pPr>
      <w:r>
        <w:rPr>
          <w:rFonts w:hint="eastAsia" w:ascii="仿宋_GB2312" w:hAnsi="仿宋" w:eastAsia="仿宋_GB2312" w:cs="仿宋_GB2312"/>
          <w:sz w:val="32"/>
          <w:szCs w:val="32"/>
        </w:rPr>
        <w:t>贯彻执行国家、省、市的就业扶持政策，制定符合县级实际情况的就业扶持政策，推动县级就业工作，实施县政府批准的就业项目，组织实施就业和管理工作。</w:t>
      </w:r>
      <w:r>
        <w:rPr>
          <w:rFonts w:ascii="仿宋_GB2312" w:hAnsi="仿宋" w:eastAsia="仿宋_GB2312" w:cs="仿宋_GB2312"/>
          <w:sz w:val="32"/>
          <w:szCs w:val="32"/>
        </w:rPr>
        <w:t>2016</w:t>
      </w:r>
      <w:r>
        <w:rPr>
          <w:rFonts w:hint="eastAsia" w:ascii="仿宋_GB2312" w:hAnsi="仿宋" w:eastAsia="仿宋_GB2312" w:cs="仿宋_GB2312"/>
          <w:sz w:val="32"/>
          <w:szCs w:val="32"/>
        </w:rPr>
        <w:t>年，城镇新增就业</w:t>
      </w:r>
      <w:r>
        <w:rPr>
          <w:rFonts w:ascii="仿宋_GB2312" w:hAnsi="仿宋" w:eastAsia="仿宋_GB2312" w:cs="仿宋_GB2312"/>
          <w:sz w:val="32"/>
          <w:szCs w:val="32"/>
        </w:rPr>
        <w:t>2500</w:t>
      </w:r>
      <w:r>
        <w:rPr>
          <w:rFonts w:hint="eastAsia" w:ascii="仿宋_GB2312" w:hAnsi="仿宋" w:eastAsia="仿宋_GB2312" w:cs="仿宋_GB2312"/>
          <w:sz w:val="32"/>
          <w:szCs w:val="32"/>
        </w:rPr>
        <w:t>人，下岗失业人员再就业</w:t>
      </w:r>
      <w:r>
        <w:rPr>
          <w:rFonts w:ascii="仿宋_GB2312" w:hAnsi="仿宋" w:eastAsia="仿宋_GB2312" w:cs="仿宋_GB2312"/>
          <w:sz w:val="32"/>
          <w:szCs w:val="32"/>
        </w:rPr>
        <w:t>650</w:t>
      </w:r>
      <w:r>
        <w:rPr>
          <w:rFonts w:hint="eastAsia" w:ascii="仿宋_GB2312" w:hAnsi="仿宋" w:eastAsia="仿宋_GB2312" w:cs="仿宋_GB2312"/>
          <w:sz w:val="32"/>
          <w:szCs w:val="32"/>
        </w:rPr>
        <w:t>人，就业困难人员再就业</w:t>
      </w:r>
      <w:r>
        <w:rPr>
          <w:rFonts w:ascii="仿宋_GB2312" w:hAnsi="仿宋" w:eastAsia="仿宋_GB2312" w:cs="仿宋_GB2312"/>
          <w:sz w:val="32"/>
          <w:szCs w:val="32"/>
        </w:rPr>
        <w:t>220</w:t>
      </w:r>
      <w:r>
        <w:rPr>
          <w:rFonts w:hint="eastAsia" w:ascii="仿宋_GB2312" w:hAnsi="仿宋" w:eastAsia="仿宋_GB2312" w:cs="仿宋_GB2312"/>
          <w:sz w:val="32"/>
          <w:szCs w:val="32"/>
        </w:rPr>
        <w:t>人，城镇登记失业率低于市控制标准</w:t>
      </w:r>
      <w:r>
        <w:rPr>
          <w:rFonts w:ascii="仿宋_GB2312" w:hAnsi="仿宋" w:eastAsia="仿宋_GB2312" w:cs="仿宋_GB2312"/>
          <w:sz w:val="32"/>
          <w:szCs w:val="32"/>
        </w:rPr>
        <w:t>4.5%</w:t>
      </w:r>
      <w:r>
        <w:rPr>
          <w:rFonts w:hint="eastAsia" w:ascii="仿宋_GB2312" w:hAnsi="仿宋" w:eastAsia="仿宋_GB2312" w:cs="仿宋_GB2312"/>
          <w:sz w:val="32"/>
          <w:szCs w:val="32"/>
        </w:rPr>
        <w:t>。我县促就业工作全面抓规范，重点抓突破，广泛深入地开展了就业信息化管理；加大就业援助力度，逐步建立了面向所有就业困难人员的就业援助机制；全面实现了就业工作的健康发展。</w:t>
      </w:r>
    </w:p>
    <w:p>
      <w:pPr>
        <w:ind w:firstLine="560" w:firstLineChars="200"/>
        <w:rPr>
          <w:rFonts w:ascii="方正仿宋_GBK" w:hAnsi="Times New Roman" w:eastAsia="方正仿宋_GBK" w:cs="Times New Roman"/>
          <w:sz w:val="28"/>
          <w:szCs w:val="28"/>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二、部门职责</w:t>
      </w:r>
      <w:r>
        <w:rPr>
          <w:rFonts w:ascii="黑体" w:hAnsi="黑体" w:eastAsia="黑体" w:cs="黑体"/>
          <w:sz w:val="32"/>
          <w:szCs w:val="32"/>
        </w:rPr>
        <w:t>-</w:t>
      </w:r>
      <w:r>
        <w:rPr>
          <w:rFonts w:hint="eastAsia" w:ascii="黑体" w:hAnsi="黑体" w:eastAsia="黑体" w:cs="黑体"/>
          <w:sz w:val="32"/>
          <w:szCs w:val="32"/>
        </w:rPr>
        <w:t>工作活动绩效目标</w:t>
      </w:r>
    </w:p>
    <w:p>
      <w:pPr>
        <w:jc w:val="center"/>
        <w:outlineLvl w:val="0"/>
        <w:rPr>
          <w:rFonts w:ascii="方正小标宋_GBK" w:eastAsia="方正小标宋_GBK" w:cs="Times New Roman"/>
          <w:sz w:val="28"/>
          <w:szCs w:val="28"/>
        </w:rPr>
      </w:pPr>
      <w:bookmarkStart w:id="0" w:name="_Toc478461303"/>
      <w:r>
        <w:rPr>
          <w:rFonts w:hint="eastAsia" w:ascii="方正小标宋_GBK" w:eastAsia="方正小标宋_GBK" w:cs="方正小标宋_GBK"/>
          <w:sz w:val="28"/>
          <w:szCs w:val="28"/>
        </w:rPr>
        <w:t>部门职责</w:t>
      </w:r>
      <w:r>
        <w:rPr>
          <w:rFonts w:ascii="方正小标宋_GBK" w:eastAsia="方正小标宋_GBK" w:cs="方正小标宋_GBK"/>
          <w:sz w:val="28"/>
          <w:szCs w:val="28"/>
        </w:rPr>
        <w:t>-</w:t>
      </w:r>
      <w:r>
        <w:rPr>
          <w:rFonts w:hint="eastAsia" w:ascii="方正小标宋_GBK" w:eastAsia="方正小标宋_GBK" w:cs="方正小标宋_GBK"/>
          <w:sz w:val="28"/>
          <w:szCs w:val="28"/>
        </w:rPr>
        <w:t>工作活动绩效目标</w:t>
      </w:r>
      <w:bookmarkEnd w:id="0"/>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24"/>
                <w:szCs w:val="24"/>
              </w:rPr>
            </w:pPr>
            <w:r>
              <w:rPr>
                <w:rFonts w:ascii="仿宋" w:hAnsi="仿宋" w:eastAsia="仿宋" w:cs="仿宋"/>
                <w:sz w:val="24"/>
                <w:szCs w:val="24"/>
              </w:rPr>
              <w:t>805</w:t>
            </w:r>
            <w:r>
              <w:rPr>
                <w:rFonts w:hint="eastAsia" w:ascii="仿宋" w:hAnsi="仿宋" w:eastAsia="仿宋" w:cs="仿宋"/>
                <w:sz w:val="24"/>
                <w:szCs w:val="24"/>
              </w:rPr>
              <w:t>涞源县就业服务局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职责活动</w:t>
            </w:r>
          </w:p>
        </w:tc>
        <w:tc>
          <w:tcPr>
            <w:tcW w:w="12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年度预算数</w:t>
            </w:r>
          </w:p>
        </w:tc>
        <w:tc>
          <w:tcPr>
            <w:tcW w:w="29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内容描述</w:t>
            </w:r>
          </w:p>
        </w:tc>
        <w:tc>
          <w:tcPr>
            <w:tcW w:w="29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绩效目标</w:t>
            </w:r>
          </w:p>
        </w:tc>
        <w:tc>
          <w:tcPr>
            <w:tcW w:w="1417"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绩效指标</w:t>
            </w:r>
          </w:p>
        </w:tc>
        <w:tc>
          <w:tcPr>
            <w:tcW w:w="2948" w:type="dxa"/>
            <w:gridSpan w:val="4"/>
            <w:vAlign w:val="center"/>
          </w:tcPr>
          <w:p>
            <w:pPr>
              <w:spacing w:line="300" w:lineRule="exact"/>
              <w:jc w:val="center"/>
              <w:rPr>
                <w:rFonts w:ascii="黑体" w:hAnsi="黑体" w:eastAsia="黑体" w:cs="Times New Roman"/>
                <w:b/>
                <w:bCs/>
              </w:rPr>
            </w:pPr>
            <w:r>
              <w:rPr>
                <w:rFonts w:hint="eastAsia" w:ascii="黑体" w:hAnsi="黑体" w:eastAsia="黑体" w:cs="黑体"/>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黑体" w:hAnsi="黑体" w:eastAsia="黑体" w:cs="Times New Roman"/>
              </w:rPr>
            </w:pPr>
          </w:p>
        </w:tc>
        <w:tc>
          <w:tcPr>
            <w:tcW w:w="1276" w:type="dxa"/>
            <w:vMerge w:val="continue"/>
            <w:vAlign w:val="center"/>
          </w:tcPr>
          <w:p>
            <w:pPr>
              <w:spacing w:line="300" w:lineRule="exact"/>
              <w:jc w:val="left"/>
              <w:outlineLvl w:val="0"/>
              <w:rPr>
                <w:rFonts w:ascii="黑体" w:hAnsi="黑体" w:eastAsia="黑体" w:cs="Times New Roman"/>
              </w:rPr>
            </w:pPr>
          </w:p>
        </w:tc>
        <w:tc>
          <w:tcPr>
            <w:tcW w:w="2976" w:type="dxa"/>
            <w:vMerge w:val="continue"/>
            <w:vAlign w:val="center"/>
          </w:tcPr>
          <w:p>
            <w:pPr>
              <w:spacing w:line="300" w:lineRule="exact"/>
              <w:jc w:val="left"/>
              <w:outlineLvl w:val="0"/>
              <w:rPr>
                <w:rFonts w:ascii="黑体" w:hAnsi="黑体" w:eastAsia="黑体" w:cs="Times New Roman"/>
              </w:rPr>
            </w:pPr>
          </w:p>
        </w:tc>
        <w:tc>
          <w:tcPr>
            <w:tcW w:w="2976" w:type="dxa"/>
            <w:vMerge w:val="continue"/>
            <w:vAlign w:val="center"/>
          </w:tcPr>
          <w:p>
            <w:pPr>
              <w:spacing w:line="300" w:lineRule="exact"/>
              <w:jc w:val="left"/>
              <w:outlineLvl w:val="0"/>
              <w:rPr>
                <w:rFonts w:ascii="黑体" w:hAnsi="黑体" w:eastAsia="黑体" w:cs="Times New Roman"/>
              </w:rPr>
            </w:pPr>
          </w:p>
        </w:tc>
        <w:tc>
          <w:tcPr>
            <w:tcW w:w="1417" w:type="dxa"/>
            <w:vMerge w:val="continue"/>
            <w:vAlign w:val="center"/>
          </w:tcPr>
          <w:p>
            <w:pPr>
              <w:spacing w:line="300" w:lineRule="exact"/>
              <w:jc w:val="left"/>
              <w:outlineLvl w:val="0"/>
              <w:rPr>
                <w:rFonts w:ascii="黑体" w:hAnsi="黑体" w:eastAsia="黑体" w:cs="Times New Roman"/>
              </w:rPr>
            </w:pP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优</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良</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中</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黑体" w:hAnsi="黑体" w:eastAsia="黑体" w:cs="Times New Roman"/>
                <w:b/>
                <w:bCs/>
              </w:rPr>
            </w:pPr>
            <w:r>
              <w:rPr>
                <w:rFonts w:hint="eastAsia" w:ascii="黑体" w:hAnsi="黑体" w:eastAsia="黑体" w:cs="黑体"/>
                <w:b/>
                <w:bCs/>
              </w:rPr>
              <w:t>促进就业政策、管理及实施</w:t>
            </w:r>
          </w:p>
        </w:tc>
        <w:tc>
          <w:tcPr>
            <w:tcW w:w="1276" w:type="dxa"/>
            <w:vAlign w:val="center"/>
          </w:tcPr>
          <w:p>
            <w:pPr>
              <w:spacing w:line="300" w:lineRule="exact"/>
              <w:jc w:val="left"/>
              <w:rPr>
                <w:rFonts w:ascii="黑体" w:hAnsi="黑体" w:eastAsia="黑体" w:cs="黑体"/>
              </w:rPr>
            </w:pPr>
            <w:r>
              <w:rPr>
                <w:rFonts w:ascii="黑体" w:hAnsi="黑体" w:eastAsia="黑体" w:cs="黑体"/>
              </w:rPr>
              <w:t>62.15</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负责促进就业工作，健全公共就业服务体系和人力资源市场体系，积极促进社会就业。</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促进失业人员再就业，控制城镇登记失业率，转移农村劳动力，保持就业形势的基本稳定。</w:t>
            </w:r>
          </w:p>
        </w:tc>
        <w:tc>
          <w:tcPr>
            <w:tcW w:w="1417" w:type="dxa"/>
            <w:vAlign w:val="center"/>
          </w:tcPr>
          <w:p>
            <w:pPr>
              <w:spacing w:line="300" w:lineRule="exact"/>
              <w:jc w:val="left"/>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黑体" w:hAnsi="黑体" w:eastAsia="黑体" w:cs="Times New Roman"/>
                <w:b/>
                <w:bCs/>
              </w:rPr>
            </w:pPr>
            <w:r>
              <w:rPr>
                <w:rFonts w:hint="eastAsia" w:ascii="黑体" w:hAnsi="黑体" w:eastAsia="黑体" w:cs="黑体"/>
                <w:b/>
                <w:bCs/>
              </w:rPr>
              <w:t>　　就业创业扶持政策的制定及管理</w:t>
            </w:r>
          </w:p>
        </w:tc>
        <w:tc>
          <w:tcPr>
            <w:tcW w:w="1276" w:type="dxa"/>
            <w:vMerge w:val="restart"/>
            <w:vAlign w:val="center"/>
          </w:tcPr>
          <w:p>
            <w:pPr>
              <w:spacing w:line="300" w:lineRule="exact"/>
              <w:jc w:val="left"/>
              <w:rPr>
                <w:rFonts w:ascii="黑体" w:hAnsi="黑体" w:eastAsia="黑体" w:cs="黑体"/>
              </w:rPr>
            </w:pPr>
            <w:r>
              <w:rPr>
                <w:rFonts w:ascii="黑体" w:hAnsi="黑体" w:eastAsia="黑体" w:cs="黑体"/>
              </w:rPr>
              <w:t>52.15</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健全公共就业服务体系，按照统一规划指导公共就业服务信息管理；办理毕业生就业手续派遣工作等。</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健全公共就业服务体系，按照统一规划指导公共就业服务信息管理；办理毕业生就业手续派遣工作等。</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经审核符合领取公益性岗位补贴条件的公益性岗位补贴发放率</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经审核符合领取社会保险补贴条件的各类人员社会保险补贴发放率</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黑体" w:hAnsi="黑体" w:eastAsia="黑体" w:cs="Times New Roman"/>
                <w:b/>
                <w:bCs/>
              </w:rPr>
            </w:pPr>
            <w:r>
              <w:rPr>
                <w:rFonts w:hint="eastAsia" w:ascii="黑体" w:hAnsi="黑体" w:eastAsia="黑体" w:cs="黑体"/>
                <w:b/>
                <w:bCs/>
              </w:rPr>
              <w:t>　　就业服务体系建设</w:t>
            </w:r>
          </w:p>
        </w:tc>
        <w:tc>
          <w:tcPr>
            <w:tcW w:w="1276" w:type="dxa"/>
            <w:vMerge w:val="restart"/>
            <w:vAlign w:val="center"/>
          </w:tcPr>
          <w:p>
            <w:pPr>
              <w:spacing w:line="300" w:lineRule="exact"/>
              <w:jc w:val="left"/>
              <w:rPr>
                <w:rFonts w:ascii="黑体" w:hAnsi="黑体" w:eastAsia="黑体" w:cs="黑体"/>
              </w:rPr>
            </w:pPr>
            <w:r>
              <w:rPr>
                <w:rFonts w:ascii="黑体" w:hAnsi="黑体" w:eastAsia="黑体" w:cs="黑体"/>
              </w:rPr>
              <w:t>10.00</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实施免费的公共就业服务</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开展人力资源服务业、家庭服务业工作、就业服务指导等内容培训次数</w:t>
            </w:r>
          </w:p>
        </w:tc>
        <w:tc>
          <w:tcPr>
            <w:tcW w:w="737" w:type="dxa"/>
            <w:vAlign w:val="center"/>
          </w:tcPr>
          <w:p>
            <w:pPr>
              <w:spacing w:line="300" w:lineRule="exact"/>
              <w:jc w:val="center"/>
              <w:rPr>
                <w:rFonts w:ascii="黑体" w:hAnsi="黑体" w:eastAsia="黑体" w:cs="黑体"/>
              </w:rPr>
            </w:pPr>
            <w:r>
              <w:rPr>
                <w:rFonts w:ascii="黑体" w:hAnsi="黑体" w:eastAsia="黑体" w:cs="黑体"/>
              </w:rPr>
              <w:t>&gt;2</w:t>
            </w:r>
          </w:p>
        </w:tc>
        <w:tc>
          <w:tcPr>
            <w:tcW w:w="737" w:type="dxa"/>
            <w:vAlign w:val="center"/>
          </w:tcPr>
          <w:p>
            <w:pPr>
              <w:spacing w:line="300" w:lineRule="exact"/>
              <w:jc w:val="center"/>
              <w:rPr>
                <w:rFonts w:ascii="黑体" w:hAnsi="黑体" w:eastAsia="黑体" w:cs="黑体"/>
              </w:rPr>
            </w:pPr>
            <w:r>
              <w:rPr>
                <w:rFonts w:ascii="黑体" w:hAnsi="黑体" w:eastAsia="黑体" w:cs="黑体"/>
              </w:rPr>
              <w:t>&lt;12</w:t>
            </w:r>
          </w:p>
        </w:tc>
        <w:tc>
          <w:tcPr>
            <w:tcW w:w="737" w:type="dxa"/>
            <w:vAlign w:val="center"/>
          </w:tcPr>
          <w:p>
            <w:pPr>
              <w:spacing w:line="300" w:lineRule="exact"/>
              <w:jc w:val="center"/>
              <w:rPr>
                <w:rFonts w:ascii="黑体" w:hAnsi="黑体" w:eastAsia="黑体" w:cs="黑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效果指标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年度内新增就业人员数量</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500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480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为失业人员提供免费的公共就业服务人数占失业人员总人数的比例</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当年完成人事档案管理数量占应申请人事档案管理数量的比例</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黑体" w:hAnsi="黑体" w:eastAsia="黑体" w:cs="Times New Roman"/>
                <w:b/>
                <w:bCs/>
              </w:rPr>
            </w:pPr>
            <w:r>
              <w:rPr>
                <w:rFonts w:hint="eastAsia" w:ascii="黑体" w:hAnsi="黑体" w:eastAsia="黑体" w:cs="黑体"/>
                <w:b/>
                <w:bCs/>
              </w:rPr>
              <w:t>　　职业培训能力建设</w:t>
            </w:r>
          </w:p>
        </w:tc>
        <w:tc>
          <w:tcPr>
            <w:tcW w:w="1276" w:type="dxa"/>
            <w:vAlign w:val="center"/>
          </w:tcPr>
          <w:p>
            <w:pPr>
              <w:spacing w:line="300" w:lineRule="exact"/>
              <w:jc w:val="left"/>
              <w:rPr>
                <w:rFonts w:ascii="黑体" w:hAnsi="黑体" w:eastAsia="黑体" w:cs="Times New Roman"/>
              </w:rPr>
            </w:pP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落实职业劳动能力鉴定政策，按国家和县政府要求推动职业能力建设，开展职业培训能力建设相关工作。</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提高劳动者素质，打造我县职业技术工人队伍，实现稳定就业</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参与各类职业培训人数</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1000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950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900</w:t>
            </w:r>
          </w:p>
        </w:tc>
      </w:tr>
    </w:tbl>
    <w:p>
      <w:pPr>
        <w:pStyle w:val="13"/>
        <w:ind w:left="1318" w:firstLine="0" w:firstLineChars="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第六部分：政府采购预算情况</w:t>
      </w:r>
    </w:p>
    <w:p>
      <w:pPr>
        <w:ind w:firstLine="640" w:firstLineChars="200"/>
        <w:jc w:val="center"/>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年我部门无政府采购预算。</w:t>
      </w:r>
    </w:p>
    <w:p>
      <w:pPr>
        <w:ind w:firstLine="640" w:firstLineChars="20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第七部分：国有资产信息情况说明</w:t>
      </w:r>
    </w:p>
    <w:p>
      <w:pPr>
        <w:ind w:firstLine="640" w:firstLineChars="200"/>
        <w:jc w:val="center"/>
        <w:rPr>
          <w:rFonts w:ascii="黑体" w:hAnsi="黑体" w:eastAsia="黑体"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涞源县就业服务局</w:t>
      </w:r>
      <w:r>
        <w:rPr>
          <w:rFonts w:ascii="仿宋" w:hAnsi="仿宋" w:eastAsia="仿宋" w:cs="仿宋"/>
          <w:sz w:val="32"/>
          <w:szCs w:val="32"/>
        </w:rPr>
        <w:t>2016</w:t>
      </w:r>
      <w:r>
        <w:rPr>
          <w:rFonts w:hint="eastAsia" w:ascii="仿宋" w:hAnsi="仿宋" w:eastAsia="仿宋" w:cs="仿宋"/>
          <w:sz w:val="32"/>
          <w:szCs w:val="32"/>
        </w:rPr>
        <w:t>年末固定资产总值</w:t>
      </w:r>
      <w:r>
        <w:rPr>
          <w:rFonts w:ascii="仿宋" w:hAnsi="仿宋" w:eastAsia="仿宋" w:cs="仿宋"/>
          <w:sz w:val="32"/>
          <w:szCs w:val="32"/>
        </w:rPr>
        <w:t>18.865</w:t>
      </w:r>
      <w:r>
        <w:rPr>
          <w:rFonts w:hint="eastAsia" w:ascii="仿宋" w:hAnsi="仿宋" w:eastAsia="仿宋" w:cs="仿宋"/>
          <w:sz w:val="32"/>
          <w:szCs w:val="32"/>
        </w:rPr>
        <w:t>万元，</w:t>
      </w:r>
      <w:r>
        <w:rPr>
          <w:rFonts w:ascii="仿宋" w:hAnsi="仿宋" w:eastAsia="仿宋" w:cs="仿宋"/>
          <w:sz w:val="32"/>
          <w:szCs w:val="32"/>
        </w:rPr>
        <w:t>2017</w:t>
      </w:r>
      <w:r>
        <w:rPr>
          <w:rFonts w:hint="eastAsia" w:ascii="仿宋" w:hAnsi="仿宋" w:eastAsia="仿宋" w:cs="仿宋"/>
          <w:sz w:val="32"/>
          <w:szCs w:val="32"/>
        </w:rPr>
        <w:t>年无拟购置固定资产预算情况。</w:t>
      </w:r>
    </w:p>
    <w:tbl>
      <w:tblPr>
        <w:tblStyle w:val="8"/>
        <w:tblW w:w="8804" w:type="dxa"/>
        <w:tblInd w:w="-106"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宋体" w:cs="Times New Roman"/>
                <w:color w:val="000000"/>
                <w:kern w:val="0"/>
                <w:sz w:val="32"/>
                <w:szCs w:val="32"/>
              </w:rPr>
            </w:pPr>
            <w:r>
              <w:rPr>
                <w:rFonts w:hint="eastAsia" w:ascii="仿宋" w:hAnsi="仿宋" w:eastAsia="仿宋" w:cs="仿宋"/>
                <w:sz w:val="32"/>
                <w:szCs w:val="32"/>
              </w:rPr>
              <w:t>涞源县就业服务局固定资产占用情况表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截止时间：</w:t>
            </w:r>
            <w:r>
              <w:rPr>
                <w:rFonts w:ascii="仿宋_GB2312" w:hAnsi="宋体" w:eastAsia="仿宋_GB2312" w:cs="仿宋_GB2312"/>
                <w:color w:val="000000"/>
                <w:kern w:val="0"/>
                <w:sz w:val="28"/>
                <w:szCs w:val="28"/>
              </w:rPr>
              <w:t>2016</w:t>
            </w:r>
            <w:r>
              <w:rPr>
                <w:rFonts w:hint="eastAsia" w:ascii="仿宋_GB2312" w:hAnsi="宋体" w:eastAsia="仿宋_GB2312" w:cs="仿宋_GB2312"/>
                <w:color w:val="000000"/>
                <w:kern w:val="0"/>
                <w:sz w:val="28"/>
                <w:szCs w:val="28"/>
              </w:rPr>
              <w:t>年</w:t>
            </w:r>
            <w:r>
              <w:rPr>
                <w:rFonts w:ascii="仿宋_GB2312" w:hAnsi="宋体" w:eastAsia="仿宋_GB2312" w:cs="仿宋_GB2312"/>
                <w:color w:val="000000"/>
                <w:kern w:val="0"/>
                <w:sz w:val="28"/>
                <w:szCs w:val="28"/>
              </w:rPr>
              <w:t>12</w:t>
            </w:r>
            <w:r>
              <w:rPr>
                <w:rFonts w:hint="eastAsia" w:ascii="仿宋_GB2312" w:hAnsi="宋体" w:eastAsia="仿宋_GB2312" w:cs="仿宋_GB2312"/>
                <w:color w:val="000000"/>
                <w:kern w:val="0"/>
                <w:sz w:val="28"/>
                <w:szCs w:val="28"/>
              </w:rPr>
              <w:t>月</w:t>
            </w:r>
            <w:r>
              <w:rPr>
                <w:rFonts w:ascii="仿宋_GB2312" w:hAnsi="宋体" w:eastAsia="仿宋_GB2312" w:cs="仿宋_GB2312"/>
                <w:color w:val="000000"/>
                <w:kern w:val="0"/>
                <w:sz w:val="28"/>
                <w:szCs w:val="28"/>
              </w:rPr>
              <w:t>31</w:t>
            </w:r>
            <w:r>
              <w:rPr>
                <w:rFonts w:hint="eastAsia" w:ascii="仿宋_GB2312" w:hAnsi="宋体" w:eastAsia="仿宋_GB2312" w:cs="仿宋_GB2312"/>
                <w:color w:val="000000"/>
                <w:kern w:val="0"/>
                <w:sz w:val="28"/>
                <w:szCs w:val="28"/>
              </w:rPr>
              <w:t>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价值（单位：万元）</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18.865</w:t>
            </w:r>
          </w:p>
        </w:tc>
      </w:tr>
      <w:tr>
        <w:tblPrEx>
          <w:tblLayout w:type="fixed"/>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r>
      <w:tr>
        <w:tblPrEx>
          <w:tblLayout w:type="fixed"/>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w:t>
            </w:r>
          </w:p>
        </w:tc>
      </w:tr>
      <w:tr>
        <w:tblPrEx>
          <w:tblLayout w:type="fixed"/>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、单价在</w:t>
            </w:r>
            <w:r>
              <w:rPr>
                <w:rFonts w:ascii="宋体" w:hAnsi="宋体" w:cs="宋体"/>
                <w:color w:val="000000"/>
                <w:kern w:val="0"/>
                <w:sz w:val="24"/>
                <w:szCs w:val="24"/>
              </w:rPr>
              <w:t>20</w:t>
            </w:r>
            <w:r>
              <w:rPr>
                <w:rFonts w:hint="eastAsia" w:ascii="宋体" w:hAnsi="宋体"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0.00</w:t>
            </w:r>
          </w:p>
        </w:tc>
      </w:tr>
      <w:tr>
        <w:tblPrEx>
          <w:tblLayout w:type="fixed"/>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r>
              <w:rPr>
                <w:rFonts w:ascii="宋体" w:hAnsi="宋体" w:cs="宋体"/>
                <w:color w:val="000000"/>
                <w:kern w:val="0"/>
                <w:sz w:val="24"/>
                <w:szCs w:val="24"/>
              </w:rPr>
              <w:t>3.865</w:t>
            </w:r>
          </w:p>
        </w:tc>
      </w:tr>
    </w:tbl>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p>
      <w:pPr>
        <w:jc w:val="left"/>
        <w:rPr>
          <w:rFonts w:ascii="仿宋" w:hAnsi="仿宋" w:eastAsia="仿宋" w:cs="Times New Roman"/>
          <w:sz w:val="32"/>
          <w:szCs w:val="32"/>
        </w:rPr>
      </w:pPr>
    </w:p>
    <w:p>
      <w:pPr>
        <w:spacing w:line="240" w:lineRule="atLeast"/>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第八部分：名词解释</w:t>
      </w:r>
    </w:p>
    <w:p>
      <w:pPr>
        <w:spacing w:line="240" w:lineRule="atLeast"/>
        <w:jc w:val="center"/>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、财政拨款收入：</w:t>
      </w:r>
      <w:r>
        <w:rPr>
          <w:rFonts w:hint="eastAsia" w:ascii="仿宋_GB2312" w:hAnsi="仿宋" w:eastAsia="仿宋_GB2312" w:cs="仿宋_GB2312"/>
          <w:sz w:val="32"/>
          <w:szCs w:val="32"/>
        </w:rPr>
        <w:t>指县级财政当年拨付的资金。</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、其他收入：</w:t>
      </w:r>
      <w:r>
        <w:rPr>
          <w:rFonts w:hint="eastAsia" w:ascii="仿宋_GB2312" w:hAnsi="仿宋" w:eastAsia="仿宋_GB2312" w:cs="仿宋_GB2312"/>
          <w:sz w:val="32"/>
          <w:szCs w:val="32"/>
        </w:rPr>
        <w:t>指除上述“财政拨款收入”、“事业收入”等以外的收入。</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spacing w:line="240" w:lineRule="atLeast"/>
        <w:jc w:val="left"/>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、“三公”经费：</w:t>
      </w:r>
      <w:r>
        <w:rPr>
          <w:rFonts w:hint="eastAsia" w:ascii="仿宋_GB2312" w:hAnsi="仿宋" w:eastAsia="仿宋_GB2312"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、机关运行费：</w:t>
      </w:r>
      <w:r>
        <w:rPr>
          <w:rFonts w:hint="eastAsia" w:ascii="仿宋_GB2312" w:hAnsi="仿宋"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、公务费：</w:t>
      </w:r>
      <w:r>
        <w:rPr>
          <w:rFonts w:hint="eastAsia" w:ascii="仿宋_GB2312" w:hAnsi="仿宋" w:eastAsia="仿宋_GB2312" w:cs="仿宋_GB2312"/>
          <w:sz w:val="32"/>
          <w:szCs w:val="32"/>
        </w:rPr>
        <w:t>包括办公费、水电费、邮电费、取暖费、交通费、一般会议费和物业管理费之和。</w:t>
      </w:r>
    </w:p>
    <w:p>
      <w:pPr>
        <w:spacing w:line="500" w:lineRule="exact"/>
        <w:ind w:firstLine="627" w:firstLineChars="196"/>
        <w:jc w:val="center"/>
        <w:outlineLvl w:val="0"/>
        <w:rPr>
          <w:rFonts w:ascii="黑体" w:hAnsi="黑体" w:eastAsia="黑体" w:cs="Times New Roman"/>
          <w:sz w:val="32"/>
          <w:szCs w:val="32"/>
        </w:rPr>
      </w:pPr>
    </w:p>
    <w:p>
      <w:pPr>
        <w:spacing w:line="500" w:lineRule="exact"/>
        <w:jc w:val="center"/>
        <w:outlineLvl w:val="0"/>
        <w:rPr>
          <w:rFonts w:ascii="黑体" w:hAnsi="黑体" w:eastAsia="黑体" w:cs="Times New Roman"/>
          <w:sz w:val="32"/>
          <w:szCs w:val="32"/>
        </w:rPr>
      </w:pPr>
      <w:r>
        <w:rPr>
          <w:rFonts w:hint="eastAsia" w:ascii="黑体" w:hAnsi="黑体" w:eastAsia="黑体" w:cs="黑体"/>
          <w:sz w:val="32"/>
          <w:szCs w:val="32"/>
        </w:rPr>
        <w:t>第九部分：其他需说明的事项</w:t>
      </w:r>
    </w:p>
    <w:p>
      <w:pPr>
        <w:spacing w:line="500" w:lineRule="exact"/>
        <w:ind w:firstLine="1264" w:firstLineChars="395"/>
        <w:jc w:val="left"/>
        <w:outlineLvl w:val="0"/>
        <w:rPr>
          <w:rFonts w:ascii="仿宋" w:hAnsi="仿宋" w:eastAsia="仿宋" w:cs="Times New Roman"/>
          <w:sz w:val="32"/>
          <w:szCs w:val="32"/>
        </w:rPr>
      </w:pPr>
    </w:p>
    <w:p>
      <w:pPr>
        <w:spacing w:line="500" w:lineRule="exact"/>
        <w:ind w:firstLine="640" w:firstLineChars="200"/>
        <w:jc w:val="left"/>
        <w:outlineLvl w:val="0"/>
        <w:rPr>
          <w:rFonts w:ascii="仿宋" w:hAnsi="仿宋" w:eastAsia="仿宋" w:cs="Times New Roman"/>
          <w:sz w:val="32"/>
          <w:szCs w:val="32"/>
        </w:rPr>
      </w:pPr>
      <w:r>
        <w:rPr>
          <w:rFonts w:hint="eastAsia" w:ascii="仿宋_GB2312" w:hAnsi="仿宋" w:eastAsia="仿宋_GB2312" w:cs="仿宋_GB2312"/>
          <w:sz w:val="32"/>
          <w:szCs w:val="32"/>
        </w:rPr>
        <w:t>无其他需说明的事项。</w:t>
      </w:r>
    </w:p>
    <w:sectPr>
      <w:pgSz w:w="16839" w:h="11907" w:orient="landscape"/>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070F"/>
    <w:multiLevelType w:val="multilevel"/>
    <w:tmpl w:val="3E4B070F"/>
    <w:lvl w:ilvl="0" w:tentative="0">
      <w:start w:val="1"/>
      <w:numFmt w:val="none"/>
      <w:lvlText w:val="一、"/>
      <w:lvlJc w:val="left"/>
      <w:pPr>
        <w:ind w:left="1318" w:hanging="675"/>
      </w:pPr>
      <w:rPr>
        <w:rFonts w:hint="default"/>
        <w:sz w:val="32"/>
        <w:szCs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4BC"/>
    <w:rsid w:val="00056232"/>
    <w:rsid w:val="0009441B"/>
    <w:rsid w:val="000A1FBB"/>
    <w:rsid w:val="000A4F64"/>
    <w:rsid w:val="00113C17"/>
    <w:rsid w:val="001163E2"/>
    <w:rsid w:val="001362BA"/>
    <w:rsid w:val="00145D5D"/>
    <w:rsid w:val="00163597"/>
    <w:rsid w:val="00172A27"/>
    <w:rsid w:val="001C1FC4"/>
    <w:rsid w:val="002015B2"/>
    <w:rsid w:val="00207FFA"/>
    <w:rsid w:val="00223148"/>
    <w:rsid w:val="0026580B"/>
    <w:rsid w:val="002A3856"/>
    <w:rsid w:val="00373713"/>
    <w:rsid w:val="003806A0"/>
    <w:rsid w:val="00431351"/>
    <w:rsid w:val="00453A9F"/>
    <w:rsid w:val="00491A29"/>
    <w:rsid w:val="004C0DB6"/>
    <w:rsid w:val="004E1773"/>
    <w:rsid w:val="00522178"/>
    <w:rsid w:val="005C7F8E"/>
    <w:rsid w:val="00622B06"/>
    <w:rsid w:val="00624300"/>
    <w:rsid w:val="00644CFB"/>
    <w:rsid w:val="006653AE"/>
    <w:rsid w:val="006D1C82"/>
    <w:rsid w:val="006F498D"/>
    <w:rsid w:val="0076461A"/>
    <w:rsid w:val="007F7977"/>
    <w:rsid w:val="0085217B"/>
    <w:rsid w:val="008D6461"/>
    <w:rsid w:val="00960F5A"/>
    <w:rsid w:val="00966165"/>
    <w:rsid w:val="009976DD"/>
    <w:rsid w:val="009C5058"/>
    <w:rsid w:val="009E1AC9"/>
    <w:rsid w:val="00A467D6"/>
    <w:rsid w:val="00A52D40"/>
    <w:rsid w:val="00A8604F"/>
    <w:rsid w:val="00AA0DA8"/>
    <w:rsid w:val="00AB6301"/>
    <w:rsid w:val="00AC3444"/>
    <w:rsid w:val="00AE0F72"/>
    <w:rsid w:val="00AE6F37"/>
    <w:rsid w:val="00AF1CB3"/>
    <w:rsid w:val="00B12E6C"/>
    <w:rsid w:val="00B22640"/>
    <w:rsid w:val="00B57030"/>
    <w:rsid w:val="00B7189E"/>
    <w:rsid w:val="00BD504C"/>
    <w:rsid w:val="00BF436F"/>
    <w:rsid w:val="00C21E15"/>
    <w:rsid w:val="00C3015D"/>
    <w:rsid w:val="00C3279B"/>
    <w:rsid w:val="00C94B87"/>
    <w:rsid w:val="00CE5425"/>
    <w:rsid w:val="00D24DD0"/>
    <w:rsid w:val="00D77496"/>
    <w:rsid w:val="00D77F82"/>
    <w:rsid w:val="00D91D6E"/>
    <w:rsid w:val="00D954AF"/>
    <w:rsid w:val="00DB1490"/>
    <w:rsid w:val="00DB6B63"/>
    <w:rsid w:val="00DD0674"/>
    <w:rsid w:val="00E12729"/>
    <w:rsid w:val="00E230B4"/>
    <w:rsid w:val="00E37955"/>
    <w:rsid w:val="00E72182"/>
    <w:rsid w:val="00E95B34"/>
    <w:rsid w:val="00EA746B"/>
    <w:rsid w:val="00F46AED"/>
    <w:rsid w:val="00F57610"/>
    <w:rsid w:val="00F634B0"/>
    <w:rsid w:val="00FC1FDC"/>
    <w:rsid w:val="09DD32AC"/>
    <w:rsid w:val="0DBA7EE9"/>
    <w:rsid w:val="12E23081"/>
    <w:rsid w:val="13293203"/>
    <w:rsid w:val="160D64D9"/>
    <w:rsid w:val="27C240B9"/>
    <w:rsid w:val="30EF54D0"/>
    <w:rsid w:val="3E273EFF"/>
    <w:rsid w:val="405C0FA8"/>
    <w:rsid w:val="52C67471"/>
    <w:rsid w:val="57B23BE0"/>
    <w:rsid w:val="69743C0A"/>
    <w:rsid w:val="69CA3F6E"/>
    <w:rsid w:val="71CD3BC5"/>
    <w:rsid w:val="7E2C69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color w:val="800080"/>
      <w:u w:val="single"/>
    </w:rPr>
  </w:style>
  <w:style w:type="character" w:styleId="7">
    <w:name w:val="Hyperlink"/>
    <w:basedOn w:val="5"/>
    <w:qFormat/>
    <w:uiPriority w:val="99"/>
    <w:rPr>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5"/>
    <w:link w:val="2"/>
    <w:locked/>
    <w:uiPriority w:val="99"/>
    <w:rPr>
      <w:rFonts w:ascii="Calibri" w:hAnsi="Calibri" w:eastAsia="宋体" w:cs="Calibri"/>
      <w:kern w:val="2"/>
      <w:sz w:val="24"/>
      <w:szCs w:val="24"/>
    </w:rPr>
  </w:style>
  <w:style w:type="character" w:customStyle="1" w:styleId="11">
    <w:name w:val="页脚 Char"/>
    <w:basedOn w:val="5"/>
    <w:link w:val="3"/>
    <w:qFormat/>
    <w:locked/>
    <w:uiPriority w:val="99"/>
    <w:rPr>
      <w:rFonts w:ascii="Calibri" w:hAnsi="Calibri" w:eastAsia="宋体" w:cs="Calibri"/>
      <w:kern w:val="2"/>
      <w:sz w:val="18"/>
      <w:szCs w:val="18"/>
    </w:rPr>
  </w:style>
  <w:style w:type="character" w:customStyle="1" w:styleId="12">
    <w:name w:val="页眉 Char"/>
    <w:basedOn w:val="5"/>
    <w:link w:val="4"/>
    <w:qFormat/>
    <w:locked/>
    <w:uiPriority w:val="99"/>
    <w:rPr>
      <w:rFonts w:ascii="Calibri" w:hAnsi="Calibri" w:eastAsia="宋体" w:cs="Calibri"/>
      <w:kern w:val="2"/>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444</Words>
  <Characters>2531</Characters>
  <Lines>21</Lines>
  <Paragraphs>5</Paragraphs>
  <TotalTime>0</TotalTime>
  <ScaleCrop>false</ScaleCrop>
  <LinksUpToDate>false</LinksUpToDate>
  <CharactersWithSpaces>2970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2017-03-24T01:27:00Z</dcterms:created>
  <dc:creator>Administrator</dc:creator>
  <cp:lastModifiedBy>Administrator</cp:lastModifiedBy>
  <dcterms:modified xsi:type="dcterms:W3CDTF">2017-11-10T02:57:01Z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