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319涞源县审计局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849.81</w:t>
            </w:r>
          </w:p>
        </w:tc>
        <w:tc>
          <w:tcPr>
            <w:tcW w:w="4535" w:type="dxa"/>
            <w:vAlign w:val="center"/>
          </w:tcPr>
          <w:p>
            <w:pPr>
              <w:pStyle w:val="13"/>
            </w:pPr>
            <w:r>
              <w:t>一、一般公共服务支出</w:t>
            </w:r>
          </w:p>
        </w:tc>
        <w:tc>
          <w:tcPr>
            <w:tcW w:w="2126" w:type="dxa"/>
            <w:vAlign w:val="center"/>
          </w:tcPr>
          <w:p>
            <w:pPr>
              <w:pStyle w:val="12"/>
            </w:pPr>
            <w:r>
              <w:t>791.56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849.81</w:t>
            </w:r>
          </w:p>
        </w:tc>
        <w:tc>
          <w:tcPr>
            <w:tcW w:w="4535" w:type="dxa"/>
            <w:vAlign w:val="center"/>
          </w:tcPr>
          <w:p>
            <w:pPr>
              <w:pStyle w:val="15"/>
            </w:pPr>
            <w:r>
              <w:t>本年支出合计</w:t>
            </w:r>
          </w:p>
        </w:tc>
        <w:tc>
          <w:tcPr>
            <w:tcW w:w="2126" w:type="dxa"/>
            <w:vAlign w:val="center"/>
          </w:tcPr>
          <w:p>
            <w:pPr>
              <w:pStyle w:val="16"/>
            </w:pPr>
            <w:r>
              <w:t>851.72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1.91</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851.72</w:t>
            </w:r>
          </w:p>
        </w:tc>
        <w:tc>
          <w:tcPr>
            <w:tcW w:w="4535" w:type="dxa"/>
            <w:vAlign w:val="center"/>
          </w:tcPr>
          <w:p>
            <w:pPr>
              <w:pStyle w:val="15"/>
            </w:pPr>
            <w:r>
              <w:t>支出总计</w:t>
            </w:r>
          </w:p>
        </w:tc>
        <w:tc>
          <w:tcPr>
            <w:tcW w:w="2126" w:type="dxa"/>
            <w:vAlign w:val="center"/>
          </w:tcPr>
          <w:p>
            <w:pPr>
              <w:pStyle w:val="16"/>
            </w:pPr>
            <w:r>
              <w:t>851.72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319涞源县审计局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851.72</w:t>
            </w:r>
          </w:p>
        </w:tc>
        <w:tc>
          <w:tcPr>
            <w:tcW w:w="1134" w:type="dxa"/>
            <w:vAlign w:val="center"/>
          </w:tcPr>
          <w:p>
            <w:pPr>
              <w:pStyle w:val="16"/>
            </w:pPr>
            <w:r>
              <w:t>849.81</w:t>
            </w:r>
          </w:p>
        </w:tc>
        <w:tc>
          <w:tcPr>
            <w:tcW w:w="1134" w:type="dxa"/>
            <w:vAlign w:val="center"/>
          </w:tcPr>
          <w:p>
            <w:pPr>
              <w:pStyle w:val="16"/>
            </w:pPr>
            <w:r>
              <w:t>849.81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791.56</w:t>
            </w:r>
          </w:p>
        </w:tc>
        <w:tc>
          <w:tcPr>
            <w:tcW w:w="1134" w:type="dxa"/>
            <w:vAlign w:val="center"/>
          </w:tcPr>
          <w:p>
            <w:pPr>
              <w:pStyle w:val="12"/>
            </w:pPr>
            <w:r>
              <w:t>789.65</w:t>
            </w:r>
          </w:p>
        </w:tc>
        <w:tc>
          <w:tcPr>
            <w:tcW w:w="1134" w:type="dxa"/>
            <w:vAlign w:val="center"/>
          </w:tcPr>
          <w:p>
            <w:pPr>
              <w:pStyle w:val="12"/>
            </w:pPr>
            <w:r>
              <w:t>789.65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20108</w:t>
            </w:r>
          </w:p>
        </w:tc>
        <w:tc>
          <w:tcPr>
            <w:tcW w:w="1559" w:type="dxa"/>
            <w:vAlign w:val="center"/>
          </w:tcPr>
          <w:p>
            <w:pPr>
              <w:pStyle w:val="13"/>
            </w:pPr>
            <w:r>
              <w:t>审计事务</w:t>
            </w:r>
          </w:p>
        </w:tc>
        <w:tc>
          <w:tcPr>
            <w:tcW w:w="1134" w:type="dxa"/>
            <w:vAlign w:val="center"/>
          </w:tcPr>
          <w:p>
            <w:pPr>
              <w:pStyle w:val="12"/>
            </w:pPr>
            <w:r>
              <w:t>791.56</w:t>
            </w:r>
          </w:p>
        </w:tc>
        <w:tc>
          <w:tcPr>
            <w:tcW w:w="1134" w:type="dxa"/>
            <w:vAlign w:val="center"/>
          </w:tcPr>
          <w:p>
            <w:pPr>
              <w:pStyle w:val="12"/>
            </w:pPr>
            <w:r>
              <w:t>789.65</w:t>
            </w:r>
          </w:p>
        </w:tc>
        <w:tc>
          <w:tcPr>
            <w:tcW w:w="1134" w:type="dxa"/>
            <w:vAlign w:val="center"/>
          </w:tcPr>
          <w:p>
            <w:pPr>
              <w:pStyle w:val="12"/>
            </w:pPr>
            <w:r>
              <w:t>789.65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2010801</w:t>
            </w:r>
          </w:p>
        </w:tc>
        <w:tc>
          <w:tcPr>
            <w:tcW w:w="1559" w:type="dxa"/>
            <w:vAlign w:val="center"/>
          </w:tcPr>
          <w:p>
            <w:pPr>
              <w:pStyle w:val="13"/>
            </w:pPr>
            <w:r>
              <w:t>行政运行</w:t>
            </w:r>
          </w:p>
        </w:tc>
        <w:tc>
          <w:tcPr>
            <w:tcW w:w="1134" w:type="dxa"/>
            <w:vAlign w:val="center"/>
          </w:tcPr>
          <w:p>
            <w:pPr>
              <w:pStyle w:val="12"/>
            </w:pPr>
            <w:r>
              <w:t>184.65</w:t>
            </w:r>
          </w:p>
        </w:tc>
        <w:tc>
          <w:tcPr>
            <w:tcW w:w="1134" w:type="dxa"/>
            <w:vAlign w:val="center"/>
          </w:tcPr>
          <w:p>
            <w:pPr>
              <w:pStyle w:val="12"/>
            </w:pPr>
            <w:r>
              <w:t>184.65</w:t>
            </w:r>
          </w:p>
        </w:tc>
        <w:tc>
          <w:tcPr>
            <w:tcW w:w="1134" w:type="dxa"/>
            <w:vAlign w:val="center"/>
          </w:tcPr>
          <w:p>
            <w:pPr>
              <w:pStyle w:val="12"/>
            </w:pPr>
            <w:r>
              <w:t>184.65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2010804</w:t>
            </w:r>
          </w:p>
        </w:tc>
        <w:tc>
          <w:tcPr>
            <w:tcW w:w="1559" w:type="dxa"/>
            <w:vAlign w:val="center"/>
          </w:tcPr>
          <w:p>
            <w:pPr>
              <w:pStyle w:val="13"/>
            </w:pPr>
            <w:r>
              <w:t>审计业务</w:t>
            </w:r>
          </w:p>
        </w:tc>
        <w:tc>
          <w:tcPr>
            <w:tcW w:w="1134" w:type="dxa"/>
            <w:vAlign w:val="center"/>
          </w:tcPr>
          <w:p>
            <w:pPr>
              <w:pStyle w:val="12"/>
            </w:pPr>
            <w:r>
              <w:t>555.00</w:t>
            </w:r>
          </w:p>
        </w:tc>
        <w:tc>
          <w:tcPr>
            <w:tcW w:w="1134" w:type="dxa"/>
            <w:vAlign w:val="center"/>
          </w:tcPr>
          <w:p>
            <w:pPr>
              <w:pStyle w:val="12"/>
            </w:pPr>
            <w:r>
              <w:t>555.00</w:t>
            </w:r>
          </w:p>
        </w:tc>
        <w:tc>
          <w:tcPr>
            <w:tcW w:w="1134" w:type="dxa"/>
            <w:vAlign w:val="center"/>
          </w:tcPr>
          <w:p>
            <w:pPr>
              <w:pStyle w:val="12"/>
            </w:pPr>
            <w:r>
              <w:t>555.00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2010899</w:t>
            </w:r>
          </w:p>
        </w:tc>
        <w:tc>
          <w:tcPr>
            <w:tcW w:w="1559" w:type="dxa"/>
            <w:vAlign w:val="center"/>
          </w:tcPr>
          <w:p>
            <w:pPr>
              <w:pStyle w:val="13"/>
            </w:pPr>
            <w:r>
              <w:t>其他审计事务支出</w:t>
            </w:r>
          </w:p>
        </w:tc>
        <w:tc>
          <w:tcPr>
            <w:tcW w:w="1134" w:type="dxa"/>
            <w:vAlign w:val="center"/>
          </w:tcPr>
          <w:p>
            <w:pPr>
              <w:pStyle w:val="12"/>
            </w:pPr>
            <w:r>
              <w:t>51.91</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50.31</w:t>
            </w:r>
          </w:p>
        </w:tc>
        <w:tc>
          <w:tcPr>
            <w:tcW w:w="1134" w:type="dxa"/>
            <w:vAlign w:val="center"/>
          </w:tcPr>
          <w:p>
            <w:pPr>
              <w:pStyle w:val="12"/>
            </w:pPr>
            <w:r>
              <w:t>50.31</w:t>
            </w:r>
          </w:p>
        </w:tc>
        <w:tc>
          <w:tcPr>
            <w:tcW w:w="1134" w:type="dxa"/>
            <w:vAlign w:val="center"/>
          </w:tcPr>
          <w:p>
            <w:pPr>
              <w:pStyle w:val="12"/>
            </w:pPr>
            <w:r>
              <w:t>50.31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50.31</w:t>
            </w:r>
          </w:p>
        </w:tc>
        <w:tc>
          <w:tcPr>
            <w:tcW w:w="1134" w:type="dxa"/>
            <w:vAlign w:val="center"/>
          </w:tcPr>
          <w:p>
            <w:pPr>
              <w:pStyle w:val="12"/>
            </w:pPr>
            <w:r>
              <w:t>50.31</w:t>
            </w:r>
          </w:p>
        </w:tc>
        <w:tc>
          <w:tcPr>
            <w:tcW w:w="1134" w:type="dxa"/>
            <w:vAlign w:val="center"/>
          </w:tcPr>
          <w:p>
            <w:pPr>
              <w:pStyle w:val="12"/>
            </w:pPr>
            <w:r>
              <w:t>50.31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20.76</w:t>
            </w:r>
          </w:p>
        </w:tc>
        <w:tc>
          <w:tcPr>
            <w:tcW w:w="1134" w:type="dxa"/>
            <w:vAlign w:val="center"/>
          </w:tcPr>
          <w:p>
            <w:pPr>
              <w:pStyle w:val="12"/>
            </w:pPr>
            <w:r>
              <w:t>20.76</w:t>
            </w:r>
          </w:p>
        </w:tc>
        <w:tc>
          <w:tcPr>
            <w:tcW w:w="1134" w:type="dxa"/>
            <w:vAlign w:val="center"/>
          </w:tcPr>
          <w:p>
            <w:pPr>
              <w:pStyle w:val="12"/>
            </w:pPr>
            <w:r>
              <w:t>20.76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19.70</w:t>
            </w:r>
          </w:p>
        </w:tc>
        <w:tc>
          <w:tcPr>
            <w:tcW w:w="1134" w:type="dxa"/>
            <w:vAlign w:val="center"/>
          </w:tcPr>
          <w:p>
            <w:pPr>
              <w:pStyle w:val="12"/>
            </w:pPr>
            <w:r>
              <w:t>19.70</w:t>
            </w:r>
          </w:p>
        </w:tc>
        <w:tc>
          <w:tcPr>
            <w:tcW w:w="1134" w:type="dxa"/>
            <w:vAlign w:val="center"/>
          </w:tcPr>
          <w:p>
            <w:pPr>
              <w:pStyle w:val="12"/>
            </w:pPr>
            <w:r>
              <w:t>19.70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9.85</w:t>
            </w:r>
          </w:p>
        </w:tc>
        <w:tc>
          <w:tcPr>
            <w:tcW w:w="1134" w:type="dxa"/>
            <w:vAlign w:val="center"/>
          </w:tcPr>
          <w:p>
            <w:pPr>
              <w:pStyle w:val="12"/>
            </w:pPr>
            <w:r>
              <w:t>9.85</w:t>
            </w:r>
          </w:p>
        </w:tc>
        <w:tc>
          <w:tcPr>
            <w:tcW w:w="1134" w:type="dxa"/>
            <w:vAlign w:val="center"/>
          </w:tcPr>
          <w:p>
            <w:pPr>
              <w:pStyle w:val="12"/>
            </w:pPr>
            <w:r>
              <w:t>9.85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9.85</w:t>
            </w:r>
          </w:p>
        </w:tc>
        <w:tc>
          <w:tcPr>
            <w:tcW w:w="1134" w:type="dxa"/>
            <w:vAlign w:val="center"/>
          </w:tcPr>
          <w:p>
            <w:pPr>
              <w:pStyle w:val="12"/>
            </w:pPr>
            <w:r>
              <w:t>9.85</w:t>
            </w:r>
          </w:p>
        </w:tc>
        <w:tc>
          <w:tcPr>
            <w:tcW w:w="1134" w:type="dxa"/>
            <w:vAlign w:val="center"/>
          </w:tcPr>
          <w:p>
            <w:pPr>
              <w:pStyle w:val="12"/>
            </w:pPr>
            <w:r>
              <w:t>9.85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9.85</w:t>
            </w:r>
          </w:p>
        </w:tc>
        <w:tc>
          <w:tcPr>
            <w:tcW w:w="1134" w:type="dxa"/>
            <w:vAlign w:val="center"/>
          </w:tcPr>
          <w:p>
            <w:pPr>
              <w:pStyle w:val="12"/>
            </w:pPr>
            <w:r>
              <w:t>9.85</w:t>
            </w:r>
          </w:p>
        </w:tc>
        <w:tc>
          <w:tcPr>
            <w:tcW w:w="1134" w:type="dxa"/>
            <w:vAlign w:val="center"/>
          </w:tcPr>
          <w:p>
            <w:pPr>
              <w:pStyle w:val="12"/>
            </w:pPr>
            <w:r>
              <w:t>9.85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9.85</w:t>
            </w:r>
          </w:p>
        </w:tc>
        <w:tc>
          <w:tcPr>
            <w:tcW w:w="1134" w:type="dxa"/>
            <w:vAlign w:val="center"/>
          </w:tcPr>
          <w:p>
            <w:pPr>
              <w:pStyle w:val="12"/>
            </w:pPr>
            <w:r>
              <w:t>9.85</w:t>
            </w:r>
          </w:p>
        </w:tc>
        <w:tc>
          <w:tcPr>
            <w:tcW w:w="1134" w:type="dxa"/>
            <w:vAlign w:val="center"/>
          </w:tcPr>
          <w:p>
            <w:pPr>
              <w:pStyle w:val="12"/>
            </w:pPr>
            <w:r>
              <w:t>9.85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319涞源县审计局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851.72</w:t>
            </w:r>
          </w:p>
        </w:tc>
        <w:tc>
          <w:tcPr>
            <w:tcW w:w="1361" w:type="dxa"/>
            <w:vAlign w:val="center"/>
          </w:tcPr>
          <w:p>
            <w:pPr>
              <w:pStyle w:val="16"/>
            </w:pPr>
            <w:r>
              <w:t>244.81</w:t>
            </w:r>
          </w:p>
        </w:tc>
        <w:tc>
          <w:tcPr>
            <w:tcW w:w="1361" w:type="dxa"/>
            <w:vAlign w:val="center"/>
          </w:tcPr>
          <w:p>
            <w:pPr>
              <w:pStyle w:val="16"/>
            </w:pPr>
            <w:r>
              <w:t>606.91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791.56</w:t>
            </w:r>
          </w:p>
        </w:tc>
        <w:tc>
          <w:tcPr>
            <w:tcW w:w="1361" w:type="dxa"/>
            <w:vAlign w:val="center"/>
          </w:tcPr>
          <w:p>
            <w:pPr>
              <w:pStyle w:val="12"/>
            </w:pPr>
            <w:r>
              <w:t>184.65</w:t>
            </w:r>
          </w:p>
        </w:tc>
        <w:tc>
          <w:tcPr>
            <w:tcW w:w="1361" w:type="dxa"/>
            <w:vAlign w:val="center"/>
          </w:tcPr>
          <w:p>
            <w:pPr>
              <w:pStyle w:val="12"/>
            </w:pPr>
            <w:r>
              <w:t>606.91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20108</w:t>
            </w:r>
          </w:p>
        </w:tc>
        <w:tc>
          <w:tcPr>
            <w:tcW w:w="4535" w:type="dxa"/>
            <w:vAlign w:val="center"/>
          </w:tcPr>
          <w:p>
            <w:pPr>
              <w:pStyle w:val="13"/>
            </w:pPr>
            <w:r>
              <w:t>审计事务</w:t>
            </w:r>
          </w:p>
        </w:tc>
        <w:tc>
          <w:tcPr>
            <w:tcW w:w="1361" w:type="dxa"/>
            <w:vAlign w:val="center"/>
          </w:tcPr>
          <w:p>
            <w:pPr>
              <w:pStyle w:val="12"/>
            </w:pPr>
            <w:r>
              <w:t>791.56</w:t>
            </w:r>
          </w:p>
        </w:tc>
        <w:tc>
          <w:tcPr>
            <w:tcW w:w="1361" w:type="dxa"/>
            <w:vAlign w:val="center"/>
          </w:tcPr>
          <w:p>
            <w:pPr>
              <w:pStyle w:val="12"/>
            </w:pPr>
            <w:r>
              <w:t>184.65</w:t>
            </w:r>
          </w:p>
        </w:tc>
        <w:tc>
          <w:tcPr>
            <w:tcW w:w="1361" w:type="dxa"/>
            <w:vAlign w:val="center"/>
          </w:tcPr>
          <w:p>
            <w:pPr>
              <w:pStyle w:val="12"/>
            </w:pPr>
            <w:r>
              <w:t>606.91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2010801</w:t>
            </w:r>
          </w:p>
        </w:tc>
        <w:tc>
          <w:tcPr>
            <w:tcW w:w="4535" w:type="dxa"/>
            <w:vAlign w:val="center"/>
          </w:tcPr>
          <w:p>
            <w:pPr>
              <w:pStyle w:val="13"/>
            </w:pPr>
            <w:r>
              <w:t>行政运行</w:t>
            </w:r>
          </w:p>
        </w:tc>
        <w:tc>
          <w:tcPr>
            <w:tcW w:w="1361" w:type="dxa"/>
            <w:vAlign w:val="center"/>
          </w:tcPr>
          <w:p>
            <w:pPr>
              <w:pStyle w:val="12"/>
            </w:pPr>
            <w:r>
              <w:t>184.65</w:t>
            </w:r>
          </w:p>
        </w:tc>
        <w:tc>
          <w:tcPr>
            <w:tcW w:w="1361" w:type="dxa"/>
            <w:vAlign w:val="center"/>
          </w:tcPr>
          <w:p>
            <w:pPr>
              <w:pStyle w:val="12"/>
            </w:pPr>
            <w:r>
              <w:t>184.65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2010804</w:t>
            </w:r>
          </w:p>
        </w:tc>
        <w:tc>
          <w:tcPr>
            <w:tcW w:w="4535" w:type="dxa"/>
            <w:vAlign w:val="center"/>
          </w:tcPr>
          <w:p>
            <w:pPr>
              <w:pStyle w:val="13"/>
            </w:pPr>
            <w:r>
              <w:t>审计业务</w:t>
            </w:r>
          </w:p>
        </w:tc>
        <w:tc>
          <w:tcPr>
            <w:tcW w:w="1361" w:type="dxa"/>
            <w:vAlign w:val="center"/>
          </w:tcPr>
          <w:p>
            <w:pPr>
              <w:pStyle w:val="12"/>
            </w:pPr>
            <w:r>
              <w:t>555.00</w:t>
            </w:r>
          </w:p>
        </w:tc>
        <w:tc>
          <w:tcPr>
            <w:tcW w:w="1361" w:type="dxa"/>
            <w:vAlign w:val="center"/>
          </w:tcPr>
          <w:p>
            <w:pPr>
              <w:pStyle w:val="12"/>
            </w:pPr>
          </w:p>
        </w:tc>
        <w:tc>
          <w:tcPr>
            <w:tcW w:w="1361" w:type="dxa"/>
            <w:vAlign w:val="center"/>
          </w:tcPr>
          <w:p>
            <w:pPr>
              <w:pStyle w:val="12"/>
            </w:pPr>
            <w:r>
              <w:t>555.00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2010899</w:t>
            </w:r>
          </w:p>
        </w:tc>
        <w:tc>
          <w:tcPr>
            <w:tcW w:w="4535" w:type="dxa"/>
            <w:vAlign w:val="center"/>
          </w:tcPr>
          <w:p>
            <w:pPr>
              <w:pStyle w:val="13"/>
            </w:pPr>
            <w:r>
              <w:t>其他审计事务支出</w:t>
            </w:r>
          </w:p>
        </w:tc>
        <w:tc>
          <w:tcPr>
            <w:tcW w:w="1361" w:type="dxa"/>
            <w:vAlign w:val="center"/>
          </w:tcPr>
          <w:p>
            <w:pPr>
              <w:pStyle w:val="12"/>
            </w:pPr>
            <w:r>
              <w:t>51.91</w:t>
            </w:r>
          </w:p>
        </w:tc>
        <w:tc>
          <w:tcPr>
            <w:tcW w:w="1361" w:type="dxa"/>
            <w:vAlign w:val="center"/>
          </w:tcPr>
          <w:p>
            <w:pPr>
              <w:pStyle w:val="12"/>
            </w:pPr>
          </w:p>
        </w:tc>
        <w:tc>
          <w:tcPr>
            <w:tcW w:w="1361" w:type="dxa"/>
            <w:vAlign w:val="center"/>
          </w:tcPr>
          <w:p>
            <w:pPr>
              <w:pStyle w:val="12"/>
            </w:pPr>
            <w:r>
              <w:t>51.91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50.31</w:t>
            </w:r>
          </w:p>
        </w:tc>
        <w:tc>
          <w:tcPr>
            <w:tcW w:w="1361" w:type="dxa"/>
            <w:vAlign w:val="center"/>
          </w:tcPr>
          <w:p>
            <w:pPr>
              <w:pStyle w:val="12"/>
            </w:pPr>
            <w:r>
              <w:t>50.31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50.31</w:t>
            </w:r>
          </w:p>
        </w:tc>
        <w:tc>
          <w:tcPr>
            <w:tcW w:w="1361" w:type="dxa"/>
            <w:vAlign w:val="center"/>
          </w:tcPr>
          <w:p>
            <w:pPr>
              <w:pStyle w:val="12"/>
            </w:pPr>
            <w:r>
              <w:t>50.31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20.76</w:t>
            </w:r>
          </w:p>
        </w:tc>
        <w:tc>
          <w:tcPr>
            <w:tcW w:w="1361" w:type="dxa"/>
            <w:vAlign w:val="center"/>
          </w:tcPr>
          <w:p>
            <w:pPr>
              <w:pStyle w:val="12"/>
            </w:pPr>
            <w:r>
              <w:t>20.76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19.70</w:t>
            </w:r>
          </w:p>
        </w:tc>
        <w:tc>
          <w:tcPr>
            <w:tcW w:w="1361" w:type="dxa"/>
            <w:vAlign w:val="center"/>
          </w:tcPr>
          <w:p>
            <w:pPr>
              <w:pStyle w:val="12"/>
            </w:pPr>
            <w:r>
              <w:t>19.70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9.85</w:t>
            </w:r>
          </w:p>
        </w:tc>
        <w:tc>
          <w:tcPr>
            <w:tcW w:w="1361" w:type="dxa"/>
            <w:vAlign w:val="center"/>
          </w:tcPr>
          <w:p>
            <w:pPr>
              <w:pStyle w:val="12"/>
            </w:pPr>
            <w:r>
              <w:t>9.85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9.85</w:t>
            </w:r>
          </w:p>
        </w:tc>
        <w:tc>
          <w:tcPr>
            <w:tcW w:w="1361" w:type="dxa"/>
            <w:vAlign w:val="center"/>
          </w:tcPr>
          <w:p>
            <w:pPr>
              <w:pStyle w:val="12"/>
            </w:pPr>
            <w:r>
              <w:t>9.85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9.85</w:t>
            </w:r>
          </w:p>
        </w:tc>
        <w:tc>
          <w:tcPr>
            <w:tcW w:w="1361" w:type="dxa"/>
            <w:vAlign w:val="center"/>
          </w:tcPr>
          <w:p>
            <w:pPr>
              <w:pStyle w:val="12"/>
            </w:pPr>
            <w:r>
              <w:t>9.85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9.85</w:t>
            </w:r>
          </w:p>
        </w:tc>
        <w:tc>
          <w:tcPr>
            <w:tcW w:w="1361" w:type="dxa"/>
            <w:vAlign w:val="center"/>
          </w:tcPr>
          <w:p>
            <w:pPr>
              <w:pStyle w:val="12"/>
            </w:pPr>
            <w:r>
              <w:t>9.85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319涞源县审计局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849.81</w:t>
            </w:r>
          </w:p>
        </w:tc>
        <w:tc>
          <w:tcPr>
            <w:tcW w:w="3402" w:type="dxa"/>
            <w:vAlign w:val="center"/>
          </w:tcPr>
          <w:p>
            <w:pPr>
              <w:pStyle w:val="13"/>
            </w:pPr>
            <w:r>
              <w:t>一、一般公共服务支出</w:t>
            </w:r>
          </w:p>
        </w:tc>
        <w:tc>
          <w:tcPr>
            <w:tcW w:w="1474" w:type="dxa"/>
            <w:vAlign w:val="center"/>
          </w:tcPr>
          <w:p>
            <w:pPr>
              <w:pStyle w:val="12"/>
            </w:pPr>
            <w:r>
              <w:t>791.56</w:t>
            </w:r>
          </w:p>
        </w:tc>
        <w:tc>
          <w:tcPr>
            <w:tcW w:w="1474" w:type="dxa"/>
            <w:vAlign w:val="center"/>
          </w:tcPr>
          <w:p>
            <w:pPr>
              <w:pStyle w:val="12"/>
            </w:pPr>
            <w:r>
              <w:t>791.56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50.31</w:t>
            </w:r>
          </w:p>
        </w:tc>
        <w:tc>
          <w:tcPr>
            <w:tcW w:w="1474" w:type="dxa"/>
            <w:vAlign w:val="center"/>
          </w:tcPr>
          <w:p>
            <w:pPr>
              <w:pStyle w:val="12"/>
            </w:pPr>
            <w:r>
              <w:t>50.31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9.85</w:t>
            </w:r>
          </w:p>
        </w:tc>
        <w:tc>
          <w:tcPr>
            <w:tcW w:w="1474" w:type="dxa"/>
            <w:vAlign w:val="center"/>
          </w:tcPr>
          <w:p>
            <w:pPr>
              <w:pStyle w:val="12"/>
            </w:pPr>
            <w:r>
              <w:t>9.85</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849.81</w:t>
            </w:r>
          </w:p>
        </w:tc>
        <w:tc>
          <w:tcPr>
            <w:tcW w:w="3402" w:type="dxa"/>
            <w:vAlign w:val="center"/>
          </w:tcPr>
          <w:p>
            <w:pPr>
              <w:pStyle w:val="15"/>
            </w:pPr>
            <w:r>
              <w:t>本年支出合计</w:t>
            </w:r>
          </w:p>
        </w:tc>
        <w:tc>
          <w:tcPr>
            <w:tcW w:w="1474" w:type="dxa"/>
            <w:vAlign w:val="center"/>
          </w:tcPr>
          <w:p>
            <w:pPr>
              <w:pStyle w:val="16"/>
            </w:pPr>
            <w:r>
              <w:t>851.72</w:t>
            </w:r>
          </w:p>
        </w:tc>
        <w:tc>
          <w:tcPr>
            <w:tcW w:w="1474" w:type="dxa"/>
            <w:vAlign w:val="center"/>
          </w:tcPr>
          <w:p>
            <w:pPr>
              <w:pStyle w:val="16"/>
            </w:pPr>
            <w:r>
              <w:t>851.72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1.91</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1.91</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851.72</w:t>
            </w:r>
          </w:p>
        </w:tc>
        <w:tc>
          <w:tcPr>
            <w:tcW w:w="3402" w:type="dxa"/>
            <w:vAlign w:val="center"/>
          </w:tcPr>
          <w:p>
            <w:pPr>
              <w:pStyle w:val="15"/>
            </w:pPr>
            <w:r>
              <w:t>支出总计</w:t>
            </w:r>
          </w:p>
        </w:tc>
        <w:tc>
          <w:tcPr>
            <w:tcW w:w="1474" w:type="dxa"/>
            <w:vAlign w:val="center"/>
          </w:tcPr>
          <w:p>
            <w:pPr>
              <w:pStyle w:val="16"/>
            </w:pPr>
            <w:r>
              <w:t>851.72</w:t>
            </w:r>
          </w:p>
        </w:tc>
        <w:tc>
          <w:tcPr>
            <w:tcW w:w="1474" w:type="dxa"/>
            <w:vAlign w:val="center"/>
          </w:tcPr>
          <w:p>
            <w:pPr>
              <w:pStyle w:val="16"/>
            </w:pPr>
            <w:r>
              <w:t>851.72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319涞源县审计局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851.72</w:t>
            </w:r>
          </w:p>
        </w:tc>
        <w:tc>
          <w:tcPr>
            <w:tcW w:w="2551" w:type="dxa"/>
            <w:vAlign w:val="center"/>
          </w:tcPr>
          <w:p>
            <w:pPr>
              <w:pStyle w:val="16"/>
            </w:pPr>
            <w:r>
              <w:t>244.81</w:t>
            </w:r>
          </w:p>
        </w:tc>
        <w:tc>
          <w:tcPr>
            <w:tcW w:w="2551" w:type="dxa"/>
            <w:vAlign w:val="center"/>
          </w:tcPr>
          <w:p>
            <w:pPr>
              <w:pStyle w:val="16"/>
            </w:pPr>
            <w:r>
              <w:t>606.91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791.56</w:t>
            </w:r>
          </w:p>
        </w:tc>
        <w:tc>
          <w:tcPr>
            <w:tcW w:w="2551" w:type="dxa"/>
            <w:vAlign w:val="center"/>
          </w:tcPr>
          <w:p>
            <w:pPr>
              <w:pStyle w:val="12"/>
            </w:pPr>
            <w:r>
              <w:t>184.65</w:t>
            </w:r>
          </w:p>
        </w:tc>
        <w:tc>
          <w:tcPr>
            <w:tcW w:w="2551" w:type="dxa"/>
            <w:vAlign w:val="center"/>
          </w:tcPr>
          <w:p>
            <w:pPr>
              <w:pStyle w:val="12"/>
            </w:pPr>
            <w:r>
              <w:t>606.91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20108</w:t>
            </w:r>
          </w:p>
        </w:tc>
        <w:tc>
          <w:tcPr>
            <w:tcW w:w="4535" w:type="dxa"/>
            <w:vAlign w:val="center"/>
          </w:tcPr>
          <w:p>
            <w:pPr>
              <w:pStyle w:val="13"/>
            </w:pPr>
            <w:r>
              <w:t>审计事务</w:t>
            </w:r>
          </w:p>
        </w:tc>
        <w:tc>
          <w:tcPr>
            <w:tcW w:w="2551" w:type="dxa"/>
            <w:vAlign w:val="center"/>
          </w:tcPr>
          <w:p>
            <w:pPr>
              <w:pStyle w:val="12"/>
            </w:pPr>
            <w:r>
              <w:t>791.56</w:t>
            </w:r>
          </w:p>
        </w:tc>
        <w:tc>
          <w:tcPr>
            <w:tcW w:w="2551" w:type="dxa"/>
            <w:vAlign w:val="center"/>
          </w:tcPr>
          <w:p>
            <w:pPr>
              <w:pStyle w:val="12"/>
            </w:pPr>
            <w:r>
              <w:t>184.65</w:t>
            </w:r>
          </w:p>
        </w:tc>
        <w:tc>
          <w:tcPr>
            <w:tcW w:w="2551" w:type="dxa"/>
            <w:vAlign w:val="center"/>
          </w:tcPr>
          <w:p>
            <w:pPr>
              <w:pStyle w:val="12"/>
            </w:pPr>
            <w:r>
              <w:t>606.91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2010801</w:t>
            </w:r>
          </w:p>
        </w:tc>
        <w:tc>
          <w:tcPr>
            <w:tcW w:w="4535" w:type="dxa"/>
            <w:vAlign w:val="center"/>
          </w:tcPr>
          <w:p>
            <w:pPr>
              <w:pStyle w:val="13"/>
            </w:pPr>
            <w:r>
              <w:t>行政运行</w:t>
            </w:r>
          </w:p>
        </w:tc>
        <w:tc>
          <w:tcPr>
            <w:tcW w:w="2551" w:type="dxa"/>
            <w:vAlign w:val="center"/>
          </w:tcPr>
          <w:p>
            <w:pPr>
              <w:pStyle w:val="12"/>
            </w:pPr>
            <w:r>
              <w:t>184.65</w:t>
            </w:r>
          </w:p>
        </w:tc>
        <w:tc>
          <w:tcPr>
            <w:tcW w:w="2551" w:type="dxa"/>
            <w:vAlign w:val="center"/>
          </w:tcPr>
          <w:p>
            <w:pPr>
              <w:pStyle w:val="12"/>
            </w:pPr>
            <w:r>
              <w:t>184.65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2010804</w:t>
            </w:r>
          </w:p>
        </w:tc>
        <w:tc>
          <w:tcPr>
            <w:tcW w:w="4535" w:type="dxa"/>
            <w:vAlign w:val="center"/>
          </w:tcPr>
          <w:p>
            <w:pPr>
              <w:pStyle w:val="13"/>
            </w:pPr>
            <w:r>
              <w:t>审计业务</w:t>
            </w:r>
          </w:p>
        </w:tc>
        <w:tc>
          <w:tcPr>
            <w:tcW w:w="2551" w:type="dxa"/>
            <w:vAlign w:val="center"/>
          </w:tcPr>
          <w:p>
            <w:pPr>
              <w:pStyle w:val="12"/>
            </w:pPr>
            <w:r>
              <w:t>555.00</w:t>
            </w:r>
          </w:p>
        </w:tc>
        <w:tc>
          <w:tcPr>
            <w:tcW w:w="2551" w:type="dxa"/>
            <w:vAlign w:val="center"/>
          </w:tcPr>
          <w:p>
            <w:pPr>
              <w:pStyle w:val="12"/>
            </w:pPr>
          </w:p>
        </w:tc>
        <w:tc>
          <w:tcPr>
            <w:tcW w:w="2551" w:type="dxa"/>
            <w:vAlign w:val="center"/>
          </w:tcPr>
          <w:p>
            <w:pPr>
              <w:pStyle w:val="12"/>
            </w:pPr>
            <w:r>
              <w:t>555.00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2010899</w:t>
            </w:r>
          </w:p>
        </w:tc>
        <w:tc>
          <w:tcPr>
            <w:tcW w:w="4535" w:type="dxa"/>
            <w:vAlign w:val="center"/>
          </w:tcPr>
          <w:p>
            <w:pPr>
              <w:pStyle w:val="13"/>
            </w:pPr>
            <w:r>
              <w:t>其他审计事务支出</w:t>
            </w:r>
          </w:p>
        </w:tc>
        <w:tc>
          <w:tcPr>
            <w:tcW w:w="2551" w:type="dxa"/>
            <w:vAlign w:val="center"/>
          </w:tcPr>
          <w:p>
            <w:pPr>
              <w:pStyle w:val="12"/>
            </w:pPr>
            <w:r>
              <w:t>51.91</w:t>
            </w:r>
          </w:p>
        </w:tc>
        <w:tc>
          <w:tcPr>
            <w:tcW w:w="2551" w:type="dxa"/>
            <w:vAlign w:val="center"/>
          </w:tcPr>
          <w:p>
            <w:pPr>
              <w:pStyle w:val="12"/>
            </w:pPr>
          </w:p>
        </w:tc>
        <w:tc>
          <w:tcPr>
            <w:tcW w:w="2551" w:type="dxa"/>
            <w:vAlign w:val="center"/>
          </w:tcPr>
          <w:p>
            <w:pPr>
              <w:pStyle w:val="12"/>
            </w:pPr>
            <w:r>
              <w:t>51.91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50.31</w:t>
            </w:r>
          </w:p>
        </w:tc>
        <w:tc>
          <w:tcPr>
            <w:tcW w:w="2551" w:type="dxa"/>
            <w:vAlign w:val="center"/>
          </w:tcPr>
          <w:p>
            <w:pPr>
              <w:pStyle w:val="12"/>
            </w:pPr>
            <w:r>
              <w:t>50.31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50.31</w:t>
            </w:r>
          </w:p>
        </w:tc>
        <w:tc>
          <w:tcPr>
            <w:tcW w:w="2551" w:type="dxa"/>
            <w:vAlign w:val="center"/>
          </w:tcPr>
          <w:p>
            <w:pPr>
              <w:pStyle w:val="12"/>
            </w:pPr>
            <w:r>
              <w:t>50.31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20.76</w:t>
            </w:r>
          </w:p>
        </w:tc>
        <w:tc>
          <w:tcPr>
            <w:tcW w:w="2551" w:type="dxa"/>
            <w:vAlign w:val="center"/>
          </w:tcPr>
          <w:p>
            <w:pPr>
              <w:pStyle w:val="12"/>
            </w:pPr>
            <w:r>
              <w:t>20.76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19.70</w:t>
            </w:r>
          </w:p>
        </w:tc>
        <w:tc>
          <w:tcPr>
            <w:tcW w:w="2551" w:type="dxa"/>
            <w:vAlign w:val="center"/>
          </w:tcPr>
          <w:p>
            <w:pPr>
              <w:pStyle w:val="12"/>
            </w:pPr>
            <w:r>
              <w:t>19.70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9.85</w:t>
            </w:r>
          </w:p>
        </w:tc>
        <w:tc>
          <w:tcPr>
            <w:tcW w:w="2551" w:type="dxa"/>
            <w:vAlign w:val="center"/>
          </w:tcPr>
          <w:p>
            <w:pPr>
              <w:pStyle w:val="12"/>
            </w:pPr>
            <w:r>
              <w:t>9.85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9.85</w:t>
            </w:r>
          </w:p>
        </w:tc>
        <w:tc>
          <w:tcPr>
            <w:tcW w:w="2551" w:type="dxa"/>
            <w:vAlign w:val="center"/>
          </w:tcPr>
          <w:p>
            <w:pPr>
              <w:pStyle w:val="12"/>
            </w:pPr>
            <w:r>
              <w:t>9.85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9.85</w:t>
            </w:r>
          </w:p>
        </w:tc>
        <w:tc>
          <w:tcPr>
            <w:tcW w:w="2551" w:type="dxa"/>
            <w:vAlign w:val="center"/>
          </w:tcPr>
          <w:p>
            <w:pPr>
              <w:pStyle w:val="12"/>
            </w:pPr>
            <w:r>
              <w:t>9.85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9.85</w:t>
            </w:r>
          </w:p>
        </w:tc>
        <w:tc>
          <w:tcPr>
            <w:tcW w:w="2551" w:type="dxa"/>
            <w:vAlign w:val="center"/>
          </w:tcPr>
          <w:p>
            <w:pPr>
              <w:pStyle w:val="12"/>
            </w:pPr>
            <w:r>
              <w:t>9.85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319涞源县审计局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244.81</w:t>
            </w:r>
          </w:p>
        </w:tc>
        <w:tc>
          <w:tcPr>
            <w:tcW w:w="2551" w:type="dxa"/>
            <w:vAlign w:val="center"/>
          </w:tcPr>
          <w:p>
            <w:pPr>
              <w:pStyle w:val="16"/>
            </w:pPr>
            <w:r>
              <w:t>214.32</w:t>
            </w:r>
          </w:p>
        </w:tc>
        <w:tc>
          <w:tcPr>
            <w:tcW w:w="2551" w:type="dxa"/>
            <w:vAlign w:val="center"/>
          </w:tcPr>
          <w:p>
            <w:pPr>
              <w:pStyle w:val="16"/>
            </w:pPr>
            <w:r>
              <w:t>30.49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193.56</w:t>
            </w:r>
          </w:p>
        </w:tc>
        <w:tc>
          <w:tcPr>
            <w:tcW w:w="2551" w:type="dxa"/>
            <w:vAlign w:val="center"/>
          </w:tcPr>
          <w:p>
            <w:pPr>
              <w:pStyle w:val="12"/>
            </w:pPr>
            <w:r>
              <w:t>193.56</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74.89</w:t>
            </w:r>
          </w:p>
        </w:tc>
        <w:tc>
          <w:tcPr>
            <w:tcW w:w="2551" w:type="dxa"/>
            <w:vAlign w:val="center"/>
          </w:tcPr>
          <w:p>
            <w:pPr>
              <w:pStyle w:val="12"/>
            </w:pPr>
            <w:r>
              <w:t>74.89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32.59</w:t>
            </w:r>
          </w:p>
        </w:tc>
        <w:tc>
          <w:tcPr>
            <w:tcW w:w="2551" w:type="dxa"/>
            <w:vAlign w:val="center"/>
          </w:tcPr>
          <w:p>
            <w:pPr>
              <w:pStyle w:val="12"/>
            </w:pPr>
            <w:r>
              <w:t>32.59</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10.33</w:t>
            </w:r>
          </w:p>
        </w:tc>
        <w:tc>
          <w:tcPr>
            <w:tcW w:w="2551" w:type="dxa"/>
            <w:vAlign w:val="center"/>
          </w:tcPr>
          <w:p>
            <w:pPr>
              <w:pStyle w:val="12"/>
            </w:pPr>
            <w:r>
              <w:t>10.33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27.43</w:t>
            </w:r>
          </w:p>
        </w:tc>
        <w:tc>
          <w:tcPr>
            <w:tcW w:w="2551" w:type="dxa"/>
            <w:vAlign w:val="center"/>
          </w:tcPr>
          <w:p>
            <w:pPr>
              <w:pStyle w:val="12"/>
            </w:pPr>
            <w:r>
              <w:t>27.43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19.70</w:t>
            </w:r>
          </w:p>
        </w:tc>
        <w:tc>
          <w:tcPr>
            <w:tcW w:w="2551" w:type="dxa"/>
            <w:vAlign w:val="center"/>
          </w:tcPr>
          <w:p>
            <w:pPr>
              <w:pStyle w:val="12"/>
            </w:pPr>
            <w:r>
              <w:t>19.70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9.85</w:t>
            </w:r>
          </w:p>
        </w:tc>
        <w:tc>
          <w:tcPr>
            <w:tcW w:w="2551" w:type="dxa"/>
            <w:vAlign w:val="center"/>
          </w:tcPr>
          <w:p>
            <w:pPr>
              <w:pStyle w:val="12"/>
            </w:pPr>
            <w:r>
              <w:t>9.85</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7.96</w:t>
            </w:r>
          </w:p>
        </w:tc>
        <w:tc>
          <w:tcPr>
            <w:tcW w:w="2551" w:type="dxa"/>
            <w:vAlign w:val="center"/>
          </w:tcPr>
          <w:p>
            <w:pPr>
              <w:pStyle w:val="12"/>
            </w:pPr>
            <w:r>
              <w:t>7.96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0.96</w:t>
            </w:r>
          </w:p>
        </w:tc>
        <w:tc>
          <w:tcPr>
            <w:tcW w:w="2551" w:type="dxa"/>
            <w:vAlign w:val="center"/>
          </w:tcPr>
          <w:p>
            <w:pPr>
              <w:pStyle w:val="12"/>
            </w:pPr>
            <w:r>
              <w:t>0.96</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9.85</w:t>
            </w:r>
          </w:p>
        </w:tc>
        <w:tc>
          <w:tcPr>
            <w:tcW w:w="2551" w:type="dxa"/>
            <w:vAlign w:val="center"/>
          </w:tcPr>
          <w:p>
            <w:pPr>
              <w:pStyle w:val="12"/>
            </w:pPr>
            <w:r>
              <w:t>9.85</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30.49</w:t>
            </w:r>
          </w:p>
        </w:tc>
        <w:tc>
          <w:tcPr>
            <w:tcW w:w="2551" w:type="dxa"/>
            <w:vAlign w:val="center"/>
          </w:tcPr>
          <w:p>
            <w:pPr>
              <w:pStyle w:val="12"/>
            </w:pPr>
          </w:p>
        </w:tc>
        <w:tc>
          <w:tcPr>
            <w:tcW w:w="2551" w:type="dxa"/>
            <w:vAlign w:val="center"/>
          </w:tcPr>
          <w:p>
            <w:pPr>
              <w:pStyle w:val="12"/>
            </w:pPr>
            <w:r>
              <w:t>30.49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1.93</w:t>
            </w:r>
          </w:p>
        </w:tc>
        <w:tc>
          <w:tcPr>
            <w:tcW w:w="2551" w:type="dxa"/>
            <w:vAlign w:val="center"/>
          </w:tcPr>
          <w:p>
            <w:pPr>
              <w:pStyle w:val="12"/>
            </w:pPr>
          </w:p>
        </w:tc>
        <w:tc>
          <w:tcPr>
            <w:tcW w:w="2551" w:type="dxa"/>
            <w:vAlign w:val="center"/>
          </w:tcPr>
          <w:p>
            <w:pPr>
              <w:pStyle w:val="12"/>
            </w:pPr>
            <w:r>
              <w:t>1.93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1.02</w:t>
            </w:r>
          </w:p>
        </w:tc>
        <w:tc>
          <w:tcPr>
            <w:tcW w:w="2551" w:type="dxa"/>
            <w:vAlign w:val="center"/>
          </w:tcPr>
          <w:p>
            <w:pPr>
              <w:pStyle w:val="12"/>
            </w:pPr>
          </w:p>
        </w:tc>
        <w:tc>
          <w:tcPr>
            <w:tcW w:w="2551" w:type="dxa"/>
            <w:vAlign w:val="center"/>
          </w:tcPr>
          <w:p>
            <w:pPr>
              <w:pStyle w:val="12"/>
            </w:pPr>
            <w:r>
              <w:t>1.02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1.70</w:t>
            </w:r>
          </w:p>
        </w:tc>
        <w:tc>
          <w:tcPr>
            <w:tcW w:w="2551" w:type="dxa"/>
            <w:vAlign w:val="center"/>
          </w:tcPr>
          <w:p>
            <w:pPr>
              <w:pStyle w:val="12"/>
            </w:pPr>
          </w:p>
        </w:tc>
        <w:tc>
          <w:tcPr>
            <w:tcW w:w="2551" w:type="dxa"/>
            <w:vAlign w:val="center"/>
          </w:tcPr>
          <w:p>
            <w:pPr>
              <w:pStyle w:val="12"/>
            </w:pPr>
            <w:r>
              <w:t>1.70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1.44</w:t>
            </w:r>
          </w:p>
        </w:tc>
        <w:tc>
          <w:tcPr>
            <w:tcW w:w="2551" w:type="dxa"/>
            <w:vAlign w:val="center"/>
          </w:tcPr>
          <w:p>
            <w:pPr>
              <w:pStyle w:val="12"/>
            </w:pPr>
          </w:p>
        </w:tc>
        <w:tc>
          <w:tcPr>
            <w:tcW w:w="2551" w:type="dxa"/>
            <w:vAlign w:val="center"/>
          </w:tcPr>
          <w:p>
            <w:pPr>
              <w:pStyle w:val="12"/>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3.40</w:t>
            </w:r>
          </w:p>
        </w:tc>
        <w:tc>
          <w:tcPr>
            <w:tcW w:w="2551" w:type="dxa"/>
            <w:vAlign w:val="center"/>
          </w:tcPr>
          <w:p>
            <w:pPr>
              <w:pStyle w:val="12"/>
            </w:pPr>
          </w:p>
        </w:tc>
        <w:tc>
          <w:tcPr>
            <w:tcW w:w="2551" w:type="dxa"/>
            <w:vAlign w:val="center"/>
          </w:tcPr>
          <w:p>
            <w:pPr>
              <w:pStyle w:val="12"/>
            </w:pPr>
            <w:r>
              <w:t>3.40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5.10</w:t>
            </w:r>
          </w:p>
        </w:tc>
        <w:tc>
          <w:tcPr>
            <w:tcW w:w="2551" w:type="dxa"/>
            <w:vAlign w:val="center"/>
          </w:tcPr>
          <w:p>
            <w:pPr>
              <w:pStyle w:val="12"/>
            </w:pPr>
          </w:p>
        </w:tc>
        <w:tc>
          <w:tcPr>
            <w:tcW w:w="2551" w:type="dxa"/>
            <w:vAlign w:val="center"/>
          </w:tcPr>
          <w:p>
            <w:pPr>
              <w:pStyle w:val="12"/>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7.60</w:t>
            </w:r>
          </w:p>
        </w:tc>
        <w:tc>
          <w:tcPr>
            <w:tcW w:w="2551" w:type="dxa"/>
            <w:vAlign w:val="center"/>
          </w:tcPr>
          <w:p>
            <w:pPr>
              <w:pStyle w:val="12"/>
            </w:pPr>
          </w:p>
        </w:tc>
        <w:tc>
          <w:tcPr>
            <w:tcW w:w="2551" w:type="dxa"/>
            <w:vAlign w:val="center"/>
          </w:tcPr>
          <w:p>
            <w:pPr>
              <w:pStyle w:val="12"/>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3.50</w:t>
            </w:r>
          </w:p>
        </w:tc>
        <w:tc>
          <w:tcPr>
            <w:tcW w:w="2551" w:type="dxa"/>
            <w:vAlign w:val="center"/>
          </w:tcPr>
          <w:p>
            <w:pPr>
              <w:pStyle w:val="12"/>
            </w:pPr>
          </w:p>
        </w:tc>
        <w:tc>
          <w:tcPr>
            <w:tcW w:w="2551" w:type="dxa"/>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20.76</w:t>
            </w:r>
          </w:p>
        </w:tc>
        <w:tc>
          <w:tcPr>
            <w:tcW w:w="2551" w:type="dxa"/>
            <w:vAlign w:val="center"/>
          </w:tcPr>
          <w:p>
            <w:pPr>
              <w:pStyle w:val="12"/>
            </w:pPr>
            <w:r>
              <w:t>20.76</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12.64</w:t>
            </w:r>
          </w:p>
        </w:tc>
        <w:tc>
          <w:tcPr>
            <w:tcW w:w="2551" w:type="dxa"/>
            <w:vAlign w:val="center"/>
          </w:tcPr>
          <w:p>
            <w:pPr>
              <w:pStyle w:val="12"/>
            </w:pPr>
            <w:r>
              <w:t>12.64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8.12</w:t>
            </w:r>
          </w:p>
        </w:tc>
        <w:tc>
          <w:tcPr>
            <w:tcW w:w="2551" w:type="dxa"/>
            <w:vAlign w:val="center"/>
          </w:tcPr>
          <w:p>
            <w:pPr>
              <w:pStyle w:val="12"/>
            </w:pPr>
            <w:r>
              <w:t>8.12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319涞源县审计局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319涞源县审计局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319涞源县审计局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11.10</w:t>
            </w:r>
          </w:p>
        </w:tc>
        <w:tc>
          <w:tcPr>
            <w:tcW w:w="2381" w:type="dxa"/>
            <w:vAlign w:val="center"/>
          </w:tcPr>
          <w:p>
            <w:pPr>
              <w:pStyle w:val="16"/>
            </w:pPr>
            <w:r>
              <w:t>11.10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11.10</w:t>
            </w:r>
          </w:p>
        </w:tc>
        <w:tc>
          <w:tcPr>
            <w:tcW w:w="2381" w:type="dxa"/>
            <w:vAlign w:val="center"/>
          </w:tcPr>
          <w:p>
            <w:pPr>
              <w:pStyle w:val="12"/>
            </w:pPr>
            <w:r>
              <w:t>11.10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3.50</w:t>
            </w:r>
          </w:p>
        </w:tc>
        <w:tc>
          <w:tcPr>
            <w:tcW w:w="2381" w:type="dxa"/>
            <w:vAlign w:val="center"/>
          </w:tcPr>
          <w:p>
            <w:pPr>
              <w:pStyle w:val="12"/>
            </w:pPr>
            <w:r>
              <w:t>3.50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3.50</w:t>
            </w:r>
          </w:p>
        </w:tc>
        <w:tc>
          <w:tcPr>
            <w:tcW w:w="2381" w:type="dxa"/>
            <w:vAlign w:val="center"/>
          </w:tcPr>
          <w:p>
            <w:pPr>
              <w:pStyle w:val="12"/>
            </w:pPr>
            <w:r>
              <w:t>3.50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7.60</w:t>
            </w:r>
          </w:p>
        </w:tc>
        <w:tc>
          <w:tcPr>
            <w:tcW w:w="2381" w:type="dxa"/>
            <w:vAlign w:val="center"/>
          </w:tcPr>
          <w:p>
            <w:pPr>
              <w:pStyle w:val="12"/>
            </w:pPr>
            <w:r>
              <w:t>7.60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涞源县审计局2024年部门预算信息公开情况说明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涞源县审计局2024年部门预算信息公开情况说明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按照《中华人民共和国预算法》、《地方预决算公开操作规程》和《关于进一步推进预算公开工作的实施意见》规定，现将涞源县审计局2024年部门预算公开如下：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lang w:val="en-US" w:eastAsia="zh-CN"/>
        </w:rPr>
        <w:t>根据《涞源县审计局职能配置、内设机构和人员编制规定》，涞源县审计局的主要职责是：</w:t>
      </w:r>
    </w:p>
    <w:p>
      <w:pPr>
        <w:spacing w:before="0" w:after="0" w:line="500" w:lineRule="exact"/>
        <w:ind w:firstLine="560"/>
        <w:jc w:val="left"/>
        <w:outlineLvl w:val="9"/>
        <w:rPr>
          <w:rFonts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lang w:val="en-US" w:eastAsia="zh-CN"/>
        </w:rPr>
        <w:t>贯彻落实党中央、省委、市委和县委关于审计工作的方针政策和决策部署，坚持和加强党对审计工作的集中统一领导。主要职责是：</w:t>
      </w:r>
    </w:p>
    <w:p>
      <w:pPr>
        <w:spacing w:before="0" w:after="0" w:line="500" w:lineRule="exact"/>
        <w:ind w:firstLine="560"/>
        <w:jc w:val="left"/>
        <w:outlineLvl w:val="9"/>
        <w:rPr>
          <w:rFonts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lang w:val="en-US" w:eastAsia="zh-CN"/>
        </w:rP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和省委、省政府、市委、市政府相关重大政策措施贯彻落实情况进行跟踪审计。对审计、专项审计调查和核查社会审计机构相关审计报告的结果承担责任，并负有督促被审计单位整改的责任。</w:t>
      </w:r>
    </w:p>
    <w:p>
      <w:pPr>
        <w:spacing w:before="0" w:after="0" w:line="500" w:lineRule="exact"/>
        <w:ind w:firstLine="560"/>
        <w:jc w:val="left"/>
        <w:outlineLvl w:val="9"/>
        <w:rPr>
          <w:rFonts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lang w:val="en-US" w:eastAsia="zh-CN"/>
        </w:rPr>
        <w:t>（二）贯彻执行审计法律、法规和方针、政策。制定并组织实施全县审计工作发展规划和专业领域审计工作规划；制定并组织实施全县年度审计计划；制定审计内容的标准和规范；对直接审计、调查和核查的事项依法进行审计评价，作出审计决定或提出审计建议。</w:t>
      </w:r>
    </w:p>
    <w:p>
      <w:pPr>
        <w:spacing w:before="0" w:after="0" w:line="500" w:lineRule="exact"/>
        <w:ind w:firstLine="560"/>
        <w:jc w:val="left"/>
        <w:outlineLvl w:val="9"/>
        <w:rPr>
          <w:rFonts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lang w:val="en-US" w:eastAsia="zh-CN"/>
        </w:rPr>
        <w:t>（三）向中共涞源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spacing w:before="0" w:after="0" w:line="500" w:lineRule="exact"/>
        <w:ind w:firstLine="560"/>
        <w:jc w:val="left"/>
        <w:outlineLvl w:val="9"/>
        <w:rPr>
          <w:rFonts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lang w:val="en-US" w:eastAsia="zh-CN"/>
        </w:rPr>
        <w:t>（四）直接审计下列事项，出具审计报告，在法定职权范围内作出审计决定，包括国家和省市有关重大政策措施贯彻落实情况；县本级预算执行情况和其他财政收支，县直各部门（含所属单位）预算执行情况、决算草案和其他财政收支；县级财政转移支付资金；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和金融机构境内外资产、负债和损益；有关社会保障资金、社会捐赠资金和其他基金、资金的财务收支；国际组织和外国政府援助、贷款项目；法律法规规定的其他事项。</w:t>
      </w:r>
    </w:p>
    <w:p>
      <w:pPr>
        <w:spacing w:before="0" w:after="0" w:line="500" w:lineRule="exact"/>
        <w:ind w:firstLine="560"/>
        <w:jc w:val="left"/>
        <w:outlineLvl w:val="9"/>
        <w:rPr>
          <w:rFonts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lang w:val="en-US" w:eastAsia="zh-CN"/>
        </w:rPr>
        <w:t>（五）按规定对县管党政主要领导干部及其他单位主要负责人实施经济责任审计和自然资源资产离任审计。</w:t>
      </w:r>
    </w:p>
    <w:p>
      <w:pPr>
        <w:spacing w:before="0" w:after="0" w:line="500" w:lineRule="exact"/>
        <w:ind w:firstLine="560"/>
        <w:jc w:val="left"/>
        <w:outlineLvl w:val="9"/>
        <w:rPr>
          <w:rFonts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lang w:val="en-US" w:eastAsia="zh-CN"/>
        </w:rPr>
        <w:t>（六）组织实施对财经法律法规、规章、政策和宏观调控措施执行情况、财政预算管理及国有资产管理使用等与财政收支有关的特定事项进行专项审计调查。</w:t>
      </w:r>
    </w:p>
    <w:p>
      <w:pPr>
        <w:spacing w:before="0" w:after="0" w:line="500" w:lineRule="exact"/>
        <w:ind w:firstLine="560"/>
        <w:jc w:val="left"/>
        <w:outlineLvl w:val="9"/>
        <w:rPr>
          <w:rFonts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lang w:val="en-US" w:eastAsia="zh-CN"/>
        </w:rPr>
        <w:t>（七）依法检查审计决定执行情况，督促整改审计查出问题，依法办理被审计单位对审计决定提请行政复议、行政诉讼或县政府裁决中的有关事项，协调配合有关部门查处相关重大案件。</w:t>
      </w:r>
    </w:p>
    <w:p>
      <w:pPr>
        <w:spacing w:before="0" w:after="0" w:line="500" w:lineRule="exact"/>
        <w:ind w:firstLine="560"/>
        <w:jc w:val="left"/>
        <w:outlineLvl w:val="9"/>
        <w:rPr>
          <w:rFonts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lang w:val="en-US" w:eastAsia="zh-CN"/>
        </w:rPr>
        <w:t>（八）指导和监督内部审计工作，核查社会审计机构对依法属于审计监督对象的单位出具的相关审计报告。</w:t>
      </w:r>
    </w:p>
    <w:p>
      <w:pPr>
        <w:spacing w:before="0" w:after="0" w:line="500" w:lineRule="exact"/>
        <w:ind w:firstLine="560"/>
        <w:jc w:val="left"/>
        <w:outlineLvl w:val="9"/>
        <w:rPr>
          <w:rFonts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lang w:val="en-US" w:eastAsia="zh-CN"/>
        </w:rPr>
        <w:t>（九）组织开展审计领域的交流与合作，指导和推广信息技术在审计领域的应用。</w:t>
      </w:r>
    </w:p>
    <w:p>
      <w:pPr>
        <w:spacing w:before="0" w:after="0" w:line="500" w:lineRule="exact"/>
        <w:ind w:firstLine="560"/>
        <w:jc w:val="left"/>
        <w:outlineLvl w:val="9"/>
      </w:pPr>
      <w:r>
        <w:rPr>
          <w:rFonts w:ascii="Times New Roman" w:hAnsi="Times New Roman" w:eastAsia="方正仿宋_GBK" w:cs="Times New Roman"/>
          <w:color w:val="000000"/>
          <w:sz w:val="28"/>
          <w:lang w:val="en-US" w:eastAsia="zh-CN"/>
        </w:rPr>
        <w:t>（十）完成县委、县政府和上级审计机关交办的其他任务。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涞源县审计局本级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按照预算管理有关规定，目前部门预算的编制实行综合预算管理，即全部收入和支出都反映在预算中。涞源县审计局机关及所属事业单位的收支包含在部门预算中。</w:t>
      </w:r>
    </w:p>
    <w:p>
      <w:pPr>
        <w:pStyle w:val="19"/>
      </w:pPr>
      <w:r>
        <w:t>1、收入说明</w:t>
      </w:r>
    </w:p>
    <w:p>
      <w:pPr>
        <w:pStyle w:val="19"/>
      </w:pPr>
      <w:r>
        <w:t>反映本部门当年全部收入。2024年预算收入851.72万元，其中：一般公共预算收入849.81万元，基金预算收入0.00万元，国有资本经营预算收入0.00万元，财政专户核拨收入0.00万元，单位资金收入0.00万元，上年结转结余1.91万元。</w:t>
      </w:r>
    </w:p>
    <w:p>
      <w:pPr>
        <w:pStyle w:val="19"/>
      </w:pPr>
      <w:r>
        <w:t>2、支出说明</w:t>
      </w:r>
    </w:p>
    <w:p>
      <w:pPr>
        <w:pStyle w:val="19"/>
      </w:pPr>
      <w:r>
        <w:t>收支预算总表支出栏、基本支出表、项目支出表按经济分类和支出功能分类科目编制，反映涞源县审计局年度部门预算中支出预算的总体情况。2024年支出预算851.72万元，其中基本支出244.81万元，包括人员经费214.32万元和日常公用经费30.49万元；项目支出606.91万元，主要为审计费及审计服务费、劳务费等支出。</w:t>
      </w:r>
    </w:p>
    <w:p>
      <w:pPr>
        <w:pStyle w:val="19"/>
      </w:pPr>
      <w:r>
        <w:t>3、比上年增减情况</w:t>
      </w:r>
    </w:p>
    <w:p>
      <w:pPr>
        <w:pStyle w:val="19"/>
      </w:pPr>
      <w:r>
        <w:t>2024年预算收支安排851.72万元，较2023年预算增加20.90万元，其中：基本支出增加36.99万元，主要为增加人员经费支出项目支出减少16.09万元，主要为中央审计专项补助经费2023年结余减少。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rPr>
          <w:rFonts w:ascii="Times New Roman" w:hAnsi="Times New Roman" w:eastAsia="方正仿宋_GBK" w:cs="Times New Roman"/>
          <w:sz w:val="28"/>
          <w:szCs w:val="24"/>
          <w:lang w:val="en-US" w:eastAsia="uk-UA" w:bidi="ar-SA"/>
        </w:rPr>
      </w:pPr>
      <w:bookmarkStart w:id="12" w:name="_Toc_3_3_0000000013"/>
      <w:r>
        <w:rPr>
          <w:rFonts w:ascii="Times New Roman" w:hAnsi="Times New Roman" w:eastAsia="方正仿宋_GBK" w:cs="Times New Roman"/>
          <w:sz w:val="28"/>
          <w:szCs w:val="24"/>
          <w:lang w:val="en-US" w:eastAsia="zh-CN" w:bidi="ar-SA"/>
        </w:rPr>
        <w:t>202</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zh-CN" w:bidi="ar-SA"/>
        </w:rPr>
        <w:t>年</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zh-CN" w:bidi="ar-SA"/>
        </w:rPr>
        <w:t>我</w:t>
      </w:r>
      <w:r>
        <w:rPr>
          <w:rFonts w:hint="eastAsia" w:ascii="Times New Roman" w:hAnsi="Times New Roman" w:eastAsia="方正仿宋_GBK" w:cs="Times New Roman"/>
          <w:sz w:val="28"/>
          <w:szCs w:val="24"/>
          <w:lang w:val="en-US" w:eastAsia="zh-CN" w:bidi="ar-SA"/>
        </w:rPr>
        <w:t>部门</w:t>
      </w:r>
      <w:r>
        <w:rPr>
          <w:rFonts w:ascii="Times New Roman" w:hAnsi="Times New Roman" w:eastAsia="方正仿宋_GBK" w:cs="Times New Roman"/>
          <w:sz w:val="28"/>
          <w:szCs w:val="24"/>
          <w:lang w:val="en-US" w:eastAsia="zh-CN" w:bidi="ar-SA"/>
        </w:rPr>
        <w:t>机关运行经费</w:t>
      </w:r>
      <w:r>
        <w:rPr>
          <w:rFonts w:hint="eastAsia" w:ascii="Times New Roman" w:hAnsi="Times New Roman" w:eastAsia="方正仿宋_GBK" w:cs="Times New Roman"/>
          <w:sz w:val="28"/>
          <w:szCs w:val="24"/>
          <w:lang w:val="en-US" w:eastAsia="zh-CN" w:bidi="ar-SA"/>
        </w:rPr>
        <w:t>共计</w:t>
      </w:r>
      <w:r>
        <w:rPr>
          <w:rFonts w:ascii="Times New Roman" w:hAnsi="Times New Roman" w:eastAsia="方正仿宋_GBK" w:cs="Times New Roman"/>
          <w:sz w:val="28"/>
          <w:szCs w:val="24"/>
          <w:lang w:val="en-US" w:eastAsia="zh-CN" w:bidi="ar-SA"/>
        </w:rPr>
        <w:t>安排</w:t>
      </w:r>
      <w:r>
        <w:rPr>
          <w:rFonts w:hint="eastAsia" w:ascii="Times New Roman" w:hAnsi="Times New Roman" w:eastAsia="方正仿宋_GBK" w:cs="Times New Roman"/>
          <w:sz w:val="28"/>
          <w:szCs w:val="24"/>
          <w:lang w:val="en-US" w:eastAsia="zh-CN" w:bidi="ar-SA"/>
        </w:rPr>
        <w:t>30.49</w:t>
      </w:r>
      <w:r>
        <w:rPr>
          <w:rFonts w:ascii="Times New Roman" w:hAnsi="Times New Roman" w:eastAsia="方正仿宋_GBK" w:cs="Times New Roman"/>
          <w:sz w:val="28"/>
          <w:szCs w:val="24"/>
          <w:lang w:val="en-US" w:eastAsia="zh-CN" w:bidi="ar-SA"/>
        </w:rPr>
        <w:t>万元，主要用于办公费、水费、电费、邮电费，差旅费、租赁费、公务接待费、</w:t>
      </w:r>
      <w:r>
        <w:rPr>
          <w:rFonts w:hint="eastAsia" w:ascii="Times New Roman" w:hAnsi="Times New Roman" w:eastAsia="方正仿宋_GBK" w:cs="Times New Roman"/>
          <w:sz w:val="28"/>
          <w:szCs w:val="24"/>
          <w:lang w:val="en-US" w:eastAsia="zh-CN" w:bidi="ar-SA"/>
        </w:rPr>
        <w:t>公务</w:t>
      </w:r>
      <w:r>
        <w:rPr>
          <w:rFonts w:ascii="Times New Roman" w:hAnsi="Times New Roman" w:eastAsia="方正仿宋_GBK" w:cs="Times New Roman"/>
          <w:sz w:val="28"/>
          <w:szCs w:val="24"/>
          <w:lang w:val="en-US" w:eastAsia="zh-CN" w:bidi="ar-SA"/>
        </w:rPr>
        <w:t>用车运行维护费等日常支出。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1"/>
        <w:rPr>
          <w:rFonts w:hint="eastAsia" w:ascii="Times New Roman" w:hAnsi="Times New Roman" w:eastAsia="方正仿宋_GBK" w:cs="Times New Roman"/>
          <w:sz w:val="28"/>
          <w:szCs w:val="24"/>
          <w:lang w:val="en-US" w:eastAsia="zh-CN" w:bidi="ar-SA"/>
        </w:rPr>
      </w:pPr>
      <w:bookmarkStart w:id="13" w:name="_Toc_3_3_0000000014"/>
      <w:r>
        <w:rPr>
          <w:rFonts w:hint="eastAsia" w:ascii="Times New Roman" w:hAnsi="Times New Roman" w:eastAsia="方正仿宋_GBK" w:cs="Times New Roman"/>
          <w:sz w:val="28"/>
          <w:szCs w:val="24"/>
          <w:lang w:val="en-US" w:eastAsia="zh-CN" w:bidi="ar-SA"/>
        </w:rPr>
        <w:t>2024年，我部门财政拨款“三公经费”预算安排11.10万元，其中因公出国（境）费用0.00万元，公务用车购置及运维费3.50万元（其中：公务用车购置费为0.00万元，公务用车运维费3.50万元）；公务接待费7.60万元。与2023年相比减少0.40万元。增减变化的主要原因是公务接待费减少。</w:t>
      </w:r>
    </w:p>
    <w:p>
      <w:pPr>
        <w:spacing w:before="10" w:after="10" w:line="360" w:lineRule="auto"/>
        <w:ind w:firstLine="640"/>
        <w:jc w:val="left"/>
        <w:outlineLvl w:val="2"/>
      </w:pPr>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新时代中国特色社会主义思想为指导，紧紧围绕县委县政府中心工作，聚焦主责主业，依法全面履行审计监督职责，做好常态化“经济体验”工作；加强人才队伍建设，合理配置审计力量，创新审计工作方式方法，开展大数据审计项目，积极推进审计全覆盖，高质量完成全年审计项目计划，在全市审计质量检查中处于中上等水平。保障本单位工作正常运行，切实有效发挥审计建设性作用，被审计单位对审计建议采纳情况到达90%以上，同时推动审计整改工作落实到位，促进被审计单位对审计发现问题的整改率达到90%以上。</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（一）全面独立履行监督职责，拓展审计广度和深度，消除审计盲区。</w:t>
      </w:r>
    </w:p>
    <w:p>
      <w:pPr>
        <w:pStyle w:val="23"/>
      </w:pPr>
      <w:r>
        <w:t>绩效目标:正常开展审计工作，全面独立地履行监督职责，全国上下一盘棋，拓展审计监督的广度和深度，消除监督盲区。</w:t>
      </w:r>
    </w:p>
    <w:p>
      <w:pPr>
        <w:pStyle w:val="23"/>
      </w:pPr>
      <w:r>
        <w:t>绩效指标:产出指标为完成审计署统一组织的审计项目，审计报告的完成度为100%；控制财政经费支出小于50万元；效果指标为保障审计机关正常开展审计工作。满意度指标为审计违纪投诉率小于等于5%。</w:t>
      </w:r>
    </w:p>
    <w:p>
      <w:pPr>
        <w:pStyle w:val="23"/>
      </w:pPr>
      <w:r>
        <w:t>（二）积极推进审计全覆盖，依法全面履行审计监督职责</w:t>
      </w:r>
    </w:p>
    <w:p>
      <w:pPr>
        <w:pStyle w:val="23"/>
      </w:pPr>
      <w:r>
        <w:t>绩效目标:保障审计机关能正常开展审计工作，全面独立地履行监督职责。</w:t>
      </w:r>
    </w:p>
    <w:p>
      <w:pPr>
        <w:pStyle w:val="23"/>
      </w:pPr>
      <w:r>
        <w:t>绩效指标:产出指标为全年完成审计项目个数大于等于15个；当年完成审计项目计划个数占全年审计项目个数为100%；及时整理归档，在审计项目终结后5个月内归档；经费支出控制在预算内，即经费实际支出占预算资金的比例小于等于100%。效果指标为被审计单位的审计整改率90%以上。满意度指标为群众满意度大于等于95%。</w:t>
      </w:r>
    </w:p>
    <w:p>
      <w:pPr>
        <w:pStyle w:val="23"/>
      </w:pPr>
      <w:r>
        <w:t>（三）加强人才队伍建设，高质量完成审计任务</w:t>
      </w:r>
    </w:p>
    <w:p>
      <w:pPr>
        <w:pStyle w:val="23"/>
      </w:pPr>
      <w:r>
        <w:t>绩效目标:充实审计力量，加强审计人才队伍建设，高质量完成审计项目。</w:t>
      </w:r>
    </w:p>
    <w:p>
      <w:pPr>
        <w:pStyle w:val="23"/>
      </w:pPr>
      <w:r>
        <w:t>绩效指标:产出指标政府投资竣工决算审计中心工作人员9名，每月25号之前足额支付工资及保险，工资涨幅率控制在10%以内。效果指标为员工出勤率大于等于95%以上。满意度指标为工作人员满意度大于等于95%。</w:t>
      </w:r>
    </w:p>
    <w:p>
      <w:pPr>
        <w:pStyle w:val="23"/>
      </w:pPr>
      <w:r>
        <w:t>（四）合理配置审计力量，为政府节约资金</w:t>
      </w:r>
    </w:p>
    <w:p>
      <w:pPr>
        <w:pStyle w:val="23"/>
      </w:pPr>
      <w:r>
        <w:t>绩效目标:提升政府投资审计的质量和成效，促进国家重大政策贯彻落实，为政府节约资金，促使财政资金使用效益最大化。</w:t>
      </w:r>
    </w:p>
    <w:p>
      <w:pPr>
        <w:pStyle w:val="23"/>
      </w:pPr>
      <w:r>
        <w:t>绩效指标:产出指标为完成政府投资审计项目个数10个以上；审计报告的完成度为100%；支付审计费及时性，即提交报账资料后7个工作日内完成支付；预算执行率小于100%；效果指标为审计建议采纳率90%以上，审计整改率90%。满意度指标为群众满意度大于等于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（一）完善制度建设。进一步完善预算绩效管理制度、资金管理办法、工作保障制度等，为全年预算绩效目标的实现奠定制度基础。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1、2023年中央审计专项补助经费绩效目标表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13063023P00000310002B</w:t>
            </w:r>
          </w:p>
        </w:tc>
        <w:tc>
          <w:tcPr>
            <w:tcW w:w="2835" w:type="dxa"/>
            <w:vAlign w:val="center"/>
          </w:tcPr>
          <w:p>
            <w:pPr>
              <w:pStyle w:val="11"/>
            </w:pPr>
            <w:r>
              <w:t>项目名称</w:t>
            </w:r>
          </w:p>
        </w:tc>
        <w:tc>
          <w:tcPr>
            <w:tcW w:w="6094" w:type="dxa"/>
            <w:gridSpan w:val="3"/>
            <w:vAlign w:val="center"/>
          </w:tcPr>
          <w:p>
            <w:pPr>
              <w:pStyle w:val="13"/>
            </w:pPr>
            <w:r>
              <w:t>2023年中央审计专项补助经费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1.91</w:t>
            </w:r>
          </w:p>
        </w:tc>
        <w:tc>
          <w:tcPr>
            <w:tcW w:w="2835" w:type="dxa"/>
            <w:vAlign w:val="center"/>
          </w:tcPr>
          <w:p>
            <w:pPr>
              <w:pStyle w:val="11"/>
            </w:pPr>
            <w:r>
              <w:t>其中：财政    资金</w:t>
            </w:r>
          </w:p>
        </w:tc>
        <w:tc>
          <w:tcPr>
            <w:tcW w:w="2551" w:type="dxa"/>
            <w:vAlign w:val="center"/>
          </w:tcPr>
          <w:p>
            <w:pPr>
              <w:pStyle w:val="13"/>
            </w:pPr>
            <w:r>
              <w:t>1.91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审计机关能正常开展审计工作，全面独立地履行监督职责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1.91</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1.审计机关能正常开展审计工作，全面独立地履行监督职责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资金执行率</w:t>
            </w:r>
          </w:p>
        </w:tc>
        <w:tc>
          <w:tcPr>
            <w:tcW w:w="5386" w:type="dxa"/>
            <w:vAlign w:val="center"/>
          </w:tcPr>
          <w:p>
            <w:pPr>
              <w:pStyle w:val="13"/>
            </w:pPr>
            <w:r>
              <w:t>专项资金使用情况</w:t>
            </w:r>
          </w:p>
        </w:tc>
        <w:tc>
          <w:tcPr>
            <w:tcW w:w="2268" w:type="dxa"/>
            <w:vAlign w:val="center"/>
          </w:tcPr>
          <w:p>
            <w:pPr>
              <w:pStyle w:val="13"/>
            </w:pPr>
            <w:r>
              <w:t>≤85百分比</w:t>
            </w:r>
          </w:p>
        </w:tc>
        <w:tc>
          <w:tcPr>
            <w:tcW w:w="1276" w:type="dxa"/>
            <w:vAlign w:val="center"/>
          </w:tcPr>
          <w:p>
            <w:pPr>
              <w:pStyle w:val="13"/>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审计署统一组织的审计项目完成率</w:t>
            </w:r>
          </w:p>
        </w:tc>
        <w:tc>
          <w:tcPr>
            <w:tcW w:w="5386" w:type="dxa"/>
            <w:vAlign w:val="center"/>
          </w:tcPr>
          <w:p>
            <w:pPr>
              <w:pStyle w:val="13"/>
            </w:pPr>
            <w:r>
              <w:t>审计署统一组织的地方审计工作完成情况</w:t>
            </w:r>
          </w:p>
        </w:tc>
        <w:tc>
          <w:tcPr>
            <w:tcW w:w="2268" w:type="dxa"/>
            <w:vAlign w:val="center"/>
          </w:tcPr>
          <w:p>
            <w:pPr>
              <w:pStyle w:val="13"/>
            </w:pPr>
            <w:r>
              <w:t>100百分比</w:t>
            </w:r>
          </w:p>
        </w:tc>
        <w:tc>
          <w:tcPr>
            <w:tcW w:w="1276" w:type="dxa"/>
            <w:vAlign w:val="center"/>
          </w:tcPr>
          <w:p>
            <w:pPr>
              <w:pStyle w:val="13"/>
            </w:pPr>
            <w:r>
              <w:t>署审计通知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审计项目按时完成率</w:t>
            </w:r>
          </w:p>
        </w:tc>
        <w:tc>
          <w:tcPr>
            <w:tcW w:w="5386" w:type="dxa"/>
            <w:vAlign w:val="center"/>
          </w:tcPr>
          <w:p>
            <w:pPr>
              <w:pStyle w:val="13"/>
            </w:pPr>
            <w:r>
              <w:t>审计项目按时完成情况</w:t>
            </w:r>
          </w:p>
        </w:tc>
        <w:tc>
          <w:tcPr>
            <w:tcW w:w="2268" w:type="dxa"/>
            <w:vAlign w:val="center"/>
          </w:tcPr>
          <w:p>
            <w:pPr>
              <w:pStyle w:val="13"/>
            </w:pPr>
            <w:r>
              <w:t>100百分比</w:t>
            </w:r>
          </w:p>
        </w:tc>
        <w:tc>
          <w:tcPr>
            <w:tcW w:w="1276" w:type="dxa"/>
            <w:vAlign w:val="center"/>
          </w:tcPr>
          <w:p>
            <w:pPr>
              <w:pStyle w:val="13"/>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控制财政经费支出规模</w:t>
            </w:r>
          </w:p>
        </w:tc>
        <w:tc>
          <w:tcPr>
            <w:tcW w:w="2268" w:type="dxa"/>
            <w:vAlign w:val="center"/>
          </w:tcPr>
          <w:p>
            <w:pPr>
              <w:pStyle w:val="13"/>
            </w:pPr>
            <w:r>
              <w:t>≤50万元</w:t>
            </w:r>
          </w:p>
        </w:tc>
        <w:tc>
          <w:tcPr>
            <w:tcW w:w="1276" w:type="dxa"/>
            <w:vAlign w:val="center"/>
          </w:tcPr>
          <w:p>
            <w:pPr>
              <w:pStyle w:val="13"/>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审计机关正常开展情况</w:t>
            </w:r>
          </w:p>
        </w:tc>
        <w:tc>
          <w:tcPr>
            <w:tcW w:w="5386" w:type="dxa"/>
            <w:vAlign w:val="center"/>
          </w:tcPr>
          <w:p>
            <w:pPr>
              <w:pStyle w:val="13"/>
            </w:pPr>
            <w:r>
              <w:t>审计机关正常开展情况</w:t>
            </w:r>
          </w:p>
        </w:tc>
        <w:tc>
          <w:tcPr>
            <w:tcW w:w="2268" w:type="dxa"/>
            <w:vAlign w:val="center"/>
          </w:tcPr>
          <w:p>
            <w:pPr>
              <w:pStyle w:val="13"/>
            </w:pPr>
            <w:r>
              <w:t>100百分比</w:t>
            </w:r>
          </w:p>
        </w:tc>
        <w:tc>
          <w:tcPr>
            <w:tcW w:w="1276" w:type="dxa"/>
            <w:vAlign w:val="center"/>
          </w:tcPr>
          <w:p>
            <w:pPr>
              <w:pStyle w:val="13"/>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审计违纪投诉率</w:t>
            </w:r>
          </w:p>
        </w:tc>
        <w:tc>
          <w:tcPr>
            <w:tcW w:w="5386" w:type="dxa"/>
            <w:vAlign w:val="center"/>
          </w:tcPr>
          <w:p>
            <w:pPr>
              <w:pStyle w:val="13"/>
            </w:pPr>
            <w:r>
              <w:t>审计违纪投诉率</w:t>
            </w:r>
          </w:p>
        </w:tc>
        <w:tc>
          <w:tcPr>
            <w:tcW w:w="2268" w:type="dxa"/>
            <w:vAlign w:val="center"/>
          </w:tcPr>
          <w:p>
            <w:pPr>
              <w:pStyle w:val="13"/>
            </w:pPr>
            <w:r>
              <w:t>≤5百分比</w:t>
            </w:r>
          </w:p>
        </w:tc>
        <w:tc>
          <w:tcPr>
            <w:tcW w:w="1276" w:type="dxa"/>
            <w:vAlign w:val="center"/>
          </w:tcPr>
          <w:p>
            <w:pPr>
              <w:pStyle w:val="13"/>
            </w:pPr>
            <w:r>
              <w:t>年度数据</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2、2024年中央审计专项补助经费绩效目标表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13063024P000018100031</w:t>
            </w:r>
          </w:p>
        </w:tc>
        <w:tc>
          <w:tcPr>
            <w:tcW w:w="2835" w:type="dxa"/>
            <w:vAlign w:val="center"/>
          </w:tcPr>
          <w:p>
            <w:pPr>
              <w:pStyle w:val="11"/>
            </w:pPr>
            <w:r>
              <w:t>项目名称</w:t>
            </w:r>
          </w:p>
        </w:tc>
        <w:tc>
          <w:tcPr>
            <w:tcW w:w="6094" w:type="dxa"/>
            <w:gridSpan w:val="3"/>
            <w:vAlign w:val="center"/>
          </w:tcPr>
          <w:p>
            <w:pPr>
              <w:pStyle w:val="13"/>
            </w:pPr>
            <w:r>
              <w:t>2024年中央审计专项补助经费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用于审计机关困难补助支出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25.00</w:t>
            </w:r>
          </w:p>
        </w:tc>
        <w:tc>
          <w:tcPr>
            <w:tcW w:w="2551" w:type="dxa"/>
            <w:vAlign w:val="center"/>
          </w:tcPr>
          <w:p>
            <w:pPr>
              <w:pStyle w:val="14"/>
            </w:pPr>
            <w:r>
              <w:t>37.00</w:t>
            </w:r>
          </w:p>
        </w:tc>
        <w:tc>
          <w:tcPr>
            <w:tcW w:w="3543" w:type="dxa"/>
            <w:gridSpan w:val="2"/>
            <w:vAlign w:val="center"/>
          </w:tcPr>
          <w:p>
            <w:pPr>
              <w:pStyle w:val="14"/>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1.保障审计机关正常开展审计工作，全面独立地履行监督职责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资金执行率</w:t>
            </w:r>
          </w:p>
        </w:tc>
        <w:tc>
          <w:tcPr>
            <w:tcW w:w="5386" w:type="dxa"/>
            <w:vAlign w:val="center"/>
          </w:tcPr>
          <w:p>
            <w:pPr>
              <w:pStyle w:val="13"/>
            </w:pPr>
            <w:r>
              <w:t>资金执行率</w:t>
            </w:r>
          </w:p>
        </w:tc>
        <w:tc>
          <w:tcPr>
            <w:tcW w:w="2268" w:type="dxa"/>
            <w:vAlign w:val="center"/>
          </w:tcPr>
          <w:p>
            <w:pPr>
              <w:pStyle w:val="13"/>
            </w:pPr>
            <w:r>
              <w:t>≥85百分比</w:t>
            </w:r>
          </w:p>
        </w:tc>
        <w:tc>
          <w:tcPr>
            <w:tcW w:w="1276" w:type="dxa"/>
            <w:vAlign w:val="center"/>
          </w:tcPr>
          <w:p>
            <w:pPr>
              <w:pStyle w:val="13"/>
            </w:pPr>
            <w:r>
              <w:t xml:space="preserve"> 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审计计划完成率</w:t>
            </w:r>
          </w:p>
        </w:tc>
        <w:tc>
          <w:tcPr>
            <w:tcW w:w="5386" w:type="dxa"/>
            <w:vAlign w:val="center"/>
          </w:tcPr>
          <w:p>
            <w:pPr>
              <w:pStyle w:val="13"/>
            </w:pPr>
            <w:r>
              <w:t>审计计划完成率</w:t>
            </w:r>
          </w:p>
        </w:tc>
        <w:tc>
          <w:tcPr>
            <w:tcW w:w="2268" w:type="dxa"/>
            <w:vAlign w:val="center"/>
          </w:tcPr>
          <w:p>
            <w:pPr>
              <w:pStyle w:val="13"/>
            </w:pPr>
            <w:r>
              <w:t>100百分比</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审计项目按时完成率</w:t>
            </w:r>
          </w:p>
        </w:tc>
        <w:tc>
          <w:tcPr>
            <w:tcW w:w="5386" w:type="dxa"/>
            <w:vAlign w:val="center"/>
          </w:tcPr>
          <w:p>
            <w:pPr>
              <w:pStyle w:val="13"/>
            </w:pPr>
            <w:r>
              <w:t>审计项目按时完成率</w:t>
            </w:r>
          </w:p>
        </w:tc>
        <w:tc>
          <w:tcPr>
            <w:tcW w:w="2268" w:type="dxa"/>
            <w:vAlign w:val="center"/>
          </w:tcPr>
          <w:p>
            <w:pPr>
              <w:pStyle w:val="13"/>
            </w:pPr>
            <w:r>
              <w:t>100百分比</w:t>
            </w:r>
          </w:p>
        </w:tc>
        <w:tc>
          <w:tcPr>
            <w:tcW w:w="1276" w:type="dxa"/>
            <w:vAlign w:val="center"/>
          </w:tcPr>
          <w:p>
            <w:pPr>
              <w:pStyle w:val="13"/>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项目成本预算数</w:t>
            </w:r>
          </w:p>
        </w:tc>
        <w:tc>
          <w:tcPr>
            <w:tcW w:w="5386" w:type="dxa"/>
            <w:vAlign w:val="center"/>
          </w:tcPr>
          <w:p>
            <w:pPr>
              <w:pStyle w:val="13"/>
            </w:pPr>
            <w:r>
              <w:t>项目成本预算数</w:t>
            </w:r>
          </w:p>
        </w:tc>
        <w:tc>
          <w:tcPr>
            <w:tcW w:w="2268" w:type="dxa"/>
            <w:vAlign w:val="center"/>
          </w:tcPr>
          <w:p>
            <w:pPr>
              <w:pStyle w:val="13"/>
            </w:pPr>
            <w:r>
              <w:t>≤50万元</w:t>
            </w:r>
          </w:p>
        </w:tc>
        <w:tc>
          <w:tcPr>
            <w:tcW w:w="1276" w:type="dxa"/>
            <w:vAlign w:val="center"/>
          </w:tcPr>
          <w:p>
            <w:pPr>
              <w:pStyle w:val="13"/>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保障审计机关正常开展审计工作</w:t>
            </w:r>
          </w:p>
        </w:tc>
        <w:tc>
          <w:tcPr>
            <w:tcW w:w="5386" w:type="dxa"/>
            <w:vAlign w:val="center"/>
          </w:tcPr>
          <w:p>
            <w:pPr>
              <w:pStyle w:val="13"/>
            </w:pPr>
            <w:r>
              <w:t>保障审计机关正常开展审计工作</w:t>
            </w:r>
          </w:p>
        </w:tc>
        <w:tc>
          <w:tcPr>
            <w:tcW w:w="2268" w:type="dxa"/>
            <w:vAlign w:val="center"/>
          </w:tcPr>
          <w:p>
            <w:pPr>
              <w:pStyle w:val="13"/>
            </w:pPr>
            <w:r>
              <w:t>100正常开展审计工作</w:t>
            </w:r>
          </w:p>
        </w:tc>
        <w:tc>
          <w:tcPr>
            <w:tcW w:w="1276" w:type="dxa"/>
            <w:vAlign w:val="center"/>
          </w:tcPr>
          <w:p>
            <w:pPr>
              <w:pStyle w:val="13"/>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ind w:firstLine="0" w:firstLineChars="0"/>
            </w:pPr>
            <w:r>
              <w:t>审计违纪投诉率</w:t>
            </w:r>
          </w:p>
        </w:tc>
        <w:tc>
          <w:tcPr>
            <w:tcW w:w="5386" w:type="dxa"/>
            <w:vAlign w:val="center"/>
          </w:tcPr>
          <w:p>
            <w:pPr>
              <w:pStyle w:val="13"/>
              <w:ind w:firstLine="0" w:firstLineChars="0"/>
            </w:pPr>
            <w:r>
              <w:t>审计违纪投诉率</w:t>
            </w:r>
          </w:p>
        </w:tc>
        <w:tc>
          <w:tcPr>
            <w:tcW w:w="2268" w:type="dxa"/>
            <w:vAlign w:val="center"/>
          </w:tcPr>
          <w:p>
            <w:pPr>
              <w:pStyle w:val="13"/>
            </w:pPr>
            <w:r>
              <w:t>≤5百分比</w:t>
            </w:r>
          </w:p>
        </w:tc>
        <w:tc>
          <w:tcPr>
            <w:tcW w:w="1276" w:type="dxa"/>
            <w:vAlign w:val="center"/>
          </w:tcPr>
          <w:p>
            <w:pPr>
              <w:pStyle w:val="13"/>
            </w:pPr>
            <w:r>
              <w:t>年度数据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3、审计费及审计服务费绩效目标表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13063024P00015110002A</w:t>
            </w:r>
          </w:p>
        </w:tc>
        <w:tc>
          <w:tcPr>
            <w:tcW w:w="2835" w:type="dxa"/>
            <w:vAlign w:val="center"/>
          </w:tcPr>
          <w:p>
            <w:pPr>
              <w:pStyle w:val="11"/>
            </w:pPr>
            <w:r>
              <w:t>项目名称</w:t>
            </w:r>
          </w:p>
        </w:tc>
        <w:tc>
          <w:tcPr>
            <w:tcW w:w="6094" w:type="dxa"/>
            <w:gridSpan w:val="3"/>
            <w:vAlign w:val="center"/>
          </w:tcPr>
          <w:p>
            <w:pPr>
              <w:pStyle w:val="13"/>
            </w:pPr>
            <w:r>
              <w:t>审计费及审计服务费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聘请第三方审计公司审计费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200.00</w:t>
            </w:r>
          </w:p>
        </w:tc>
        <w:tc>
          <w:tcPr>
            <w:tcW w:w="2551" w:type="dxa"/>
            <w:vAlign w:val="center"/>
          </w:tcPr>
          <w:p>
            <w:pPr>
              <w:pStyle w:val="14"/>
            </w:pPr>
            <w:r>
              <w:t>375.00</w:t>
            </w:r>
          </w:p>
        </w:tc>
        <w:tc>
          <w:tcPr>
            <w:tcW w:w="3543" w:type="dxa"/>
            <w:gridSpan w:val="2"/>
            <w:vAlign w:val="center"/>
          </w:tcPr>
          <w:p>
            <w:pPr>
              <w:pStyle w:val="14"/>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1.依法独立进行审计监督，揭示问题，提出建设性意见，为政府节约资金，促使财政资金使用效益最大化。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完成审计项目的个数</w:t>
            </w:r>
          </w:p>
        </w:tc>
        <w:tc>
          <w:tcPr>
            <w:tcW w:w="5386" w:type="dxa"/>
            <w:vAlign w:val="center"/>
          </w:tcPr>
          <w:p>
            <w:pPr>
              <w:pStyle w:val="13"/>
            </w:pPr>
            <w:r>
              <w:t>完成政府投资审计项目的个数</w:t>
            </w:r>
          </w:p>
        </w:tc>
        <w:tc>
          <w:tcPr>
            <w:tcW w:w="2268" w:type="dxa"/>
            <w:vAlign w:val="center"/>
          </w:tcPr>
          <w:p>
            <w:pPr>
              <w:pStyle w:val="13"/>
            </w:pPr>
            <w:r>
              <w:t>≥10个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审计报告完成率</w:t>
            </w:r>
          </w:p>
        </w:tc>
        <w:tc>
          <w:tcPr>
            <w:tcW w:w="5386" w:type="dxa"/>
            <w:vAlign w:val="center"/>
          </w:tcPr>
          <w:p>
            <w:pPr>
              <w:pStyle w:val="13"/>
            </w:pPr>
            <w:r>
              <w:t>规定时间内审计报告的完成程度</w:t>
            </w:r>
          </w:p>
        </w:tc>
        <w:tc>
          <w:tcPr>
            <w:tcW w:w="2268" w:type="dxa"/>
            <w:vAlign w:val="center"/>
          </w:tcPr>
          <w:p>
            <w:pPr>
              <w:pStyle w:val="13"/>
            </w:pPr>
            <w:r>
              <w:t>100百分比</w:t>
            </w:r>
          </w:p>
        </w:tc>
        <w:tc>
          <w:tcPr>
            <w:tcW w:w="1276" w:type="dxa"/>
            <w:vAlign w:val="center"/>
          </w:tcPr>
          <w:p>
            <w:pPr>
              <w:pStyle w:val="13"/>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提交合格报账资料后与完成资金支付间隔时间</w:t>
            </w:r>
          </w:p>
        </w:tc>
        <w:tc>
          <w:tcPr>
            <w:tcW w:w="2268" w:type="dxa"/>
            <w:vAlign w:val="center"/>
          </w:tcPr>
          <w:p>
            <w:pPr>
              <w:pStyle w:val="13"/>
            </w:pPr>
            <w:r>
              <w:t>≤7个工作日</w:t>
            </w:r>
          </w:p>
        </w:tc>
        <w:tc>
          <w:tcPr>
            <w:tcW w:w="1276" w:type="dxa"/>
            <w:vAlign w:val="center"/>
          </w:tcPr>
          <w:p>
            <w:pPr>
              <w:pStyle w:val="13"/>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实际支出/资金总额</w:t>
            </w:r>
          </w:p>
        </w:tc>
        <w:tc>
          <w:tcPr>
            <w:tcW w:w="2268" w:type="dxa"/>
            <w:vAlign w:val="center"/>
          </w:tcPr>
          <w:p>
            <w:pPr>
              <w:pStyle w:val="13"/>
            </w:pPr>
            <w:r>
              <w:t>≤100百分比</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审计意见采纳率</w:t>
            </w:r>
          </w:p>
        </w:tc>
        <w:tc>
          <w:tcPr>
            <w:tcW w:w="5386" w:type="dxa"/>
            <w:vAlign w:val="center"/>
          </w:tcPr>
          <w:p>
            <w:pPr>
              <w:pStyle w:val="13"/>
            </w:pPr>
            <w:r>
              <w:t>被审计单位对审计建议的采纳率</w:t>
            </w:r>
          </w:p>
        </w:tc>
        <w:tc>
          <w:tcPr>
            <w:tcW w:w="2268" w:type="dxa"/>
            <w:vAlign w:val="center"/>
          </w:tcPr>
          <w:p>
            <w:pPr>
              <w:pStyle w:val="13"/>
            </w:pPr>
            <w:r>
              <w:t>≥90百分比</w:t>
            </w:r>
          </w:p>
        </w:tc>
        <w:tc>
          <w:tcPr>
            <w:tcW w:w="1276" w:type="dxa"/>
            <w:vAlign w:val="center"/>
          </w:tcPr>
          <w:p>
            <w:pPr>
              <w:pStyle w:val="13"/>
            </w:pPr>
            <w:r>
              <w:t>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审计整改率</w:t>
            </w:r>
          </w:p>
        </w:tc>
        <w:tc>
          <w:tcPr>
            <w:tcW w:w="5386" w:type="dxa"/>
            <w:vAlign w:val="center"/>
          </w:tcPr>
          <w:p>
            <w:pPr>
              <w:pStyle w:val="13"/>
            </w:pPr>
            <w:r>
              <w:t>每个项目完成整改的问题占全部审计发现问题的</w:t>
            </w:r>
            <w:bookmarkStart w:id="20" w:name="_GoBack"/>
            <w:bookmarkEnd w:id="20"/>
            <w:r>
              <w:t>比例</w:t>
            </w:r>
          </w:p>
        </w:tc>
        <w:tc>
          <w:tcPr>
            <w:tcW w:w="2268" w:type="dxa"/>
            <w:vAlign w:val="center"/>
          </w:tcPr>
          <w:p>
            <w:pPr>
              <w:pStyle w:val="13"/>
            </w:pPr>
            <w:r>
              <w:t>≥90百分比</w:t>
            </w:r>
          </w:p>
        </w:tc>
        <w:tc>
          <w:tcPr>
            <w:tcW w:w="1276" w:type="dxa"/>
            <w:vAlign w:val="center"/>
          </w:tcPr>
          <w:p>
            <w:pPr>
              <w:pStyle w:val="13"/>
            </w:pPr>
            <w:r>
              <w:t>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4、审计事业费绩效目标表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13063024P00014610001U</w:t>
            </w:r>
          </w:p>
        </w:tc>
        <w:tc>
          <w:tcPr>
            <w:tcW w:w="2835" w:type="dxa"/>
            <w:vAlign w:val="center"/>
          </w:tcPr>
          <w:p>
            <w:pPr>
              <w:pStyle w:val="11"/>
            </w:pPr>
            <w:r>
              <w:t>项目名称</w:t>
            </w:r>
          </w:p>
        </w:tc>
        <w:tc>
          <w:tcPr>
            <w:tcW w:w="6094" w:type="dxa"/>
            <w:gridSpan w:val="3"/>
            <w:vAlign w:val="center"/>
          </w:tcPr>
          <w:p>
            <w:pPr>
              <w:pStyle w:val="13"/>
            </w:pPr>
            <w:r>
              <w:t>审计事业费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主要用于审计、专项审计调查、聘请社会审计组织人员、法律顾问等方面支出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6.25</w:t>
            </w:r>
          </w:p>
        </w:tc>
        <w:tc>
          <w:tcPr>
            <w:tcW w:w="2835" w:type="dxa"/>
            <w:vAlign w:val="center"/>
          </w:tcPr>
          <w:p>
            <w:pPr>
              <w:pStyle w:val="14"/>
            </w:pPr>
            <w:r>
              <w:t>12.50</w:t>
            </w:r>
          </w:p>
        </w:tc>
        <w:tc>
          <w:tcPr>
            <w:tcW w:w="2551" w:type="dxa"/>
            <w:vAlign w:val="center"/>
          </w:tcPr>
          <w:p>
            <w:pPr>
              <w:pStyle w:val="14"/>
            </w:pPr>
            <w:r>
              <w:t>18.00</w:t>
            </w:r>
          </w:p>
        </w:tc>
        <w:tc>
          <w:tcPr>
            <w:tcW w:w="3543" w:type="dxa"/>
            <w:gridSpan w:val="2"/>
            <w:vAlign w:val="center"/>
          </w:tcPr>
          <w:p>
            <w:pPr>
              <w:pStyle w:val="14"/>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1.保障审计机关正常开展审计工作，全面独立地履行监督职责。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完成审计项目个数</w:t>
            </w:r>
          </w:p>
        </w:tc>
        <w:tc>
          <w:tcPr>
            <w:tcW w:w="5386" w:type="dxa"/>
            <w:vAlign w:val="center"/>
          </w:tcPr>
          <w:p>
            <w:pPr>
              <w:pStyle w:val="13"/>
            </w:pPr>
            <w:r>
              <w:t>全年完成审计项目个数</w:t>
            </w:r>
          </w:p>
        </w:tc>
        <w:tc>
          <w:tcPr>
            <w:tcW w:w="2268" w:type="dxa"/>
            <w:vAlign w:val="center"/>
          </w:tcPr>
          <w:p>
            <w:pPr>
              <w:pStyle w:val="13"/>
            </w:pPr>
            <w:r>
              <w:t>≥15个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人员数量</w:t>
            </w:r>
          </w:p>
        </w:tc>
        <w:tc>
          <w:tcPr>
            <w:tcW w:w="5386" w:type="dxa"/>
            <w:vAlign w:val="center"/>
          </w:tcPr>
          <w:p>
            <w:pPr>
              <w:pStyle w:val="13"/>
            </w:pPr>
            <w:r>
              <w:t>人员数量</w:t>
            </w:r>
          </w:p>
        </w:tc>
        <w:tc>
          <w:tcPr>
            <w:tcW w:w="2268" w:type="dxa"/>
            <w:vAlign w:val="center"/>
          </w:tcPr>
          <w:p>
            <w:pPr>
              <w:pStyle w:val="13"/>
            </w:pPr>
            <w:r>
              <w:t>≥3个</w:t>
            </w:r>
          </w:p>
        </w:tc>
        <w:tc>
          <w:tcPr>
            <w:tcW w:w="1276" w:type="dxa"/>
            <w:vAlign w:val="center"/>
          </w:tcPr>
          <w:p>
            <w:pPr>
              <w:pStyle w:val="13"/>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审计计划完成率</w:t>
            </w:r>
          </w:p>
        </w:tc>
        <w:tc>
          <w:tcPr>
            <w:tcW w:w="5386" w:type="dxa"/>
            <w:vAlign w:val="center"/>
          </w:tcPr>
          <w:p>
            <w:pPr>
              <w:pStyle w:val="13"/>
            </w:pPr>
            <w:r>
              <w:t>当年完成审计项目占全年审计项目计划的比例</w:t>
            </w:r>
          </w:p>
        </w:tc>
        <w:tc>
          <w:tcPr>
            <w:tcW w:w="2268" w:type="dxa"/>
            <w:vAlign w:val="center"/>
          </w:tcPr>
          <w:p>
            <w:pPr>
              <w:pStyle w:val="13"/>
            </w:pPr>
            <w:r>
              <w:t>100百分比</w:t>
            </w:r>
          </w:p>
        </w:tc>
        <w:tc>
          <w:tcPr>
            <w:tcW w:w="1276" w:type="dxa"/>
            <w:vAlign w:val="center"/>
          </w:tcPr>
          <w:p>
            <w:pPr>
              <w:pStyle w:val="13"/>
            </w:pPr>
            <w:r>
              <w:t>审计项目计划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出勤率</w:t>
            </w:r>
          </w:p>
        </w:tc>
        <w:tc>
          <w:tcPr>
            <w:tcW w:w="5386" w:type="dxa"/>
            <w:vAlign w:val="center"/>
          </w:tcPr>
          <w:p>
            <w:pPr>
              <w:pStyle w:val="13"/>
            </w:pPr>
            <w:r>
              <w:t>人员出勤率</w:t>
            </w:r>
          </w:p>
        </w:tc>
        <w:tc>
          <w:tcPr>
            <w:tcW w:w="2268" w:type="dxa"/>
            <w:vAlign w:val="center"/>
          </w:tcPr>
          <w:p>
            <w:pPr>
              <w:pStyle w:val="13"/>
            </w:pPr>
            <w:r>
              <w:t>≥95百分比</w:t>
            </w:r>
          </w:p>
        </w:tc>
        <w:tc>
          <w:tcPr>
            <w:tcW w:w="1276" w:type="dxa"/>
            <w:vAlign w:val="center"/>
          </w:tcPr>
          <w:p>
            <w:pPr>
              <w:pStyle w:val="13"/>
            </w:pPr>
            <w:r>
              <w:t>出勤表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审计项目按时归档</w:t>
            </w:r>
          </w:p>
        </w:tc>
        <w:tc>
          <w:tcPr>
            <w:tcW w:w="5386" w:type="dxa"/>
            <w:vAlign w:val="center"/>
          </w:tcPr>
          <w:p>
            <w:pPr>
              <w:pStyle w:val="13"/>
            </w:pPr>
            <w:r>
              <w:t>审计项目终结后5个月内提交审计档案</w:t>
            </w:r>
          </w:p>
        </w:tc>
        <w:tc>
          <w:tcPr>
            <w:tcW w:w="2268" w:type="dxa"/>
            <w:vAlign w:val="center"/>
          </w:tcPr>
          <w:p>
            <w:pPr>
              <w:pStyle w:val="13"/>
            </w:pPr>
            <w:r>
              <w:t>≤5月</w:t>
            </w:r>
          </w:p>
        </w:tc>
        <w:tc>
          <w:tcPr>
            <w:tcW w:w="1276" w:type="dxa"/>
            <w:vAlign w:val="center"/>
          </w:tcPr>
          <w:p>
            <w:pPr>
              <w:pStyle w:val="13"/>
            </w:pPr>
            <w:r>
              <w:t>审计署档案管理规定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实际支出金额/预算金额</w:t>
            </w:r>
          </w:p>
        </w:tc>
        <w:tc>
          <w:tcPr>
            <w:tcW w:w="2268" w:type="dxa"/>
            <w:vAlign w:val="center"/>
          </w:tcPr>
          <w:p>
            <w:pPr>
              <w:pStyle w:val="13"/>
            </w:pPr>
            <w:r>
              <w:t>≤100百分比</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审计建议采纳率</w:t>
            </w:r>
          </w:p>
        </w:tc>
        <w:tc>
          <w:tcPr>
            <w:tcW w:w="5386" w:type="dxa"/>
            <w:vAlign w:val="center"/>
          </w:tcPr>
          <w:p>
            <w:pPr>
              <w:pStyle w:val="13"/>
            </w:pPr>
            <w:r>
              <w:t>被审计单位对审计建议的采纳程度</w:t>
            </w:r>
          </w:p>
        </w:tc>
        <w:tc>
          <w:tcPr>
            <w:tcW w:w="2268" w:type="dxa"/>
            <w:vAlign w:val="center"/>
          </w:tcPr>
          <w:p>
            <w:pPr>
              <w:pStyle w:val="13"/>
            </w:pPr>
            <w:r>
              <w:t>≥90百分比</w:t>
            </w:r>
          </w:p>
        </w:tc>
        <w:tc>
          <w:tcPr>
            <w:tcW w:w="1276" w:type="dxa"/>
            <w:vAlign w:val="center"/>
          </w:tcPr>
          <w:p>
            <w:pPr>
              <w:pStyle w:val="13"/>
            </w:pPr>
            <w:r>
              <w:t>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审计整改率</w:t>
            </w:r>
          </w:p>
        </w:tc>
        <w:tc>
          <w:tcPr>
            <w:tcW w:w="5386" w:type="dxa"/>
            <w:vAlign w:val="center"/>
          </w:tcPr>
          <w:p>
            <w:pPr>
              <w:pStyle w:val="13"/>
            </w:pPr>
            <w:r>
              <w:t>每个项目完成整改的问题占全部审计发现问题的比例</w:t>
            </w:r>
          </w:p>
        </w:tc>
        <w:tc>
          <w:tcPr>
            <w:tcW w:w="2268" w:type="dxa"/>
            <w:vAlign w:val="center"/>
          </w:tcPr>
          <w:p>
            <w:pPr>
              <w:pStyle w:val="13"/>
            </w:pPr>
            <w:r>
              <w:t>≥90百分比</w:t>
            </w:r>
          </w:p>
        </w:tc>
        <w:tc>
          <w:tcPr>
            <w:tcW w:w="1276" w:type="dxa"/>
            <w:vAlign w:val="center"/>
          </w:tcPr>
          <w:p>
            <w:pPr>
              <w:pStyle w:val="13"/>
            </w:pPr>
            <w:r>
              <w:t>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5、政府投资决算审计中心结算评审费工作费绩效目标表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13063024P000148100017</w:t>
            </w:r>
          </w:p>
        </w:tc>
        <w:tc>
          <w:tcPr>
            <w:tcW w:w="2835" w:type="dxa"/>
            <w:vAlign w:val="center"/>
          </w:tcPr>
          <w:p>
            <w:pPr>
              <w:pStyle w:val="11"/>
            </w:pPr>
            <w:r>
              <w:t>项目名称</w:t>
            </w:r>
          </w:p>
        </w:tc>
        <w:tc>
          <w:tcPr>
            <w:tcW w:w="6094" w:type="dxa"/>
            <w:gridSpan w:val="3"/>
            <w:vAlign w:val="center"/>
          </w:tcPr>
          <w:p>
            <w:pPr>
              <w:pStyle w:val="13"/>
            </w:pPr>
            <w:r>
              <w:t>政府投资决算审计中心结算评审费工作费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支付政府投资竣工决算审计中心人员工资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7.00</w:t>
            </w:r>
          </w:p>
        </w:tc>
        <w:tc>
          <w:tcPr>
            <w:tcW w:w="2835" w:type="dxa"/>
            <w:vAlign w:val="center"/>
          </w:tcPr>
          <w:p>
            <w:pPr>
              <w:pStyle w:val="14"/>
            </w:pPr>
            <w:r>
              <w:t>15.00</w:t>
            </w:r>
          </w:p>
        </w:tc>
        <w:tc>
          <w:tcPr>
            <w:tcW w:w="2551" w:type="dxa"/>
            <w:vAlign w:val="center"/>
          </w:tcPr>
          <w:p>
            <w:pPr>
              <w:pStyle w:val="14"/>
            </w:pPr>
            <w:r>
              <w:t>22.00</w:t>
            </w:r>
          </w:p>
        </w:tc>
        <w:tc>
          <w:tcPr>
            <w:tcW w:w="3543" w:type="dxa"/>
            <w:gridSpan w:val="2"/>
            <w:vAlign w:val="center"/>
          </w:tcPr>
          <w:p>
            <w:pPr>
              <w:pStyle w:val="14"/>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1.通过开展审计，揭示问题，促进被审计单位财务管理水平提升，提高财政资金使用效益，出具审计报告10份以上。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工作人员数量</w:t>
            </w:r>
          </w:p>
        </w:tc>
        <w:tc>
          <w:tcPr>
            <w:tcW w:w="5386" w:type="dxa"/>
            <w:vAlign w:val="center"/>
          </w:tcPr>
          <w:p>
            <w:pPr>
              <w:pStyle w:val="13"/>
            </w:pPr>
            <w:r>
              <w:t>工作人员数量</w:t>
            </w:r>
          </w:p>
        </w:tc>
        <w:tc>
          <w:tcPr>
            <w:tcW w:w="2268" w:type="dxa"/>
            <w:vAlign w:val="center"/>
          </w:tcPr>
          <w:p>
            <w:pPr>
              <w:pStyle w:val="13"/>
            </w:pPr>
            <w:r>
              <w:t>9人</w:t>
            </w:r>
          </w:p>
        </w:tc>
        <w:tc>
          <w:tcPr>
            <w:tcW w:w="1276" w:type="dxa"/>
            <w:vAlign w:val="center"/>
          </w:tcPr>
          <w:p>
            <w:pPr>
              <w:pStyle w:val="13"/>
            </w:pPr>
            <w:r>
              <w:t>县领导批复文件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审计报告数量</w:t>
            </w:r>
          </w:p>
        </w:tc>
        <w:tc>
          <w:tcPr>
            <w:tcW w:w="5386" w:type="dxa"/>
            <w:vAlign w:val="center"/>
          </w:tcPr>
          <w:p>
            <w:pPr>
              <w:pStyle w:val="13"/>
            </w:pPr>
            <w:r>
              <w:t>审计报告数量</w:t>
            </w:r>
          </w:p>
        </w:tc>
        <w:tc>
          <w:tcPr>
            <w:tcW w:w="2268" w:type="dxa"/>
            <w:vAlign w:val="center"/>
          </w:tcPr>
          <w:p>
            <w:pPr>
              <w:pStyle w:val="13"/>
            </w:pPr>
            <w:r>
              <w:t>≥10个</w:t>
            </w:r>
          </w:p>
        </w:tc>
        <w:tc>
          <w:tcPr>
            <w:tcW w:w="1276" w:type="dxa"/>
            <w:vAlign w:val="center"/>
          </w:tcPr>
          <w:p>
            <w:pPr>
              <w:pStyle w:val="13"/>
            </w:pPr>
            <w:r>
              <w:t>审计档案目录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出勤率</w:t>
            </w:r>
          </w:p>
        </w:tc>
        <w:tc>
          <w:tcPr>
            <w:tcW w:w="5386" w:type="dxa"/>
            <w:vAlign w:val="center"/>
          </w:tcPr>
          <w:p>
            <w:pPr>
              <w:pStyle w:val="13"/>
            </w:pPr>
            <w:r>
              <w:t>全年员工出勤率</w:t>
            </w:r>
          </w:p>
        </w:tc>
        <w:tc>
          <w:tcPr>
            <w:tcW w:w="2268" w:type="dxa"/>
            <w:vAlign w:val="center"/>
          </w:tcPr>
          <w:p>
            <w:pPr>
              <w:pStyle w:val="13"/>
            </w:pPr>
            <w:r>
              <w:t>≥95百分比</w:t>
            </w:r>
          </w:p>
        </w:tc>
        <w:tc>
          <w:tcPr>
            <w:tcW w:w="1276" w:type="dxa"/>
            <w:vAlign w:val="center"/>
          </w:tcPr>
          <w:p>
            <w:pPr>
              <w:pStyle w:val="13"/>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审计程序规范</w:t>
            </w:r>
          </w:p>
        </w:tc>
        <w:tc>
          <w:tcPr>
            <w:tcW w:w="5386" w:type="dxa"/>
            <w:vAlign w:val="center"/>
          </w:tcPr>
          <w:p>
            <w:pPr>
              <w:pStyle w:val="13"/>
            </w:pPr>
            <w:r>
              <w:t>审计程序合规性</w:t>
            </w:r>
          </w:p>
        </w:tc>
        <w:tc>
          <w:tcPr>
            <w:tcW w:w="2268" w:type="dxa"/>
            <w:vAlign w:val="center"/>
          </w:tcPr>
          <w:p>
            <w:pPr>
              <w:pStyle w:val="13"/>
            </w:pPr>
            <w:r>
              <w:t>100百分比</w:t>
            </w:r>
          </w:p>
        </w:tc>
        <w:tc>
          <w:tcPr>
            <w:tcW w:w="1276" w:type="dxa"/>
            <w:vAlign w:val="center"/>
          </w:tcPr>
          <w:p>
            <w:pPr>
              <w:pStyle w:val="13"/>
            </w:pPr>
            <w:r>
              <w:t>审计流程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每月25号之前发放到位</w:t>
            </w:r>
          </w:p>
        </w:tc>
        <w:tc>
          <w:tcPr>
            <w:tcW w:w="2268" w:type="dxa"/>
            <w:vAlign w:val="center"/>
          </w:tcPr>
          <w:p>
            <w:pPr>
              <w:pStyle w:val="13"/>
            </w:pPr>
            <w:r>
              <w:t>≤25号</w:t>
            </w:r>
          </w:p>
        </w:tc>
        <w:tc>
          <w:tcPr>
            <w:tcW w:w="1276" w:type="dxa"/>
            <w:vAlign w:val="center"/>
          </w:tcPr>
          <w:p>
            <w:pPr>
              <w:pStyle w:val="13"/>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实际支出金额/预算金额</w:t>
            </w:r>
          </w:p>
        </w:tc>
        <w:tc>
          <w:tcPr>
            <w:tcW w:w="2268" w:type="dxa"/>
            <w:vAlign w:val="center"/>
          </w:tcPr>
          <w:p>
            <w:pPr>
              <w:pStyle w:val="13"/>
            </w:pPr>
            <w:r>
              <w:t>≤100百分比</w:t>
            </w:r>
          </w:p>
        </w:tc>
        <w:tc>
          <w:tcPr>
            <w:tcW w:w="1276" w:type="dxa"/>
            <w:vAlign w:val="center"/>
          </w:tcPr>
          <w:p>
            <w:pPr>
              <w:pStyle w:val="13"/>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审计质量</w:t>
            </w:r>
          </w:p>
        </w:tc>
        <w:tc>
          <w:tcPr>
            <w:tcW w:w="5386" w:type="dxa"/>
            <w:vAlign w:val="center"/>
          </w:tcPr>
          <w:p>
            <w:pPr>
              <w:pStyle w:val="13"/>
            </w:pPr>
            <w:r>
              <w:t>完成政府交办的审计任务，提高审计质量</w:t>
            </w:r>
          </w:p>
        </w:tc>
        <w:tc>
          <w:tcPr>
            <w:tcW w:w="2268" w:type="dxa"/>
            <w:vAlign w:val="center"/>
          </w:tcPr>
          <w:p>
            <w:pPr>
              <w:pStyle w:val="13"/>
            </w:pPr>
            <w:r>
              <w:t>100提高审计质量</w:t>
            </w:r>
          </w:p>
        </w:tc>
        <w:tc>
          <w:tcPr>
            <w:tcW w:w="1276" w:type="dxa"/>
            <w:vAlign w:val="center"/>
          </w:tcPr>
          <w:p>
            <w:pPr>
              <w:pStyle w:val="13"/>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工作人员满意度</w:t>
            </w:r>
          </w:p>
        </w:tc>
        <w:tc>
          <w:tcPr>
            <w:tcW w:w="2268" w:type="dxa"/>
            <w:vAlign w:val="center"/>
          </w:tcPr>
          <w:p>
            <w:pPr>
              <w:pStyle w:val="13"/>
            </w:pPr>
            <w:r>
              <w:t>≥95百分比</w:t>
            </w:r>
          </w:p>
        </w:tc>
        <w:tc>
          <w:tcPr>
            <w:tcW w:w="1276" w:type="dxa"/>
            <w:vAlign w:val="center"/>
          </w:tcPr>
          <w:p>
            <w:pPr>
              <w:pStyle w:val="13"/>
            </w:pPr>
            <w:r>
              <w:t>工作人员满意度调查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319涞源县审计局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涞源县审计局（含所属单位）上年末固定资产金额为90.34万元（详见下表）。本年度拟购置固定资产总额为0.00万元，已按要求列入政府采购预算，详见政府采购预算表。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319涞源县审计局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90.34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257</w:t>
            </w:r>
          </w:p>
        </w:tc>
        <w:tc>
          <w:tcPr>
            <w:tcW w:w="2835" w:type="dxa"/>
            <w:vAlign w:val="center"/>
          </w:tcPr>
          <w:p>
            <w:pPr>
              <w:pStyle w:val="12"/>
            </w:pPr>
            <w:r>
              <w:t>65.24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NzU2N2JjZjFiYTdiNzYzZGJmOWFjYmQ3M2YyZjEifQ=="/>
  </w:docVars>
  <w:rsids>
    <w:rsidRoot w:val="00000000"/>
    <w:rsid w:val="07BD6FF5"/>
    <w:rsid w:val="1A3A24D6"/>
    <w:rsid w:val="2D6D7CCB"/>
    <w:rsid w:val="5FD70E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2024-03-06T10:07:57Z</dcterms:created>
  <dcterms:modified xsi:type="dcterms:W3CDTF">2024-03-06T02:07:57Z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2024-03-06T10:07:58Z</dcterms:created>
  <dcterms:modified xsi:type="dcterms:W3CDTF">2024-03-06T02:07:58Z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2024-03-06T10:07:55Z</dcterms:created>
  <dcterms:modified xsi:type="dcterms:W3CDTF">2024-03-06T02:07:55Z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2024-03-06T10:07:55Z</dcterms:created>
  <dcterms:modified xsi:type="dcterms:W3CDTF">2024-03-06T02:07:55Z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2024-03-06T10:07:56Z</dcterms:created>
  <dcterms:modified xsi:type="dcterms:W3CDTF">2024-03-06T02:07:56Z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2024-03-06T10:07:56Z</dcterms:created>
  <dcterms:modified xsi:type="dcterms:W3CDTF">2024-03-06T02:07:56Z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2024-03-06T10:07:55Z</dcterms:created>
  <dcterms:modified xsi:type="dcterms:W3CDTF">2024-03-06T02:07:54Z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2024-03-06T10:07:56Z</dcterms:created>
  <dcterms:modified xsi:type="dcterms:W3CDTF">2024-03-06T02:07:56Z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2024-03-06T10:07:57Z</dcterms:created>
  <dcterms:modified xsi:type="dcterms:W3CDTF">2024-03-06T02:07:57Z</dcterms:modified>
</cp:coreProperties>
</file>

<file path=customXml/itemProps1.xml><?xml version="1.0" encoding="utf-8"?>
<ds:datastoreItem xmlns:ds="http://schemas.openxmlformats.org/officeDocument/2006/customXml" ds:itemID="{3f6bbdee-704d-49eb-9436-b1382bb9c1a7}">
  <ds:schemaRefs/>
</ds:datastoreItem>
</file>

<file path=customXml/itemProps10.xml><?xml version="1.0" encoding="utf-8"?>
<ds:datastoreItem xmlns:ds="http://schemas.openxmlformats.org/officeDocument/2006/customXml" ds:itemID="{1b8eccad-5d63-4046-9e4e-73c7028eb8bc}">
  <ds:schemaRefs/>
</ds:datastoreItem>
</file>

<file path=customXml/itemProps11.xml><?xml version="1.0" encoding="utf-8"?>
<ds:datastoreItem xmlns:ds="http://schemas.openxmlformats.org/officeDocument/2006/customXml" ds:itemID="{9a3b5a3c-8bd0-49d2-823c-8930a0335cff}">
  <ds:schemaRefs/>
</ds:datastoreItem>
</file>

<file path=customXml/itemProps12.xml><?xml version="1.0" encoding="utf-8"?>
<ds:datastoreItem xmlns:ds="http://schemas.openxmlformats.org/officeDocument/2006/customXml" ds:itemID="{2d97a276-22e3-4321-afde-e886ef7ba1d2}">
  <ds:schemaRefs/>
</ds:datastoreItem>
</file>

<file path=customXml/itemProps13.xml><?xml version="1.0" encoding="utf-8"?>
<ds:datastoreItem xmlns:ds="http://schemas.openxmlformats.org/officeDocument/2006/customXml" ds:itemID="{dab3ac66-245b-4efd-adc9-dd94f7c6a805}">
  <ds:schemaRefs/>
</ds:datastoreItem>
</file>

<file path=customXml/itemProps14.xml><?xml version="1.0" encoding="utf-8"?>
<ds:datastoreItem xmlns:ds="http://schemas.openxmlformats.org/officeDocument/2006/customXml" ds:itemID="{c22b152c-1eab-4a92-bd81-2fab37eaf834}">
  <ds:schemaRefs/>
</ds:datastoreItem>
</file>

<file path=customXml/itemProps15.xml><?xml version="1.0" encoding="utf-8"?>
<ds:datastoreItem xmlns:ds="http://schemas.openxmlformats.org/officeDocument/2006/customXml" ds:itemID="{3044956b-9d9f-484f-8fe4-4e3348010427}">
  <ds:schemaRefs/>
</ds:datastoreItem>
</file>

<file path=customXml/itemProps16.xml><?xml version="1.0" encoding="utf-8"?>
<ds:datastoreItem xmlns:ds="http://schemas.openxmlformats.org/officeDocument/2006/customXml" ds:itemID="{2c2db7ed-b235-4526-9ef1-f48fc93827a3}">
  <ds:schemaRefs/>
</ds:datastoreItem>
</file>

<file path=customXml/itemProps17.xml><?xml version="1.0" encoding="utf-8"?>
<ds:datastoreItem xmlns:ds="http://schemas.openxmlformats.org/officeDocument/2006/customXml" ds:itemID="{3937a7ac-a697-4f72-a708-90544f43c6f5}">
  <ds:schemaRefs/>
</ds:datastoreItem>
</file>

<file path=customXml/itemProps18.xml><?xml version="1.0" encoding="utf-8"?>
<ds:datastoreItem xmlns:ds="http://schemas.openxmlformats.org/officeDocument/2006/customXml" ds:itemID="{d1a4e7e2-054a-4962-b94b-fa3e14779011}">
  <ds:schemaRefs/>
</ds:datastoreItem>
</file>

<file path=customXml/itemProps2.xml><?xml version="1.0" encoding="utf-8"?>
<ds:datastoreItem xmlns:ds="http://schemas.openxmlformats.org/officeDocument/2006/customXml" ds:itemID="{e0b55020-2588-4b70-a641-6392cbc3fcd6}">
  <ds:schemaRefs/>
</ds:datastoreItem>
</file>

<file path=customXml/itemProps3.xml><?xml version="1.0" encoding="utf-8"?>
<ds:datastoreItem xmlns:ds="http://schemas.openxmlformats.org/officeDocument/2006/customXml" ds:itemID="{802328aa-a6f8-47be-aa53-727552a97131}">
  <ds:schemaRefs/>
</ds:datastoreItem>
</file>

<file path=customXml/itemProps4.xml><?xml version="1.0" encoding="utf-8"?>
<ds:datastoreItem xmlns:ds="http://schemas.openxmlformats.org/officeDocument/2006/customXml" ds:itemID="{2bee640e-fa9a-4697-bf30-d4d5e16205d1}">
  <ds:schemaRefs/>
</ds:datastoreItem>
</file>

<file path=customXml/itemProps5.xml><?xml version="1.0" encoding="utf-8"?>
<ds:datastoreItem xmlns:ds="http://schemas.openxmlformats.org/officeDocument/2006/customXml" ds:itemID="{c2a4e964-3fe7-4b94-aa97-900bf6917a88}">
  <ds:schemaRefs/>
</ds:datastoreItem>
</file>

<file path=customXml/itemProps6.xml><?xml version="1.0" encoding="utf-8"?>
<ds:datastoreItem xmlns:ds="http://schemas.openxmlformats.org/officeDocument/2006/customXml" ds:itemID="{628c463b-4902-4d96-9877-dc53b09f159c}">
  <ds:schemaRefs/>
</ds:datastoreItem>
</file>

<file path=customXml/itemProps7.xml><?xml version="1.0" encoding="utf-8"?>
<ds:datastoreItem xmlns:ds="http://schemas.openxmlformats.org/officeDocument/2006/customXml" ds:itemID="{fba32761-fcb2-4858-9b82-f8acf209cb7a}">
  <ds:schemaRefs/>
</ds:datastoreItem>
</file>

<file path=customXml/itemProps8.xml><?xml version="1.0" encoding="utf-8"?>
<ds:datastoreItem xmlns:ds="http://schemas.openxmlformats.org/officeDocument/2006/customXml" ds:itemID="{e5baf557-d311-4816-b10e-30c142ce4bc1}">
  <ds:schemaRefs/>
</ds:datastoreItem>
</file>

<file path=customXml/itemProps9.xml><?xml version="1.0" encoding="utf-8"?>
<ds:datastoreItem xmlns:ds="http://schemas.openxmlformats.org/officeDocument/2006/customXml" ds:itemID="{eaa8c1cc-931c-4989-8866-7ce3b1b7f3a5}">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2024-03-06T10:07:00Z</dcterms:created>
  <dc:creator>华为</dc:creator>
  <cp:lastModifiedBy>小茹</cp:lastModifiedBy>
  <dcterms:modified xsi:type="dcterms:W3CDTF">2024-03-11T09:36:15Z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B3415B395CBB47B2B97635521F3DF073_13</vt:lpwstr>
  </property>
</Properties>
</file>