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cs="宋体"/>
          <w:b/>
          <w:bCs/>
          <w:i w:val="0"/>
          <w:iCs w:val="0"/>
          <w:caps w:val="0"/>
          <w:color w:val="333333"/>
          <w:spacing w:val="-2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  <w:t>涞源县塔崖驿乡2023年政府信息公开年度报告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年，在县委、县政府的坚强领导下，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按照《中华人民共和国政府信息公开条例》规定，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贯彻落实国家、省、市各项文件要求，全面推进政务公开各项工作，不断完善政务公开制度，统筹推进政府微信公众平台新媒体建设，着力提升信息公开质量，信息公开工作取得了一定成效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，现将2023年度政府信息公开工作报告如下：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我们始终把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作为工作重中之重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，摆上重要议事日程，纳入年度工作计划，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加强组织领导，明确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责任分工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认真对照《中华人民共和国政府信息公开条例》，不断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完善政府信息主动公开工作流程，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建立健全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信息保密审查以及考核责任追究等制度，及时、准确、规范上传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政府公开信息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。同时着力加强政务新媒体建设，有效利用微信公众号政务新媒体平台及时发布相关信息，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拓展信息公开形式，丰富公开渠道。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贯彻落实国家、省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政务公开工作要求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，坚持抓重点促深化，扎实开展政府信息公开各项工作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强化重大决策信息、政策解读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财政信息、重大建设项目、公共资源配置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等方面主动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公开力度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，信息工作较往年明显提升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按照《中华人民共和国政府信息公开条例》，完善公开制度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明确依申请公开受理机构和受理流程，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不断加强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按规定程序受理、审核、处理和答复依申请公开政府信息能力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2023年，严格依照《条例》和《中华人民共和国保守国家秘密法》有关规定，不断完善政府信息主动公开工作流程，明确专人负责政府信息公开工作，确保信息及时、准确、规范上传。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始终把政府网站和政务新媒体管理作为工作重中之重，不断加强政务新媒体建设，有效利用微信公众号政务新媒体平台及时发布相关信息，2023年，利用微信公众号推送各类信息300余条。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自觉接受社会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和群众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加强政府网站和政务新媒体日常管理和常态化监管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，对公开内容定期开展自查自纠，发现问题及时整改。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2" w:firstLineChars="231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经过一年的努力，政府信息公开工作取得了一定成绩，但距离县委、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政府工作要求和人民群众期盼还有差距，仍然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还存政策解读形式不够全面、信息公开内容发布不够及时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等问题。2024年，我们将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采取有效措施积极改进,严格按照《条例》规定和省、市、县有关要求，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规范公开的内容、时限和程序，继续抓好主动公开和依申请公开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工作，不断提升公开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认真贯彻执行国务院办公厅《政府信息公开信息处理费管理办法》和《关于政府信息公开处理费管理有关事项的通知》。2023年未收取信息处理费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MyMGIzZmM3YjRkMTdkZWUzYTliNzVmOTUxNmUifQ=="/>
  </w:docVars>
  <w:rsids>
    <w:rsidRoot w:val="3E5B229F"/>
    <w:rsid w:val="08F756FD"/>
    <w:rsid w:val="10AA1620"/>
    <w:rsid w:val="1ED51998"/>
    <w:rsid w:val="208B5F33"/>
    <w:rsid w:val="220A23E4"/>
    <w:rsid w:val="24193D0D"/>
    <w:rsid w:val="297B3C74"/>
    <w:rsid w:val="302857C1"/>
    <w:rsid w:val="3E5B229F"/>
    <w:rsid w:val="42F205FF"/>
    <w:rsid w:val="49AE7D81"/>
    <w:rsid w:val="51BD4B49"/>
    <w:rsid w:val="68BE495C"/>
    <w:rsid w:val="6A885221"/>
    <w:rsid w:val="6D0843F7"/>
    <w:rsid w:val="72826491"/>
    <w:rsid w:val="7B3D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1957</Words>
  <Characters>2003</Characters>
  <Lines>0</Lines>
  <Paragraphs>0</Paragraphs>
  <TotalTime>18</TotalTime>
  <ScaleCrop>false</ScaleCrop>
  <LinksUpToDate>false</LinksUpToDate>
  <CharactersWithSpaces>2003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</cp:lastModifiedBy>
  <cp:lastPrinted>2019-12-29T11:40:00Z</cp:lastPrinted>
  <dcterms:modified xsi:type="dcterms:W3CDTF">2024-06-04T03:33:10Z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68A04910BB0948C39B5350D191C3D1FF_12</vt:lpwstr>
  </property>
</Properties>
</file>