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44"/>
          <w:szCs w:val="44"/>
        </w:rPr>
      </w:pPr>
      <w:r>
        <w:rPr>
          <w:rFonts w:hint="eastAsia" w:ascii="黑体" w:hAnsi="黑体" w:eastAsia="黑体" w:cs="宋体-方正超大字符集"/>
          <w:b/>
          <w:bCs/>
          <w:sz w:val="44"/>
          <w:szCs w:val="44"/>
        </w:rPr>
        <w:t>部门预算信息公开目录</w:t>
      </w:r>
    </w:p>
    <w:p>
      <w:pPr>
        <w:rPr>
          <w:rFonts w:hint="eastAsia" w:ascii="仿宋" w:hAnsi="仿宋" w:eastAsia="仿宋" w:cs="仿宋_GB2312"/>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t>部门预算公开表</w:t>
      </w:r>
    </w:p>
    <w:p>
      <w:pPr>
        <w:ind w:firstLine="420" w:firstLineChars="150"/>
        <w:rPr>
          <w:rFonts w:hint="eastAsia" w:ascii="宋体" w:hAnsi="宋体" w:eastAsia="宋体" w:cs="宋体"/>
          <w:sz w:val="28"/>
          <w:szCs w:val="28"/>
        </w:rPr>
      </w:pPr>
      <w:r>
        <w:rPr>
          <w:rFonts w:hint="eastAsia" w:ascii="宋体" w:hAnsi="宋体" w:eastAsia="宋体" w:cs="宋体"/>
          <w:sz w:val="28"/>
          <w:szCs w:val="28"/>
        </w:rPr>
        <w:t>部门预算收支总表……………………………………………………………………………………………3</w:t>
      </w:r>
    </w:p>
    <w:p>
      <w:pPr>
        <w:ind w:firstLine="420" w:firstLineChars="150"/>
        <w:rPr>
          <w:rFonts w:hint="eastAsia" w:ascii="宋体" w:hAnsi="宋体" w:eastAsia="宋体" w:cs="宋体"/>
          <w:sz w:val="28"/>
          <w:szCs w:val="28"/>
        </w:rPr>
      </w:pPr>
      <w:r>
        <w:rPr>
          <w:rFonts w:hint="eastAsia" w:ascii="宋体" w:hAnsi="宋体" w:eastAsia="宋体" w:cs="宋体"/>
          <w:sz w:val="28"/>
          <w:szCs w:val="28"/>
        </w:rPr>
        <w:t>部门预算收入总表……………………………………………………………………………………………5</w:t>
      </w:r>
    </w:p>
    <w:p>
      <w:pPr>
        <w:ind w:firstLine="420" w:firstLineChars="150"/>
        <w:rPr>
          <w:rFonts w:hint="eastAsia" w:ascii="宋体" w:hAnsi="宋体" w:eastAsia="宋体" w:cs="宋体"/>
          <w:sz w:val="28"/>
          <w:szCs w:val="28"/>
          <w:lang w:eastAsia="zh-CN"/>
        </w:rPr>
      </w:pPr>
      <w:r>
        <w:rPr>
          <w:rFonts w:hint="eastAsia" w:ascii="宋体" w:hAnsi="宋体" w:eastAsia="宋体" w:cs="宋体"/>
          <w:sz w:val="28"/>
          <w:szCs w:val="28"/>
        </w:rPr>
        <w:t>部门预算支出总表……………………………………………………………………………………………</w:t>
      </w:r>
      <w:r>
        <w:rPr>
          <w:rFonts w:hint="eastAsia" w:ascii="宋体" w:hAnsi="宋体" w:cs="宋体"/>
          <w:sz w:val="28"/>
          <w:szCs w:val="28"/>
          <w:lang w:val="en-US" w:eastAsia="zh-CN"/>
        </w:rPr>
        <w:t>7</w:t>
      </w:r>
    </w:p>
    <w:p>
      <w:pPr>
        <w:ind w:firstLine="420" w:firstLineChars="150"/>
        <w:rPr>
          <w:rFonts w:hint="eastAsia" w:ascii="宋体" w:hAnsi="宋体" w:eastAsia="宋体" w:cs="宋体"/>
          <w:sz w:val="28"/>
          <w:szCs w:val="28"/>
          <w:lang w:eastAsia="zh-CN"/>
        </w:rPr>
      </w:pPr>
      <w:r>
        <w:rPr>
          <w:rFonts w:hint="eastAsia" w:ascii="宋体" w:hAnsi="宋体" w:eastAsia="宋体" w:cs="宋体"/>
          <w:sz w:val="28"/>
          <w:szCs w:val="28"/>
        </w:rPr>
        <w:t>部门预算财政拨款收支总表…………………………………………………………………………………</w:t>
      </w:r>
      <w:r>
        <w:rPr>
          <w:rFonts w:hint="eastAsia" w:ascii="宋体" w:hAnsi="宋体" w:cs="宋体"/>
          <w:sz w:val="28"/>
          <w:szCs w:val="28"/>
          <w:lang w:val="en-US" w:eastAsia="zh-CN"/>
        </w:rPr>
        <w:t>9</w:t>
      </w:r>
    </w:p>
    <w:p>
      <w:pPr>
        <w:ind w:firstLine="420" w:firstLineChars="150"/>
        <w:rPr>
          <w:rFonts w:hint="eastAsia" w:ascii="宋体" w:hAnsi="宋体" w:cs="宋体"/>
          <w:sz w:val="28"/>
          <w:szCs w:val="28"/>
          <w:lang w:val="en-US" w:eastAsia="zh-CN"/>
        </w:rPr>
      </w:pPr>
      <w:r>
        <w:rPr>
          <w:rFonts w:hint="eastAsia" w:ascii="宋体" w:hAnsi="宋体" w:eastAsia="宋体" w:cs="宋体"/>
          <w:sz w:val="28"/>
          <w:szCs w:val="28"/>
        </w:rPr>
        <w:t>部门预算一般公共预算财政拨款支出表……………………………………………………………………</w:t>
      </w:r>
      <w:r>
        <w:rPr>
          <w:rFonts w:hint="eastAsia" w:ascii="宋体" w:hAnsi="宋体" w:cs="宋体"/>
          <w:sz w:val="28"/>
          <w:szCs w:val="28"/>
          <w:lang w:val="en-US" w:eastAsia="zh-CN"/>
        </w:rPr>
        <w:t>11</w:t>
      </w:r>
    </w:p>
    <w:p>
      <w:pPr>
        <w:ind w:firstLine="420" w:firstLineChars="150"/>
        <w:rPr>
          <w:rFonts w:hint="default" w:ascii="宋体" w:hAnsi="宋体" w:eastAsia="宋体" w:cs="宋体"/>
          <w:sz w:val="28"/>
          <w:szCs w:val="28"/>
          <w:lang w:val="en-US" w:eastAsia="zh-CN"/>
        </w:rPr>
      </w:pPr>
      <w:r>
        <w:rPr>
          <w:rFonts w:hint="eastAsia" w:ascii="宋体" w:hAnsi="宋体" w:eastAsia="宋体" w:cs="宋体"/>
          <w:sz w:val="28"/>
          <w:szCs w:val="28"/>
        </w:rPr>
        <w:t>部门预算一般公共预算财政拨款基本支出表………………………………………………………………</w:t>
      </w:r>
      <w:r>
        <w:rPr>
          <w:rFonts w:hint="eastAsia" w:ascii="宋体" w:hAnsi="宋体" w:cs="宋体"/>
          <w:sz w:val="28"/>
          <w:szCs w:val="28"/>
          <w:lang w:val="en-US" w:eastAsia="zh-CN"/>
        </w:rPr>
        <w:t>13</w:t>
      </w:r>
    </w:p>
    <w:p>
      <w:pPr>
        <w:ind w:firstLine="420" w:firstLineChars="150"/>
        <w:rPr>
          <w:rFonts w:hint="eastAsia" w:ascii="宋体" w:hAnsi="宋体" w:eastAsia="宋体" w:cs="宋体"/>
          <w:sz w:val="28"/>
          <w:szCs w:val="28"/>
          <w:lang w:eastAsia="zh-CN"/>
        </w:rPr>
      </w:pPr>
      <w:r>
        <w:rPr>
          <w:rFonts w:hint="eastAsia" w:ascii="宋体" w:hAnsi="宋体" w:eastAsia="宋体" w:cs="宋体"/>
          <w:sz w:val="28"/>
          <w:szCs w:val="28"/>
        </w:rPr>
        <w:t>部门预算政府基金预算财政拨款支出表……………………………………………………………………1</w:t>
      </w:r>
      <w:r>
        <w:rPr>
          <w:rFonts w:hint="eastAsia" w:ascii="宋体" w:hAnsi="宋体" w:cs="宋体"/>
          <w:sz w:val="28"/>
          <w:szCs w:val="28"/>
          <w:lang w:val="en-US" w:eastAsia="zh-CN"/>
        </w:rPr>
        <w:t>5</w:t>
      </w:r>
    </w:p>
    <w:p>
      <w:pPr>
        <w:ind w:firstLine="420" w:firstLineChars="150"/>
        <w:rPr>
          <w:rFonts w:hint="eastAsia" w:ascii="宋体" w:hAnsi="宋体" w:eastAsia="宋体" w:cs="宋体"/>
          <w:sz w:val="28"/>
          <w:szCs w:val="28"/>
          <w:lang w:eastAsia="zh-CN"/>
        </w:rPr>
      </w:pPr>
      <w:r>
        <w:rPr>
          <w:rFonts w:hint="eastAsia" w:ascii="宋体" w:hAnsi="宋体" w:eastAsia="宋体" w:cs="宋体"/>
          <w:sz w:val="28"/>
          <w:szCs w:val="28"/>
        </w:rPr>
        <w:t>部门预算国有资本经营预算财政拨款支出表………………………………………………………………1</w:t>
      </w:r>
      <w:r>
        <w:rPr>
          <w:rFonts w:hint="eastAsia" w:ascii="宋体" w:hAnsi="宋体" w:cs="宋体"/>
          <w:sz w:val="28"/>
          <w:szCs w:val="28"/>
          <w:lang w:val="en-US" w:eastAsia="zh-CN"/>
        </w:rPr>
        <w:t>6</w:t>
      </w:r>
    </w:p>
    <w:p>
      <w:pPr>
        <w:ind w:firstLine="420" w:firstLineChars="150"/>
        <w:rPr>
          <w:rFonts w:hint="eastAsia" w:ascii="宋体" w:hAnsi="宋体" w:eastAsia="宋体" w:cs="宋体"/>
          <w:sz w:val="28"/>
          <w:szCs w:val="28"/>
          <w:lang w:eastAsia="zh-CN"/>
        </w:rPr>
      </w:pPr>
      <w:r>
        <w:rPr>
          <w:rFonts w:hint="eastAsia" w:ascii="宋体" w:hAnsi="宋体" w:eastAsia="宋体" w:cs="宋体"/>
          <w:sz w:val="28"/>
          <w:szCs w:val="28"/>
        </w:rPr>
        <w:t>部门预算财政拨款“三公”经费支出表……………………………………………………………………1</w:t>
      </w:r>
      <w:r>
        <w:rPr>
          <w:rFonts w:hint="eastAsia" w:ascii="宋体" w:hAnsi="宋体" w:cs="宋体"/>
          <w:sz w:val="28"/>
          <w:szCs w:val="28"/>
          <w:lang w:val="en-US" w:eastAsia="zh-CN"/>
        </w:rPr>
        <w:t>7</w:t>
      </w:r>
    </w:p>
    <w:p>
      <w:pPr>
        <w:rPr>
          <w:rFonts w:hint="eastAsia" w:ascii="宋体" w:hAnsi="宋体" w:eastAsia="宋体" w:cs="宋体"/>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t>部门预算信息公开情况说明</w:t>
      </w:r>
    </w:p>
    <w:p>
      <w:pPr>
        <w:ind w:firstLine="420" w:firstLineChars="150"/>
        <w:rPr>
          <w:rFonts w:hint="default" w:ascii="宋体" w:hAnsi="宋体" w:eastAsia="宋体" w:cs="宋体"/>
          <w:sz w:val="28"/>
          <w:szCs w:val="28"/>
          <w:lang w:val="en-US" w:eastAsia="zh-CN"/>
        </w:rPr>
      </w:pPr>
      <w:r>
        <w:rPr>
          <w:rFonts w:hint="eastAsia" w:ascii="宋体" w:hAnsi="宋体" w:eastAsia="宋体" w:cs="宋体"/>
          <w:sz w:val="28"/>
          <w:szCs w:val="28"/>
        </w:rPr>
        <w:t>一、部门职责及机构设置情况………………………………………………………………………………</w:t>
      </w:r>
      <w:r>
        <w:rPr>
          <w:rFonts w:hint="eastAsia" w:ascii="宋体" w:hAnsi="宋体" w:cs="宋体"/>
          <w:sz w:val="28"/>
          <w:szCs w:val="28"/>
          <w:lang w:val="en-US" w:eastAsia="zh-CN"/>
        </w:rPr>
        <w:t>18</w:t>
      </w:r>
    </w:p>
    <w:p>
      <w:pPr>
        <w:ind w:firstLine="420" w:firstLineChars="150"/>
        <w:rPr>
          <w:rFonts w:hint="eastAsia" w:ascii="宋体" w:hAnsi="宋体" w:eastAsia="宋体" w:cs="宋体"/>
          <w:sz w:val="28"/>
          <w:szCs w:val="28"/>
        </w:rPr>
      </w:pPr>
      <w:r>
        <w:rPr>
          <w:rFonts w:hint="eastAsia" w:ascii="宋体" w:hAnsi="宋体" w:eastAsia="宋体" w:cs="宋体"/>
          <w:sz w:val="28"/>
          <w:szCs w:val="28"/>
        </w:rPr>
        <w:t>二、部门预算安排的总体情况………………………………………………………………………………</w:t>
      </w:r>
      <w:r>
        <w:rPr>
          <w:rFonts w:hint="eastAsia" w:ascii="宋体" w:hAnsi="宋体" w:cs="宋体"/>
          <w:sz w:val="28"/>
          <w:szCs w:val="28"/>
          <w:lang w:val="en-US" w:eastAsia="zh-CN"/>
        </w:rPr>
        <w:t>23</w:t>
      </w:r>
    </w:p>
    <w:p>
      <w:pPr>
        <w:ind w:firstLine="420" w:firstLineChars="150"/>
        <w:rPr>
          <w:rFonts w:hint="default" w:ascii="宋体" w:hAnsi="宋体" w:eastAsia="宋体" w:cs="宋体"/>
          <w:sz w:val="28"/>
          <w:szCs w:val="28"/>
          <w:lang w:val="en-US" w:eastAsia="zh-CN"/>
        </w:rPr>
      </w:pPr>
      <w:r>
        <w:rPr>
          <w:rFonts w:hint="eastAsia" w:ascii="宋体" w:hAnsi="宋体" w:eastAsia="宋体" w:cs="宋体"/>
          <w:sz w:val="28"/>
          <w:szCs w:val="28"/>
        </w:rPr>
        <w:t>三、机关运行经费安排情况…………………………………………………………………………………</w:t>
      </w:r>
      <w:r>
        <w:rPr>
          <w:rFonts w:hint="eastAsia" w:ascii="宋体" w:hAnsi="宋体" w:cs="宋体"/>
          <w:sz w:val="28"/>
          <w:szCs w:val="28"/>
          <w:lang w:val="en-US" w:eastAsia="zh-CN"/>
        </w:rPr>
        <w:t>24</w:t>
      </w:r>
    </w:p>
    <w:p>
      <w:pPr>
        <w:ind w:firstLine="420" w:firstLineChars="150"/>
        <w:rPr>
          <w:rFonts w:hint="default" w:ascii="宋体" w:hAnsi="宋体" w:eastAsia="宋体" w:cs="宋体"/>
          <w:sz w:val="28"/>
          <w:szCs w:val="28"/>
          <w:lang w:val="en-US" w:eastAsia="zh-CN"/>
        </w:rPr>
      </w:pPr>
      <w:r>
        <w:rPr>
          <w:rFonts w:hint="eastAsia" w:ascii="宋体" w:hAnsi="宋体" w:eastAsia="宋体" w:cs="宋体"/>
          <w:sz w:val="28"/>
          <w:szCs w:val="28"/>
        </w:rPr>
        <w:t>四、财政拨款“三公”经费预算情况及增减变化原因……………………………………………………</w:t>
      </w:r>
      <w:r>
        <w:rPr>
          <w:rFonts w:hint="eastAsia" w:ascii="宋体" w:hAnsi="宋体" w:cs="宋体"/>
          <w:sz w:val="28"/>
          <w:szCs w:val="28"/>
          <w:lang w:val="en-US" w:eastAsia="zh-CN"/>
        </w:rPr>
        <w:t>24</w:t>
      </w:r>
    </w:p>
    <w:p>
      <w:pPr>
        <w:ind w:firstLine="420" w:firstLineChars="150"/>
        <w:rPr>
          <w:rFonts w:hint="default" w:ascii="宋体" w:hAnsi="宋体" w:eastAsia="宋体" w:cs="宋体"/>
          <w:sz w:val="28"/>
          <w:szCs w:val="28"/>
          <w:lang w:val="en-US" w:eastAsia="zh-CN"/>
        </w:rPr>
      </w:pPr>
      <w:r>
        <w:rPr>
          <w:rFonts w:hint="eastAsia" w:ascii="宋体" w:hAnsi="宋体" w:eastAsia="宋体" w:cs="宋体"/>
          <w:sz w:val="28"/>
          <w:szCs w:val="28"/>
        </w:rPr>
        <w:t>五、预算绩效信息……………………………………………………………………………………………</w:t>
      </w:r>
      <w:r>
        <w:rPr>
          <w:rFonts w:hint="eastAsia" w:ascii="宋体" w:hAnsi="宋体" w:cs="宋体"/>
          <w:sz w:val="28"/>
          <w:szCs w:val="28"/>
          <w:lang w:val="en-US" w:eastAsia="zh-CN"/>
        </w:rPr>
        <w:t>25</w:t>
      </w:r>
    </w:p>
    <w:p>
      <w:pPr>
        <w:ind w:firstLine="420" w:firstLineChars="150"/>
        <w:rPr>
          <w:rFonts w:hint="default" w:ascii="宋体" w:hAnsi="宋体" w:eastAsia="宋体" w:cs="宋体"/>
          <w:sz w:val="28"/>
          <w:szCs w:val="28"/>
          <w:lang w:val="en-US" w:eastAsia="zh-CN"/>
        </w:rPr>
      </w:pPr>
      <w:r>
        <w:rPr>
          <w:rFonts w:hint="eastAsia" w:ascii="宋体" w:hAnsi="宋体" w:eastAsia="宋体" w:cs="宋体"/>
          <w:sz w:val="28"/>
          <w:szCs w:val="28"/>
        </w:rPr>
        <w:t>六、政府采购预算情况………………………………………………………………………………………</w:t>
      </w:r>
      <w:r>
        <w:rPr>
          <w:rFonts w:hint="eastAsia" w:ascii="宋体" w:hAnsi="宋体" w:cs="宋体"/>
          <w:sz w:val="28"/>
          <w:szCs w:val="28"/>
          <w:lang w:val="en-US" w:eastAsia="zh-CN"/>
        </w:rPr>
        <w:t>35</w:t>
      </w:r>
    </w:p>
    <w:p>
      <w:pPr>
        <w:ind w:firstLine="420" w:firstLineChars="150"/>
        <w:rPr>
          <w:rFonts w:hint="eastAsia" w:ascii="宋体" w:hAnsi="宋体" w:cs="宋体"/>
          <w:sz w:val="28"/>
          <w:szCs w:val="28"/>
          <w:lang w:val="en-US" w:eastAsia="zh-CN"/>
        </w:rPr>
      </w:pPr>
      <w:r>
        <w:rPr>
          <w:rFonts w:hint="eastAsia" w:ascii="宋体" w:hAnsi="宋体" w:eastAsia="宋体" w:cs="宋体"/>
          <w:sz w:val="28"/>
          <w:szCs w:val="28"/>
        </w:rPr>
        <w:t>七、国有资产信息……………………………………………………………………………………………</w:t>
      </w:r>
      <w:r>
        <w:rPr>
          <w:rFonts w:hint="eastAsia" w:ascii="宋体" w:hAnsi="宋体" w:cs="宋体"/>
          <w:sz w:val="28"/>
          <w:szCs w:val="28"/>
          <w:lang w:val="en-US" w:eastAsia="zh-CN"/>
        </w:rPr>
        <w:t>36</w:t>
      </w:r>
    </w:p>
    <w:p>
      <w:pPr>
        <w:ind w:firstLine="420" w:firstLineChars="150"/>
        <w:rPr>
          <w:rFonts w:hint="eastAsia" w:ascii="宋体" w:hAnsi="宋体" w:cs="宋体"/>
          <w:sz w:val="28"/>
          <w:szCs w:val="28"/>
          <w:lang w:val="en-US" w:eastAsia="zh-CN"/>
        </w:rPr>
      </w:pPr>
      <w:r>
        <w:rPr>
          <w:rFonts w:hint="eastAsia" w:ascii="宋体" w:hAnsi="宋体" w:eastAsia="宋体" w:cs="宋体"/>
          <w:sz w:val="28"/>
          <w:szCs w:val="28"/>
        </w:rPr>
        <w:t>八、名词解释…………………………………………………………………………………………………</w:t>
      </w:r>
      <w:r>
        <w:rPr>
          <w:rFonts w:hint="eastAsia" w:ascii="宋体" w:hAnsi="宋体" w:cs="宋体"/>
          <w:sz w:val="28"/>
          <w:szCs w:val="28"/>
          <w:lang w:val="en-US" w:eastAsia="zh-CN"/>
        </w:rPr>
        <w:t>36</w:t>
      </w:r>
    </w:p>
    <w:p>
      <w:pPr>
        <w:ind w:firstLine="420" w:firstLineChars="150"/>
        <w:rPr>
          <w:rFonts w:hint="default" w:ascii="宋体" w:hAnsi="宋体" w:eastAsia="宋体" w:cs="宋体"/>
          <w:sz w:val="28"/>
          <w:szCs w:val="28"/>
          <w:lang w:val="en-US" w:eastAsia="zh-CN"/>
        </w:rPr>
      </w:pPr>
      <w:r>
        <w:rPr>
          <w:rFonts w:hint="eastAsia" w:ascii="宋体" w:hAnsi="宋体" w:eastAsia="宋体" w:cs="宋体"/>
          <w:sz w:val="28"/>
          <w:szCs w:val="28"/>
        </w:rPr>
        <w:t>九、其他需要说明的事项……………………………………………………………………………………</w:t>
      </w:r>
      <w:r>
        <w:rPr>
          <w:rFonts w:hint="eastAsia" w:ascii="宋体" w:hAnsi="宋体" w:cs="宋体"/>
          <w:sz w:val="28"/>
          <w:szCs w:val="28"/>
          <w:lang w:val="en-US" w:eastAsia="zh-CN"/>
        </w:rPr>
        <w:t>37</w:t>
      </w:r>
    </w:p>
    <w:p>
      <w:pPr>
        <w:jc w:val="center"/>
        <w:rPr>
          <w:rFonts w:ascii="宋体" w:hAnsi="宋体"/>
          <w:b/>
          <w:sz w:val="44"/>
        </w:rPr>
      </w:pPr>
    </w:p>
    <w:p>
      <w:pPr>
        <w:jc w:val="center"/>
        <w:rPr>
          <w:rFonts w:hint="eastAsia" w:ascii="宋体" w:hAnsi="宋体"/>
          <w:b/>
          <w:sz w:val="44"/>
        </w:rPr>
      </w:pPr>
    </w:p>
    <w:p/>
    <w:p/>
    <w:p/>
    <w:p/>
    <w:p/>
    <w:p/>
    <w:p/>
    <w:p/>
    <w:p/>
    <w:tbl>
      <w:tblPr>
        <w:tblStyle w:val="4"/>
        <w:tblW w:w="15048" w:type="dxa"/>
        <w:tblInd w:w="0" w:type="dxa"/>
        <w:shd w:val="clear" w:color="auto" w:fill="auto"/>
        <w:tblLayout w:type="autofit"/>
        <w:tblCellMar>
          <w:top w:w="0" w:type="dxa"/>
          <w:left w:w="0" w:type="dxa"/>
          <w:bottom w:w="0" w:type="dxa"/>
          <w:right w:w="0" w:type="dxa"/>
        </w:tblCellMar>
      </w:tblPr>
      <w:tblGrid>
        <w:gridCol w:w="1430"/>
        <w:gridCol w:w="2364"/>
        <w:gridCol w:w="3735"/>
        <w:gridCol w:w="3783"/>
        <w:gridCol w:w="3736"/>
      </w:tblGrid>
      <w:tr>
        <w:tblPrEx>
          <w:tblCellMar>
            <w:top w:w="0" w:type="dxa"/>
            <w:left w:w="0" w:type="dxa"/>
            <w:bottom w:w="0" w:type="dxa"/>
            <w:right w:w="0" w:type="dxa"/>
          </w:tblCellMar>
        </w:tblPrEx>
        <w:trPr>
          <w:trHeight w:val="750" w:hRule="atLeast"/>
        </w:trPr>
        <w:tc>
          <w:tcPr>
            <w:tcW w:w="15053" w:type="dxa"/>
            <w:gridSpan w:val="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部门预算收支总表</w:t>
            </w:r>
          </w:p>
        </w:tc>
      </w:tr>
      <w:tr>
        <w:tblPrEx>
          <w:tblCellMar>
            <w:top w:w="0" w:type="dxa"/>
            <w:left w:w="0" w:type="dxa"/>
            <w:bottom w:w="0" w:type="dxa"/>
            <w:right w:w="0" w:type="dxa"/>
          </w:tblCellMar>
        </w:tblPrEx>
        <w:trPr>
          <w:trHeight w:val="300" w:hRule="atLeast"/>
        </w:trPr>
        <w:tc>
          <w:tcPr>
            <w:tcW w:w="7439"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3807"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预算年度：2019</w:t>
            </w:r>
          </w:p>
        </w:tc>
        <w:tc>
          <w:tcPr>
            <w:tcW w:w="3807"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00" w:hRule="atLeast"/>
        </w:trPr>
        <w:tc>
          <w:tcPr>
            <w:tcW w:w="14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98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761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CellMar>
            <w:top w:w="0" w:type="dxa"/>
            <w:left w:w="0" w:type="dxa"/>
            <w:bottom w:w="0" w:type="dxa"/>
            <w:right w:w="0" w:type="dxa"/>
          </w:tblCellMar>
        </w:tblPrEx>
        <w:trPr>
          <w:trHeight w:val="300" w:hRule="atLeast"/>
        </w:trPr>
        <w:tc>
          <w:tcPr>
            <w:tcW w:w="14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r>
      <w:tr>
        <w:tblPrEx>
          <w:shd w:val="clear" w:color="auto" w:fill="auto"/>
          <w:tblCellMar>
            <w:top w:w="0" w:type="dxa"/>
            <w:left w:w="0" w:type="dxa"/>
            <w:bottom w:w="0" w:type="dxa"/>
            <w:right w:w="0" w:type="dxa"/>
          </w:tblCellMar>
        </w:tblPrEx>
        <w:trPr>
          <w:trHeight w:val="30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205.37</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二、上级拨款收入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49.07</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26.47</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53.21</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r>
    </w:tbl>
    <w:p/>
    <w:p/>
    <w:p/>
    <w:p/>
    <w:p/>
    <w:p/>
    <w:p/>
    <w:p/>
    <w:p/>
    <w:p/>
    <w:p/>
    <w:p/>
    <w:p/>
    <w:p/>
    <w:p/>
    <w:p/>
    <w:p/>
    <w:p/>
    <w:tbl>
      <w:tblPr>
        <w:tblStyle w:val="4"/>
        <w:tblW w:w="14389" w:type="dxa"/>
        <w:tblInd w:w="0" w:type="dxa"/>
        <w:shd w:val="clear" w:color="auto" w:fill="auto"/>
        <w:tblLayout w:type="autofit"/>
        <w:tblCellMar>
          <w:top w:w="0" w:type="dxa"/>
          <w:left w:w="0" w:type="dxa"/>
          <w:bottom w:w="0" w:type="dxa"/>
          <w:right w:w="0" w:type="dxa"/>
        </w:tblCellMar>
      </w:tblPr>
      <w:tblGrid>
        <w:gridCol w:w="674"/>
        <w:gridCol w:w="1484"/>
        <w:gridCol w:w="3051"/>
        <w:gridCol w:w="1080"/>
        <w:gridCol w:w="1080"/>
        <w:gridCol w:w="1080"/>
        <w:gridCol w:w="1080"/>
        <w:gridCol w:w="1620"/>
        <w:gridCol w:w="1080"/>
        <w:gridCol w:w="1080"/>
        <w:gridCol w:w="1080"/>
      </w:tblGrid>
      <w:tr>
        <w:tblPrEx>
          <w:shd w:val="clear" w:color="auto" w:fill="auto"/>
          <w:tblCellMar>
            <w:top w:w="0" w:type="dxa"/>
            <w:left w:w="0" w:type="dxa"/>
            <w:bottom w:w="0" w:type="dxa"/>
            <w:right w:w="0" w:type="dxa"/>
          </w:tblCellMar>
        </w:tblPrEx>
        <w:trPr>
          <w:trHeight w:val="750" w:hRule="atLeast"/>
        </w:trPr>
        <w:tc>
          <w:tcPr>
            <w:tcW w:w="14391"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部门预算收入总表</w:t>
            </w:r>
          </w:p>
        </w:tc>
      </w:tr>
      <w:tr>
        <w:tblPrEx>
          <w:tblCellMar>
            <w:top w:w="0" w:type="dxa"/>
            <w:left w:w="0" w:type="dxa"/>
            <w:bottom w:w="0" w:type="dxa"/>
            <w:right w:w="0" w:type="dxa"/>
          </w:tblCellMar>
        </w:tblPrEx>
        <w:trPr>
          <w:trHeight w:val="300" w:hRule="atLeast"/>
        </w:trPr>
        <w:tc>
          <w:tcPr>
            <w:tcW w:w="9531" w:type="dxa"/>
            <w:gridSpan w:val="7"/>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2700"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预算年度：2019</w:t>
            </w:r>
          </w:p>
        </w:tc>
        <w:tc>
          <w:tcPr>
            <w:tcW w:w="2160"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r>
      <w:tr>
        <w:tblPrEx>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30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其中：财政专户收入</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技术推广与转化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bl>
    <w:p/>
    <w:p/>
    <w:p/>
    <w:p/>
    <w:p/>
    <w:tbl>
      <w:tblPr>
        <w:tblStyle w:val="4"/>
        <w:tblW w:w="14305" w:type="dxa"/>
        <w:tblInd w:w="0" w:type="dxa"/>
        <w:shd w:val="clear" w:color="auto" w:fill="auto"/>
        <w:tblLayout w:type="autofit"/>
        <w:tblCellMar>
          <w:top w:w="0" w:type="dxa"/>
          <w:left w:w="0" w:type="dxa"/>
          <w:bottom w:w="0" w:type="dxa"/>
          <w:right w:w="0" w:type="dxa"/>
        </w:tblCellMar>
      </w:tblPr>
      <w:tblGrid>
        <w:gridCol w:w="1660"/>
        <w:gridCol w:w="1309"/>
        <w:gridCol w:w="2928"/>
        <w:gridCol w:w="1606"/>
        <w:gridCol w:w="1451"/>
        <w:gridCol w:w="1115"/>
        <w:gridCol w:w="1139"/>
        <w:gridCol w:w="1235"/>
        <w:gridCol w:w="1862"/>
      </w:tblGrid>
      <w:tr>
        <w:tblPrEx>
          <w:tblCellMar>
            <w:top w:w="0" w:type="dxa"/>
            <w:left w:w="0" w:type="dxa"/>
            <w:bottom w:w="0" w:type="dxa"/>
            <w:right w:w="0" w:type="dxa"/>
          </w:tblCellMar>
        </w:tblPrEx>
        <w:trPr>
          <w:trHeight w:val="1140" w:hRule="atLeast"/>
        </w:trPr>
        <w:tc>
          <w:tcPr>
            <w:tcW w:w="14313" w:type="dxa"/>
            <w:gridSpan w:val="9"/>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部门预算支出总表</w:t>
            </w:r>
          </w:p>
        </w:tc>
      </w:tr>
      <w:tr>
        <w:tblPrEx>
          <w:shd w:val="clear" w:color="auto" w:fill="auto"/>
          <w:tblCellMar>
            <w:top w:w="0" w:type="dxa"/>
            <w:left w:w="0" w:type="dxa"/>
            <w:bottom w:w="0" w:type="dxa"/>
            <w:right w:w="0" w:type="dxa"/>
          </w:tblCellMar>
        </w:tblPrEx>
        <w:trPr>
          <w:trHeight w:val="288" w:hRule="atLeast"/>
        </w:trPr>
        <w:tc>
          <w:tcPr>
            <w:tcW w:w="8958" w:type="dxa"/>
            <w:gridSpan w:val="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225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预算年度：2019</w:t>
            </w:r>
          </w:p>
        </w:tc>
        <w:tc>
          <w:tcPr>
            <w:tcW w:w="3099"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CellMar>
            <w:top w:w="0" w:type="dxa"/>
            <w:left w:w="0" w:type="dxa"/>
            <w:bottom w:w="0" w:type="dxa"/>
            <w:right w:w="0" w:type="dxa"/>
          </w:tblCellMar>
        </w:tblPrEx>
        <w:trPr>
          <w:trHeight w:val="288"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23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16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18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CellMar>
            <w:top w:w="0" w:type="dxa"/>
            <w:left w:w="0" w:type="dxa"/>
            <w:bottom w:w="0" w:type="dxa"/>
            <w:right w:w="0" w:type="dxa"/>
          </w:tblCellMar>
        </w:tblPrEx>
        <w:trPr>
          <w:trHeight w:val="432"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8"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技术推广与转化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bl>
    <w:p/>
    <w:p/>
    <w:p/>
    <w:tbl>
      <w:tblPr>
        <w:tblStyle w:val="4"/>
        <w:tblW w:w="14113" w:type="dxa"/>
        <w:tblInd w:w="0" w:type="dxa"/>
        <w:shd w:val="clear" w:color="auto" w:fill="auto"/>
        <w:tblLayout w:type="autofit"/>
        <w:tblCellMar>
          <w:top w:w="0" w:type="dxa"/>
          <w:left w:w="0" w:type="dxa"/>
          <w:bottom w:w="0" w:type="dxa"/>
          <w:right w:w="0" w:type="dxa"/>
        </w:tblCellMar>
      </w:tblPr>
      <w:tblGrid>
        <w:gridCol w:w="1105"/>
        <w:gridCol w:w="2714"/>
        <w:gridCol w:w="1139"/>
        <w:gridCol w:w="2952"/>
        <w:gridCol w:w="1552"/>
        <w:gridCol w:w="1559"/>
        <w:gridCol w:w="1438"/>
        <w:gridCol w:w="1654"/>
      </w:tblGrid>
      <w:tr>
        <w:tblPrEx>
          <w:tblCellMar>
            <w:top w:w="0" w:type="dxa"/>
            <w:left w:w="0" w:type="dxa"/>
            <w:bottom w:w="0" w:type="dxa"/>
            <w:right w:w="0" w:type="dxa"/>
          </w:tblCellMar>
        </w:tblPrEx>
        <w:trPr>
          <w:trHeight w:val="900" w:hRule="atLeast"/>
        </w:trPr>
        <w:tc>
          <w:tcPr>
            <w:tcW w:w="14122"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部门预算财政拨款收支总表</w:t>
            </w:r>
          </w:p>
        </w:tc>
      </w:tr>
      <w:tr>
        <w:tblPrEx>
          <w:shd w:val="clear" w:color="auto" w:fill="auto"/>
          <w:tblCellMar>
            <w:top w:w="0" w:type="dxa"/>
            <w:left w:w="0" w:type="dxa"/>
            <w:bottom w:w="0" w:type="dxa"/>
            <w:right w:w="0" w:type="dxa"/>
          </w:tblCellMar>
        </w:tblPrEx>
        <w:trPr>
          <w:trHeight w:val="288" w:hRule="atLeast"/>
        </w:trPr>
        <w:tc>
          <w:tcPr>
            <w:tcW w:w="7913" w:type="dxa"/>
            <w:gridSpan w:val="4"/>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3113"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预算年度：2019</w:t>
            </w:r>
          </w:p>
        </w:tc>
        <w:tc>
          <w:tcPr>
            <w:tcW w:w="309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288"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85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916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shd w:val="clear" w:color="auto" w:fill="auto"/>
          <w:tblCellMar>
            <w:top w:w="0" w:type="dxa"/>
            <w:left w:w="0" w:type="dxa"/>
            <w:bottom w:w="0" w:type="dxa"/>
            <w:right w:w="0" w:type="dxa"/>
          </w:tblCellMar>
        </w:tblPrEx>
        <w:trPr>
          <w:trHeight w:val="432"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CellMar>
            <w:top w:w="0" w:type="dxa"/>
            <w:left w:w="0" w:type="dxa"/>
            <w:bottom w:w="0" w:type="dxa"/>
            <w:right w:w="0" w:type="dxa"/>
          </w:tblCellMar>
        </w:tblPrEx>
        <w:trPr>
          <w:trHeight w:val="288"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bl>
    <w:p/>
    <w:p/>
    <w:p/>
    <w:p/>
    <w:p/>
    <w:p/>
    <w:p/>
    <w:p/>
    <w:p/>
    <w:p/>
    <w:p/>
    <w:p/>
    <w:p/>
    <w:p/>
    <w:p/>
    <w:tbl>
      <w:tblPr>
        <w:tblStyle w:val="4"/>
        <w:tblW w:w="12589" w:type="dxa"/>
        <w:tblInd w:w="0" w:type="dxa"/>
        <w:shd w:val="clear" w:color="auto" w:fill="auto"/>
        <w:tblLayout w:type="autofit"/>
        <w:tblCellMar>
          <w:top w:w="0" w:type="dxa"/>
          <w:left w:w="0" w:type="dxa"/>
          <w:bottom w:w="0" w:type="dxa"/>
          <w:right w:w="0" w:type="dxa"/>
        </w:tblCellMar>
      </w:tblPr>
      <w:tblGrid>
        <w:gridCol w:w="1430"/>
        <w:gridCol w:w="1565"/>
        <w:gridCol w:w="3577"/>
        <w:gridCol w:w="1876"/>
        <w:gridCol w:w="2307"/>
        <w:gridCol w:w="1834"/>
      </w:tblGrid>
      <w:tr>
        <w:trPr>
          <w:trHeight w:val="1020" w:hRule="atLeast"/>
        </w:trPr>
        <w:tc>
          <w:tcPr>
            <w:tcW w:w="12597"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部门预算一般公共预算财政拨款支出表</w:t>
            </w:r>
          </w:p>
        </w:tc>
      </w:tr>
      <w:tr>
        <w:tblPrEx>
          <w:shd w:val="clear" w:color="auto" w:fill="auto"/>
          <w:tblCellMar>
            <w:top w:w="0" w:type="dxa"/>
            <w:left w:w="0" w:type="dxa"/>
            <w:bottom w:w="0" w:type="dxa"/>
            <w:right w:w="0" w:type="dxa"/>
          </w:tblCellMar>
        </w:tblPrEx>
        <w:trPr>
          <w:trHeight w:val="288" w:hRule="atLeast"/>
        </w:trPr>
        <w:tc>
          <w:tcPr>
            <w:tcW w:w="8452" w:type="dxa"/>
            <w:gridSpan w:val="4"/>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2309"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预算年度：2019</w:t>
            </w:r>
          </w:p>
        </w:tc>
        <w:tc>
          <w:tcPr>
            <w:tcW w:w="1836"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CellMar>
            <w:top w:w="0" w:type="dxa"/>
            <w:left w:w="0" w:type="dxa"/>
            <w:bottom w:w="0" w:type="dxa"/>
            <w:right w:w="0" w:type="dxa"/>
          </w:tblCellMar>
        </w:tblPrEx>
        <w:trPr>
          <w:trHeight w:val="288" w:hRule="atLeast"/>
        </w:trPr>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1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shd w:val="clear" w:color="auto" w:fill="auto"/>
          <w:tblCellMar>
            <w:top w:w="0" w:type="dxa"/>
            <w:left w:w="0" w:type="dxa"/>
            <w:bottom w:w="0" w:type="dxa"/>
            <w:right w:w="0" w:type="dxa"/>
          </w:tblCellMar>
        </w:tblPrEx>
        <w:trPr>
          <w:trHeight w:val="288"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35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5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55.61</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0.98</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42.80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技术推广与转化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bl>
    <w:p/>
    <w:p/>
    <w:p/>
    <w:p/>
    <w:tbl>
      <w:tblPr>
        <w:tblStyle w:val="4"/>
        <w:tblW w:w="12133" w:type="dxa"/>
        <w:tblInd w:w="0" w:type="dxa"/>
        <w:shd w:val="clear" w:color="auto" w:fill="auto"/>
        <w:tblLayout w:type="autofit"/>
        <w:tblCellMar>
          <w:top w:w="0" w:type="dxa"/>
          <w:left w:w="0" w:type="dxa"/>
          <w:bottom w:w="0" w:type="dxa"/>
          <w:right w:w="0" w:type="dxa"/>
        </w:tblCellMar>
      </w:tblPr>
      <w:tblGrid>
        <w:gridCol w:w="1965"/>
        <w:gridCol w:w="2035"/>
        <w:gridCol w:w="2544"/>
        <w:gridCol w:w="1848"/>
        <w:gridCol w:w="1930"/>
        <w:gridCol w:w="1811"/>
      </w:tblGrid>
      <w:tr>
        <w:trPr>
          <w:trHeight w:val="1020" w:hRule="atLeast"/>
        </w:trPr>
        <w:tc>
          <w:tcPr>
            <w:tcW w:w="12143"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部门预算一般公共预算财政拨款基本支出表</w:t>
            </w:r>
          </w:p>
        </w:tc>
      </w:tr>
      <w:tr>
        <w:tblPrEx>
          <w:tblCellMar>
            <w:top w:w="0" w:type="dxa"/>
            <w:left w:w="0" w:type="dxa"/>
            <w:bottom w:w="0" w:type="dxa"/>
            <w:right w:w="0" w:type="dxa"/>
          </w:tblCellMar>
        </w:tblPrEx>
        <w:trPr>
          <w:trHeight w:val="288" w:hRule="atLeast"/>
        </w:trPr>
        <w:tc>
          <w:tcPr>
            <w:tcW w:w="8351" w:type="dxa"/>
            <w:gridSpan w:val="4"/>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1956"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预算年度：2019</w:t>
            </w:r>
          </w:p>
        </w:tc>
        <w:tc>
          <w:tcPr>
            <w:tcW w:w="1836"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288" w:hRule="atLeast"/>
        </w:trPr>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48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566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r>
      <w:tr>
        <w:tblPrEx>
          <w:tblCellMar>
            <w:top w:w="0" w:type="dxa"/>
            <w:left w:w="0" w:type="dxa"/>
            <w:bottom w:w="0" w:type="dxa"/>
            <w:right w:w="0" w:type="dxa"/>
          </w:tblCellMar>
        </w:tblPrEx>
        <w:trPr>
          <w:trHeight w:val="288" w:hRule="atLeast"/>
        </w:trPr>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经济分类科目编码</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9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CellMar>
            <w:top w:w="0" w:type="dxa"/>
            <w:left w:w="0" w:type="dxa"/>
            <w:bottom w:w="0" w:type="dxa"/>
            <w:right w:w="0" w:type="dxa"/>
          </w:tblCellMar>
        </w:tblPrEx>
        <w:trPr>
          <w:trHeight w:val="288"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bl>
    <w:p/>
    <w:p/>
    <w:p/>
    <w:p/>
    <w:p/>
    <w:p/>
    <w:p/>
    <w:p/>
    <w:p/>
    <w:p/>
    <w:p/>
    <w:p/>
    <w:p/>
    <w:p/>
    <w:p/>
    <w:p/>
    <w:p/>
    <w:p/>
    <w:p/>
    <w:p/>
    <w:p/>
    <w:p/>
    <w:p/>
    <w:p/>
    <w:p/>
    <w:p/>
    <w:p/>
    <w:tbl>
      <w:tblPr>
        <w:tblStyle w:val="4"/>
        <w:tblW w:w="13284" w:type="dxa"/>
        <w:tblInd w:w="0" w:type="dxa"/>
        <w:shd w:val="clear" w:color="auto" w:fill="auto"/>
        <w:tblLayout w:type="autofit"/>
        <w:tblCellMar>
          <w:top w:w="0" w:type="dxa"/>
          <w:left w:w="0" w:type="dxa"/>
          <w:bottom w:w="0" w:type="dxa"/>
          <w:right w:w="0" w:type="dxa"/>
        </w:tblCellMar>
      </w:tblPr>
      <w:tblGrid>
        <w:gridCol w:w="1832"/>
        <w:gridCol w:w="3984"/>
        <w:gridCol w:w="1867"/>
        <w:gridCol w:w="1867"/>
        <w:gridCol w:w="1867"/>
        <w:gridCol w:w="1867"/>
      </w:tblGrid>
      <w:tr>
        <w:tblPrEx>
          <w:shd w:val="clear" w:color="auto" w:fill="auto"/>
          <w:tblCellMar>
            <w:top w:w="0" w:type="dxa"/>
            <w:left w:w="0" w:type="dxa"/>
            <w:bottom w:w="0" w:type="dxa"/>
            <w:right w:w="0" w:type="dxa"/>
          </w:tblCellMar>
        </w:tblPrEx>
        <w:trPr>
          <w:trHeight w:val="825" w:hRule="atLeast"/>
        </w:trPr>
        <w:tc>
          <w:tcPr>
            <w:tcW w:w="13284"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部门预算政府基金预算财政拨款支出表</w:t>
            </w:r>
          </w:p>
        </w:tc>
      </w:tr>
      <w:tr>
        <w:tblPrEx>
          <w:tblCellMar>
            <w:top w:w="0" w:type="dxa"/>
            <w:left w:w="0" w:type="dxa"/>
            <w:bottom w:w="0" w:type="dxa"/>
            <w:right w:w="0" w:type="dxa"/>
          </w:tblCellMar>
        </w:tblPrEx>
        <w:trPr>
          <w:trHeight w:val="495" w:hRule="atLeast"/>
        </w:trPr>
        <w:tc>
          <w:tcPr>
            <w:tcW w:w="9550" w:type="dxa"/>
            <w:gridSpan w:val="4"/>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1867"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预算年度：2019</w:t>
            </w:r>
          </w:p>
        </w:tc>
        <w:tc>
          <w:tcPr>
            <w:tcW w:w="1867"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288" w:hRule="atLeast"/>
        </w:trPr>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CellMar>
            <w:top w:w="0" w:type="dxa"/>
            <w:left w:w="0" w:type="dxa"/>
            <w:bottom w:w="0" w:type="dxa"/>
            <w:right w:w="0" w:type="dxa"/>
          </w:tblCellMar>
        </w:tblPrEx>
        <w:trPr>
          <w:trHeight w:val="288" w:hRule="atLeast"/>
        </w:trPr>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8" w:hRule="atLeast"/>
        </w:trPr>
        <w:tc>
          <w:tcPr>
            <w:tcW w:w="183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98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6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6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6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28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13284" w:type="dxa"/>
            <w:gridSpan w:val="6"/>
            <w:tcBorders>
              <w:top w:val="single" w:color="auto" w:sz="4" w:space="0"/>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注：我单位无政府基金预算，空表列示。</w:t>
            </w:r>
          </w:p>
        </w:tc>
      </w:tr>
    </w:tbl>
    <w:p/>
    <w:p/>
    <w:p/>
    <w:p/>
    <w:p/>
    <w:p/>
    <w:p/>
    <w:p/>
    <w:p/>
    <w:p/>
    <w:p/>
    <w:p/>
    <w:p/>
    <w:p/>
    <w:p/>
    <w:p/>
    <w:p/>
    <w:p/>
    <w:p/>
    <w:tbl>
      <w:tblPr>
        <w:tblStyle w:val="4"/>
        <w:tblW w:w="13020" w:type="dxa"/>
        <w:tblInd w:w="0" w:type="dxa"/>
        <w:shd w:val="clear" w:color="auto" w:fill="auto"/>
        <w:tblLayout w:type="autofit"/>
        <w:tblCellMar>
          <w:top w:w="0" w:type="dxa"/>
          <w:left w:w="0" w:type="dxa"/>
          <w:bottom w:w="0" w:type="dxa"/>
          <w:right w:w="0" w:type="dxa"/>
        </w:tblCellMar>
      </w:tblPr>
      <w:tblGrid>
        <w:gridCol w:w="675"/>
        <w:gridCol w:w="1552"/>
        <w:gridCol w:w="2699"/>
        <w:gridCol w:w="2698"/>
        <w:gridCol w:w="2698"/>
        <w:gridCol w:w="2698"/>
      </w:tblGrid>
      <w:tr>
        <w:tblPrEx>
          <w:tblCellMar>
            <w:top w:w="0" w:type="dxa"/>
            <w:left w:w="0" w:type="dxa"/>
            <w:bottom w:w="0" w:type="dxa"/>
            <w:right w:w="0" w:type="dxa"/>
          </w:tblCellMar>
        </w:tblPrEx>
        <w:trPr>
          <w:trHeight w:val="750" w:hRule="atLeast"/>
        </w:trPr>
        <w:tc>
          <w:tcPr>
            <w:tcW w:w="13028"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部门预算国有资本经营预算财政拨款支出表</w:t>
            </w:r>
          </w:p>
        </w:tc>
      </w:tr>
      <w:tr>
        <w:tblPrEx>
          <w:tblCellMar>
            <w:top w:w="0" w:type="dxa"/>
            <w:left w:w="0" w:type="dxa"/>
            <w:bottom w:w="0" w:type="dxa"/>
            <w:right w:w="0" w:type="dxa"/>
          </w:tblCellMar>
        </w:tblPrEx>
        <w:trPr>
          <w:trHeight w:val="300" w:hRule="atLeast"/>
        </w:trPr>
        <w:tc>
          <w:tcPr>
            <w:tcW w:w="7628" w:type="dxa"/>
            <w:gridSpan w:val="4"/>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2700"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预算年度：2019</w:t>
            </w:r>
          </w:p>
        </w:tc>
        <w:tc>
          <w:tcPr>
            <w:tcW w:w="2700"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25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gridSpan w:val="3"/>
            <w:tcBorders>
              <w:top w:val="single" w:color="000000" w:sz="4" w:space="0"/>
              <w:left w:val="nil"/>
              <w:bottom w:val="nil"/>
              <w:right w:val="nil"/>
            </w:tcBorders>
            <w:shd w:val="clear" w:color="auto" w:fill="auto"/>
            <w:noWrap/>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注：我单位无国有资本经营预算，空表列示。</w:t>
            </w:r>
          </w:p>
        </w:tc>
        <w:tc>
          <w:tcPr>
            <w:tcW w:w="0" w:type="auto"/>
            <w:tcBorders>
              <w:top w:val="nil"/>
              <w:left w:val="nil"/>
              <w:bottom w:val="nil"/>
              <w:right w:val="nil"/>
            </w:tcBorders>
            <w:shd w:val="clear" w:color="auto" w:fill="auto"/>
            <w:noWrap/>
            <w:tcMar>
              <w:top w:w="12" w:type="dxa"/>
              <w:left w:w="12" w:type="dxa"/>
              <w:right w:w="12" w:type="dxa"/>
            </w:tcMar>
            <w:vAlign w:val="top"/>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top"/>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top"/>
          </w:tcPr>
          <w:p>
            <w:pPr>
              <w:rPr>
                <w:rFonts w:hint="eastAsia" w:ascii="宋体" w:hAnsi="宋体" w:eastAsia="宋体" w:cs="宋体"/>
                <w:i w:val="0"/>
                <w:color w:val="000000"/>
                <w:sz w:val="18"/>
                <w:szCs w:val="18"/>
                <w:u w:val="none"/>
              </w:rPr>
            </w:pPr>
          </w:p>
        </w:tc>
      </w:tr>
    </w:tbl>
    <w:p/>
    <w:p/>
    <w:p/>
    <w:p/>
    <w:p/>
    <w:p/>
    <w:p/>
    <w:p/>
    <w:p/>
    <w:p/>
    <w:p/>
    <w:p/>
    <w:p/>
    <w:p/>
    <w:p/>
    <w:p/>
    <w:p/>
    <w:p/>
    <w:p/>
    <w:tbl>
      <w:tblPr>
        <w:tblStyle w:val="4"/>
        <w:tblW w:w="14917" w:type="dxa"/>
        <w:tblInd w:w="0" w:type="dxa"/>
        <w:shd w:val="clear" w:color="auto" w:fill="auto"/>
        <w:tblLayout w:type="autofit"/>
        <w:tblCellMar>
          <w:top w:w="0" w:type="dxa"/>
          <w:left w:w="0" w:type="dxa"/>
          <w:bottom w:w="0" w:type="dxa"/>
          <w:right w:w="0" w:type="dxa"/>
        </w:tblCellMar>
      </w:tblPr>
      <w:tblGrid>
        <w:gridCol w:w="1896"/>
        <w:gridCol w:w="3444"/>
        <w:gridCol w:w="1920"/>
        <w:gridCol w:w="1920"/>
        <w:gridCol w:w="1912"/>
        <w:gridCol w:w="1912"/>
        <w:gridCol w:w="1913"/>
      </w:tblGrid>
      <w:tr>
        <w:tblPrEx>
          <w:shd w:val="clear" w:color="auto" w:fill="auto"/>
          <w:tblCellMar>
            <w:top w:w="0" w:type="dxa"/>
            <w:left w:w="0" w:type="dxa"/>
            <w:bottom w:w="0" w:type="dxa"/>
            <w:right w:w="0" w:type="dxa"/>
          </w:tblCellMar>
        </w:tblPrEx>
        <w:trPr>
          <w:trHeight w:val="930" w:hRule="atLeast"/>
        </w:trPr>
        <w:tc>
          <w:tcPr>
            <w:tcW w:w="14921" w:type="dxa"/>
            <w:gridSpan w:val="7"/>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部门预算财政拨款“三公”经费支出表</w:t>
            </w:r>
          </w:p>
        </w:tc>
      </w:tr>
      <w:tr>
        <w:tblPrEx>
          <w:tblCellMar>
            <w:top w:w="0" w:type="dxa"/>
            <w:left w:w="0" w:type="dxa"/>
            <w:bottom w:w="0" w:type="dxa"/>
            <w:right w:w="0" w:type="dxa"/>
          </w:tblCellMar>
        </w:tblPrEx>
        <w:trPr>
          <w:trHeight w:val="288" w:hRule="atLeast"/>
        </w:trPr>
        <w:tc>
          <w:tcPr>
            <w:tcW w:w="10789" w:type="dxa"/>
            <w:gridSpan w:val="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部门编码及名称：[994]涞源县塔崖驿乡人民政府</w:t>
            </w:r>
          </w:p>
        </w:tc>
        <w:tc>
          <w:tcPr>
            <w:tcW w:w="2066"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预算年度：2019</w:t>
            </w:r>
          </w:p>
        </w:tc>
        <w:tc>
          <w:tcPr>
            <w:tcW w:w="2066"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288" w:hRule="atLeast"/>
        </w:trPr>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033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资金来源</w:t>
            </w:r>
          </w:p>
        </w:tc>
      </w:tr>
      <w:tr>
        <w:tblPrEx>
          <w:tblCellMar>
            <w:top w:w="0" w:type="dxa"/>
            <w:left w:w="0" w:type="dxa"/>
            <w:bottom w:w="0" w:type="dxa"/>
            <w:right w:w="0" w:type="dxa"/>
          </w:tblCellMar>
        </w:tblPrEx>
        <w:trPr>
          <w:trHeight w:val="432" w:hRule="atLeast"/>
        </w:trPr>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财政专户核拨资金</w:t>
            </w:r>
          </w:p>
        </w:tc>
      </w:tr>
      <w:tr>
        <w:tblPrEx>
          <w:tblCellMar>
            <w:top w:w="0" w:type="dxa"/>
            <w:left w:w="0" w:type="dxa"/>
            <w:bottom w:w="0" w:type="dxa"/>
            <w:right w:w="0" w:type="dxa"/>
          </w:tblCellMar>
        </w:tblPrEx>
        <w:trPr>
          <w:trHeight w:val="288"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bl>
    <w:p/>
    <w:p/>
    <w:p/>
    <w:p/>
    <w:p/>
    <w:p/>
    <w:p/>
    <w:p/>
    <w:p/>
    <w:p>
      <w:pPr>
        <w:tabs>
          <w:tab w:val="center" w:pos="7463"/>
          <w:tab w:val="left" w:pos="13242"/>
        </w:tabs>
        <w:jc w:val="center"/>
        <w:rPr>
          <w:rFonts w:hint="eastAsia" w:ascii="宋体" w:hAnsi="宋体" w:cs="宋体"/>
          <w:b/>
          <w:bCs/>
          <w:sz w:val="44"/>
          <w:szCs w:val="44"/>
        </w:rPr>
      </w:pPr>
    </w:p>
    <w:p>
      <w:pPr>
        <w:tabs>
          <w:tab w:val="center" w:pos="7463"/>
          <w:tab w:val="left" w:pos="13242"/>
        </w:tabs>
        <w:jc w:val="both"/>
        <w:rPr>
          <w:rFonts w:hint="eastAsia" w:ascii="宋体" w:hAnsi="宋体" w:cs="宋体"/>
          <w:b/>
          <w:bCs/>
          <w:sz w:val="44"/>
          <w:szCs w:val="44"/>
        </w:rPr>
      </w:pPr>
    </w:p>
    <w:p>
      <w:pPr>
        <w:tabs>
          <w:tab w:val="center" w:pos="7463"/>
          <w:tab w:val="left" w:pos="13242"/>
        </w:tabs>
        <w:jc w:val="center"/>
        <w:rPr>
          <w:rFonts w:hint="eastAsia" w:ascii="宋体" w:hAnsi="宋体" w:cs="宋体"/>
          <w:b/>
          <w:bCs/>
          <w:sz w:val="44"/>
          <w:szCs w:val="44"/>
        </w:rPr>
      </w:pPr>
      <w:r>
        <w:rPr>
          <w:rFonts w:hint="eastAsia" w:ascii="宋体" w:hAnsi="宋体" w:cs="宋体"/>
          <w:b/>
          <w:bCs/>
          <w:sz w:val="44"/>
          <w:szCs w:val="44"/>
        </w:rPr>
        <w:t>涞源县塔崖驿乡人民政府</w:t>
      </w:r>
    </w:p>
    <w:p>
      <w:pPr>
        <w:jc w:val="center"/>
        <w:rPr>
          <w:rFonts w:hint="eastAsia" w:ascii="宋体" w:hAnsi="宋体" w:cs="宋体"/>
          <w:b/>
          <w:bCs/>
          <w:sz w:val="44"/>
          <w:szCs w:val="44"/>
        </w:rPr>
      </w:pPr>
      <w:r>
        <w:rPr>
          <w:rFonts w:hint="eastAsia" w:ascii="宋体" w:hAnsi="宋体" w:cs="宋体"/>
          <w:b/>
          <w:bCs/>
          <w:sz w:val="44"/>
          <w:szCs w:val="44"/>
        </w:rPr>
        <w:t>2019年部门预算信息公开</w:t>
      </w:r>
    </w:p>
    <w:p>
      <w:pPr>
        <w:ind w:firstLine="680"/>
        <w:jc w:val="left"/>
        <w:rPr>
          <w:rFonts w:hint="eastAsia" w:ascii="仿宋" w:hAnsi="仿宋" w:eastAsia="仿宋" w:cs="仿宋"/>
          <w:sz w:val="32"/>
          <w:szCs w:val="32"/>
        </w:rPr>
      </w:pPr>
    </w:p>
    <w:p>
      <w:pPr>
        <w:ind w:firstLine="680"/>
        <w:jc w:val="left"/>
        <w:rPr>
          <w:rFonts w:hint="eastAsia" w:ascii="仿宋" w:hAnsi="仿宋" w:eastAsia="仿宋" w:cs="仿宋"/>
          <w:sz w:val="32"/>
          <w:szCs w:val="32"/>
        </w:rPr>
      </w:pPr>
      <w:r>
        <w:rPr>
          <w:rFonts w:hint="eastAsia" w:ascii="宋体" w:hAnsi="宋体"/>
          <w:sz w:val="32"/>
          <w:szCs w:val="32"/>
        </w:rPr>
        <w:t xml:space="preserve"> </w:t>
      </w: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预算法》、《地方预决算公开操作规程》和《河北省省级预算公开办法》规定，现将涞源县塔崖驿乡人民政府2019年部门预算公开如下：</w:t>
      </w:r>
    </w:p>
    <w:p>
      <w:pPr>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部门职责及机构设置情况</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部门职责</w:t>
      </w:r>
    </w:p>
    <w:p>
      <w:pPr>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（一）基层政权建设。</w:t>
      </w:r>
      <w:r>
        <w:rPr>
          <w:rFonts w:hint="eastAsia" w:ascii="仿宋" w:hAnsi="仿宋" w:eastAsia="仿宋" w:cs="仿宋"/>
          <w:sz w:val="32"/>
          <w:szCs w:val="32"/>
        </w:rPr>
        <w:t>宣传贯彻执行党的路线、方针、政策和国家的法律法规，执行本级人民代表大会的决议和上级国家行政机关的决定和命令。乡镇要按照建设“生产发展、生活宽裕、乡风文明、村容整洁、管理民主”的社会主义新农村的要求，全面推进农村的经济、政治、文化、社会和经济发展。</w:t>
      </w:r>
    </w:p>
    <w:p>
      <w:pPr>
        <w:ind w:firstLine="640"/>
        <w:jc w:val="left"/>
        <w:rPr>
          <w:rFonts w:hint="eastAsia" w:ascii="仿宋" w:hAnsi="仿宋" w:eastAsia="仿宋" w:cs="仿宋"/>
          <w:sz w:val="32"/>
          <w:szCs w:val="32"/>
        </w:rPr>
      </w:pPr>
      <w:r>
        <w:rPr>
          <w:rFonts w:hint="eastAsia" w:ascii="仿宋" w:hAnsi="仿宋" w:eastAsia="仿宋" w:cs="仿宋"/>
          <w:b/>
          <w:bCs/>
          <w:sz w:val="32"/>
          <w:szCs w:val="32"/>
        </w:rPr>
        <w:t>（二）加强基层政权建设促进经济发展。</w:t>
      </w:r>
      <w:r>
        <w:rPr>
          <w:rFonts w:hint="eastAsia" w:ascii="仿宋" w:hAnsi="仿宋" w:eastAsia="仿宋" w:cs="仿宋"/>
          <w:sz w:val="32"/>
          <w:szCs w:val="32"/>
        </w:rPr>
        <w:t>加强社会管理，提供公共服务，维护农村稳定。抓住经济发展这个第一要务，加强社会管理和公共服务职能，逐步实现由管理型向服务型转变，努力建设服务型、法制型政府，更好为“三农”服务。</w:t>
      </w:r>
    </w:p>
    <w:p>
      <w:pPr>
        <w:jc w:val="left"/>
        <w:rPr>
          <w:rFonts w:hint="eastAsia" w:ascii="仿宋" w:hAnsi="仿宋" w:eastAsia="仿宋" w:cs="仿宋"/>
          <w:sz w:val="32"/>
          <w:szCs w:val="32"/>
        </w:rPr>
      </w:pPr>
      <w:r>
        <w:rPr>
          <w:rFonts w:hint="eastAsia" w:ascii="仿宋" w:hAnsi="仿宋" w:eastAsia="仿宋" w:cs="仿宋"/>
          <w:b/>
          <w:bCs/>
          <w:sz w:val="32"/>
          <w:szCs w:val="32"/>
        </w:rPr>
        <w:t xml:space="preserve">     (三)党组织建设和基层民主整治建设。</w:t>
      </w:r>
      <w:r>
        <w:rPr>
          <w:rFonts w:hint="eastAsia" w:ascii="仿宋" w:hAnsi="仿宋" w:eastAsia="仿宋" w:cs="仿宋"/>
          <w:sz w:val="32"/>
          <w:szCs w:val="32"/>
        </w:rPr>
        <w:t>搞好农村党组织建设和基层民主政治建设。保障法律法规赋予公民的基本权利，负责基层支部书记及支部委员的培训和管理。</w:t>
      </w:r>
    </w:p>
    <w:p>
      <w:pPr>
        <w:jc w:val="left"/>
        <w:rPr>
          <w:rFonts w:hint="eastAsia" w:ascii="仿宋" w:hAnsi="仿宋" w:eastAsia="仿宋" w:cs="仿宋"/>
          <w:sz w:val="32"/>
          <w:szCs w:val="32"/>
        </w:rPr>
      </w:pPr>
      <w:r>
        <w:rPr>
          <w:rFonts w:hint="eastAsia" w:ascii="仿宋" w:hAnsi="仿宋" w:eastAsia="仿宋" w:cs="仿宋"/>
          <w:sz w:val="32"/>
          <w:szCs w:val="32"/>
        </w:rPr>
        <w:t xml:space="preserve">    （四）</w:t>
      </w:r>
      <w:r>
        <w:rPr>
          <w:rFonts w:hint="eastAsia" w:ascii="仿宋" w:hAnsi="仿宋" w:eastAsia="仿宋" w:cs="仿宋"/>
          <w:b/>
          <w:bCs/>
          <w:sz w:val="32"/>
          <w:szCs w:val="32"/>
        </w:rPr>
        <w:t>抓好基层党组织组织建设和法治建设。</w:t>
      </w:r>
      <w:r>
        <w:rPr>
          <w:rFonts w:hint="eastAsia" w:ascii="仿宋" w:hAnsi="仿宋" w:eastAsia="仿宋" w:cs="仿宋"/>
          <w:sz w:val="32"/>
          <w:szCs w:val="32"/>
        </w:rPr>
        <w:t>抓好基层党组织建设和基层民主政治建设，保障法律法规赋予公民的基本权利。基层党组织战斗力强、民主政治建设制度健全。</w:t>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（五）指导、协调、联络工作。</w:t>
      </w:r>
      <w:r>
        <w:rPr>
          <w:rFonts w:hint="eastAsia" w:ascii="仿宋" w:hAnsi="仿宋" w:eastAsia="仿宋" w:cs="仿宋"/>
          <w:sz w:val="32"/>
          <w:szCs w:val="32"/>
        </w:rPr>
        <w:t>协调与其他单位、部门单位之间的关系。保障对人大、武装、群团、政协及派驻乡各类机构的工作、指导及协调，保障乡总体情况的综合与统计、文秘、文书档案管理及上报下达工作及纪检监察与人民武装等工作的顺利进行。</w:t>
      </w:r>
    </w:p>
    <w:p>
      <w:pPr>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（六）协调各单位、各部门之间的关系。</w:t>
      </w:r>
      <w:r>
        <w:rPr>
          <w:rFonts w:hint="eastAsia" w:ascii="仿宋" w:hAnsi="仿宋" w:eastAsia="仿宋" w:cs="仿宋"/>
          <w:sz w:val="32"/>
          <w:szCs w:val="32"/>
        </w:rPr>
        <w:t>保障人大、武装、纪检监察等各项工作顺利开展。各项工作任务顺利完成。</w:t>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（七）信访、维稳及乡村法制建设。</w:t>
      </w:r>
      <w:r>
        <w:rPr>
          <w:rFonts w:hint="eastAsia" w:ascii="仿宋" w:hAnsi="仿宋" w:eastAsia="仿宋" w:cs="仿宋"/>
          <w:sz w:val="32"/>
          <w:szCs w:val="32"/>
        </w:rPr>
        <w:t>建立完善协调联动机制，建立健全调解防范体制，完善村、乡两级组织，充分发挥村级自治和司法解释的作用。及时有效处理群众来信来访，调查社情民意，扶持弱势群众，加强重点监管，搞好农村矛盾纠纷的排查调处，加强社会治安综合治理，维护社会安全秩序，妥善处理突发性群体事件，协助司法机关打击各类刑事犯罪活动。</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（八）处理来信来访、加强法制建设。</w:t>
      </w:r>
      <w:r>
        <w:rPr>
          <w:rFonts w:hint="eastAsia" w:ascii="仿宋" w:hAnsi="仿宋" w:eastAsia="仿宋" w:cs="仿宋"/>
          <w:sz w:val="32"/>
          <w:szCs w:val="32"/>
        </w:rPr>
        <w:t>及时有效的了解民情民意、扶持弱势群众，加强社会治安管理，维护社会安定秩序。处理群众来信来访，社会综合治理达到群众满意。</w:t>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（九）制定产业规划，调整发展模式，发展村级经济。</w:t>
      </w:r>
      <w:r>
        <w:rPr>
          <w:rFonts w:hint="eastAsia" w:ascii="仿宋" w:hAnsi="仿宋" w:eastAsia="仿宋" w:cs="仿宋"/>
          <w:sz w:val="32"/>
          <w:szCs w:val="32"/>
        </w:rPr>
        <w:t>科学制定本乡产业规划，谋划适应乡镇实际的发展模式，并组织实施。推进农业结构调整，引导发展生产；促进招商引资和项目建设，加强农村市场体系建设，大力发展民营经济，培育和发展农民专业合作组织和中介组织，壮大第二、第三产业，增强农村集体经济组织实力。搞好土地承包服务、使用权流转的服务，指导合同的签证。</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（十）制定产业规划，培育和发展农民专业合作组织和中介组织。</w:t>
      </w:r>
      <w:r>
        <w:rPr>
          <w:rFonts w:hint="eastAsia" w:ascii="仿宋" w:hAnsi="仿宋" w:eastAsia="仿宋" w:cs="仿宋"/>
          <w:sz w:val="32"/>
          <w:szCs w:val="32"/>
        </w:rPr>
        <w:t>壮大第二、第三产业，增强农村集体经济组织经济实力。</w:t>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（十一）乡村财政资金管理。加强乡村财政资金管理。</w:t>
      </w:r>
      <w:r>
        <w:rPr>
          <w:rFonts w:hint="eastAsia" w:ascii="仿宋" w:hAnsi="仿宋" w:eastAsia="仿宋" w:cs="仿宋"/>
          <w:sz w:val="32"/>
          <w:szCs w:val="32"/>
        </w:rPr>
        <w:t>负责本级财务管理工作指导、监督各村管好用好集体资金，负责城镇建设的有关职责。</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（十二）指导各村管好用好集体资金。</w:t>
      </w:r>
      <w:r>
        <w:rPr>
          <w:rFonts w:hint="eastAsia" w:ascii="仿宋" w:hAnsi="仿宋" w:eastAsia="仿宋" w:cs="仿宋"/>
          <w:sz w:val="32"/>
          <w:szCs w:val="32"/>
        </w:rPr>
        <w:t>负责指导监督各村管好用好各项集体资金。农村集体资金能够做到合法、合理利用。</w:t>
      </w:r>
      <w:r>
        <w:rPr>
          <w:rFonts w:hint="eastAsia" w:ascii="仿宋" w:hAnsi="仿宋" w:eastAsia="仿宋" w:cs="仿宋"/>
          <w:sz w:val="32"/>
          <w:szCs w:val="32"/>
        </w:rPr>
        <w:tab/>
      </w:r>
      <w:r>
        <w:rPr>
          <w:rFonts w:hint="eastAsia" w:ascii="仿宋" w:hAnsi="仿宋" w:eastAsia="仿宋" w:cs="仿宋"/>
          <w:sz w:val="32"/>
          <w:szCs w:val="32"/>
        </w:rPr>
        <w:t xml:space="preserve"> </w:t>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（十三）社会事务管理和社会保障。</w:t>
      </w:r>
      <w:r>
        <w:rPr>
          <w:rFonts w:hint="eastAsia" w:ascii="仿宋" w:hAnsi="仿宋" w:eastAsia="仿宋" w:cs="仿宋"/>
          <w:sz w:val="32"/>
          <w:szCs w:val="32"/>
        </w:rPr>
        <w:t>协助县直有关部门做好农村社会保障工作，建立健全农村合作医疗、低保、救济等制度，搞好优抚工作，解除农民后顾之忧。加强对农村劳动力的职业培训，扩大农村富余劳动力就业；协助县直有关部门做好公共事业管理工作；拥军优属、救灾扶贫，妥善安置残疾人就业，负责殡葬改革工作，指导村民委员会的建设和换届选举工作。</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（十四）就业及劳动技能培训。</w:t>
      </w:r>
      <w:r>
        <w:rPr>
          <w:rFonts w:hint="eastAsia" w:ascii="仿宋" w:hAnsi="仿宋" w:eastAsia="仿宋" w:cs="仿宋"/>
          <w:sz w:val="32"/>
          <w:szCs w:val="32"/>
        </w:rPr>
        <w:t>加强对农村劳动力的职业培训，扩大农村富余劳动力就业。农村富余劳动力就业率高。</w:t>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（十五）社会事务管理。</w:t>
      </w:r>
      <w:r>
        <w:rPr>
          <w:rFonts w:hint="eastAsia" w:ascii="仿宋" w:hAnsi="仿宋" w:eastAsia="仿宋" w:cs="仿宋"/>
          <w:sz w:val="32"/>
          <w:szCs w:val="32"/>
        </w:rPr>
        <w:t>协助县直有关部门做好公共事业管理工作；拥军拥属、救灾扶贫，妥善安置残疾人就业，负责殡葬改革工作，指导村民委员会的建设和换届选举工作。群众对社保工作满意。</w:t>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（十六）计划生育。</w:t>
      </w:r>
      <w:r>
        <w:rPr>
          <w:rFonts w:hint="eastAsia" w:ascii="仿宋" w:hAnsi="仿宋" w:eastAsia="仿宋" w:cs="仿宋"/>
          <w:sz w:val="32"/>
          <w:szCs w:val="32"/>
        </w:rPr>
        <w:t>提供各类计划生育技术服务，建立利益导向机制，开展出生人口性别比治理以及流动人口计划生育管理等各项工作。贯彻落实党和国家有关计划生育的法律、法规及政策、方针；组织制定本辖区计划生育工作目标、计划，并检查督促执行；对申请再生育指标材料严把审核上报关；负责本辖区有关计划生育工作的群众来信来访处理、接待及大幅工作；依法对违反计划生育规定的事件进行调查处理；做好流动人口婚育证明的发放和查验等工作。</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（十七）计划生育服务。</w:t>
      </w:r>
      <w:r>
        <w:rPr>
          <w:rFonts w:hint="eastAsia" w:ascii="仿宋" w:hAnsi="仿宋" w:eastAsia="仿宋" w:cs="仿宋"/>
          <w:sz w:val="32"/>
          <w:szCs w:val="32"/>
        </w:rPr>
        <w:t>免费为农村计划怀孕夫妇实行孕前优生健康检查；免费为公民提供计划生育避孕节育基本技术服务；免费为农村已婚育龄妇女提供生殖健康检查服务。有效降低出生缺陷发生风险；为各类育龄人群提供安全、有效避孕节育技术服务。</w:t>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（十八）计划生育奖励扶持政策</w:t>
      </w:r>
      <w:r>
        <w:rPr>
          <w:rFonts w:hint="eastAsia" w:ascii="仿宋" w:hAnsi="仿宋" w:eastAsia="仿宋" w:cs="仿宋"/>
          <w:sz w:val="32"/>
          <w:szCs w:val="32"/>
        </w:rPr>
        <w:t>。采取奖励、扶助、社会保障等机制，引导家庭和个人打取计划生育措施，提高计划生育家庭发展能力。稳定适度的低生育水平，提高计划生育家庭发展能力，增强计划生育家庭及成员幸福感。</w:t>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（十九）计划生育政策宣传、计划生育专职人员培训。</w:t>
      </w:r>
      <w:r>
        <w:rPr>
          <w:rFonts w:hint="eastAsia" w:ascii="仿宋" w:hAnsi="仿宋" w:eastAsia="仿宋" w:cs="仿宋"/>
          <w:sz w:val="32"/>
          <w:szCs w:val="32"/>
        </w:rPr>
        <w:t>通过计划生育宣传、培训，提高计生专职人员的业务素质，提高辖区内计划生育家庭的幸福。</w:t>
      </w:r>
      <w:r>
        <w:rPr>
          <w:rFonts w:hint="eastAsia" w:ascii="仿宋" w:hAnsi="仿宋" w:eastAsia="仿宋" w:cs="仿宋"/>
          <w:sz w:val="32"/>
          <w:szCs w:val="32"/>
        </w:rPr>
        <w:tab/>
      </w:r>
      <w:r>
        <w:rPr>
          <w:rFonts w:hint="eastAsia" w:ascii="仿宋" w:hAnsi="仿宋" w:eastAsia="仿宋" w:cs="仿宋"/>
          <w:sz w:val="32"/>
          <w:szCs w:val="32"/>
        </w:rPr>
        <w:t>通过计划生育宣传、培训，提高计生专职人员的业务素质。</w:t>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（二十）农村文化、精神文明奖建设。</w:t>
      </w:r>
      <w:r>
        <w:rPr>
          <w:rFonts w:hint="eastAsia" w:ascii="仿宋" w:hAnsi="仿宋" w:eastAsia="仿宋" w:cs="仿宋"/>
          <w:sz w:val="32"/>
          <w:szCs w:val="32"/>
        </w:rPr>
        <w:t>宣传国家的方针政策、活跃农村文化生活，负责群众文化工作，组织各种群众文化活动。做好文化宣传工作，积极宣传国家的方针政策；加强对外联系，不断改进文化广播各项业务工作；负责乡镇及各村在文化广播事业上的有关技术工作和文化市场信息反馈工作；完成乡党委、政府及上级有关部门交办的其他工作。</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ind w:firstLine="421"/>
        <w:jc w:val="left"/>
        <w:rPr>
          <w:rFonts w:hint="eastAsia" w:ascii="仿宋" w:hAnsi="仿宋" w:eastAsia="仿宋" w:cs="仿宋"/>
          <w:sz w:val="32"/>
          <w:szCs w:val="32"/>
        </w:rPr>
      </w:pPr>
      <w:r>
        <w:rPr>
          <w:rFonts w:hint="eastAsia" w:ascii="仿宋" w:hAnsi="仿宋" w:eastAsia="仿宋" w:cs="仿宋"/>
          <w:b/>
          <w:bCs/>
          <w:sz w:val="32"/>
          <w:szCs w:val="32"/>
        </w:rPr>
        <w:t xml:space="preserve"> （二十一）宣传国家的方针政策、活跃农村文化生活。</w:t>
      </w:r>
      <w:r>
        <w:rPr>
          <w:rFonts w:hint="eastAsia" w:ascii="仿宋" w:hAnsi="仿宋" w:eastAsia="仿宋" w:cs="仿宋"/>
          <w:sz w:val="32"/>
          <w:szCs w:val="32"/>
        </w:rPr>
        <w:t>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r>
        <w:rPr>
          <w:rFonts w:hint="eastAsia" w:ascii="仿宋" w:hAnsi="仿宋" w:eastAsia="仿宋" w:cs="仿宋"/>
          <w:sz w:val="32"/>
          <w:szCs w:val="32"/>
        </w:rPr>
        <w:tab/>
      </w:r>
    </w:p>
    <w:p>
      <w:pPr>
        <w:ind w:firstLine="722"/>
        <w:jc w:val="left"/>
        <w:rPr>
          <w:rFonts w:hint="eastAsia" w:ascii="黑体" w:hAnsi="黑体" w:eastAsia="黑体" w:cs="黑体"/>
          <w:sz w:val="32"/>
          <w:szCs w:val="32"/>
        </w:rPr>
      </w:pPr>
      <w:r>
        <w:rPr>
          <w:rFonts w:hint="eastAsia" w:ascii="黑体" w:hAnsi="黑体" w:eastAsia="黑体" w:cs="黑体"/>
          <w:sz w:val="32"/>
          <w:szCs w:val="32"/>
        </w:rPr>
        <w:t>机构设置</w:t>
      </w:r>
    </w:p>
    <w:p>
      <w:pPr>
        <w:ind w:firstLine="722"/>
        <w:jc w:val="center"/>
        <w:rPr>
          <w:rFonts w:hint="eastAsia" w:ascii="仿宋" w:hAnsi="仿宋" w:eastAsia="仿宋" w:cs="仿宋"/>
          <w:b/>
          <w:bCs/>
          <w:color w:val="000000"/>
          <w:kern w:val="0"/>
          <w:sz w:val="32"/>
          <w:szCs w:val="32"/>
        </w:rPr>
      </w:pPr>
    </w:p>
    <w:p>
      <w:pPr>
        <w:ind w:firstLine="722"/>
        <w:jc w:val="center"/>
        <w:rPr>
          <w:rFonts w:hint="eastAsia" w:ascii="仿宋" w:hAnsi="仿宋" w:eastAsia="仿宋" w:cs="仿宋"/>
          <w:b/>
          <w:bCs/>
          <w:sz w:val="32"/>
          <w:szCs w:val="32"/>
        </w:rPr>
      </w:pPr>
      <w:r>
        <w:rPr>
          <w:rFonts w:hint="eastAsia" w:ascii="仿宋" w:hAnsi="仿宋" w:eastAsia="仿宋" w:cs="仿宋"/>
          <w:b/>
          <w:bCs/>
          <w:color w:val="000000"/>
          <w:kern w:val="0"/>
          <w:sz w:val="32"/>
          <w:szCs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4"/>
        <w:gridCol w:w="1378"/>
        <w:gridCol w:w="1253"/>
        <w:gridCol w:w="2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单位名称</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单位性质</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单位规格</w:t>
            </w:r>
          </w:p>
        </w:tc>
        <w:tc>
          <w:tcPr>
            <w:tcW w:w="2417"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塔崖驿党政办公室</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行政</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正科级</w:t>
            </w:r>
          </w:p>
        </w:tc>
        <w:tc>
          <w:tcPr>
            <w:tcW w:w="2417"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塔崖驿乡基层组织建设办公室</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行政</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正科级</w:t>
            </w:r>
          </w:p>
        </w:tc>
        <w:tc>
          <w:tcPr>
            <w:tcW w:w="2417"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塔崖驿乡社会事务办公室</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行政</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正科级</w:t>
            </w:r>
          </w:p>
        </w:tc>
        <w:tc>
          <w:tcPr>
            <w:tcW w:w="2417"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塔崖驿乡经济发展办公室</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行政</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正科级</w:t>
            </w:r>
          </w:p>
        </w:tc>
        <w:tc>
          <w:tcPr>
            <w:tcW w:w="2417"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塔崖驿乡财政所</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行政</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正科级</w:t>
            </w:r>
          </w:p>
        </w:tc>
        <w:tc>
          <w:tcPr>
            <w:tcW w:w="2417" w:type="dxa"/>
            <w:noWrap w:val="0"/>
            <w:vAlign w:val="center"/>
          </w:tcPr>
          <w:p>
            <w:pPr>
              <w:spacing w:line="300" w:lineRule="exact"/>
              <w:ind w:firstLine="482" w:firstLineChars="200"/>
              <w:jc w:val="both"/>
              <w:rPr>
                <w:rFonts w:hint="default" w:ascii="仿宋" w:hAnsi="仿宋" w:eastAsia="仿宋" w:cs="仿宋"/>
                <w:b/>
                <w:bCs/>
                <w:sz w:val="24"/>
                <w:lang w:val="en-US" w:eastAsia="zh-CN"/>
              </w:rPr>
            </w:pPr>
            <w:r>
              <w:rPr>
                <w:rFonts w:hint="eastAsia" w:ascii="仿宋" w:hAnsi="仿宋" w:eastAsia="仿宋" w:cs="仿宋"/>
                <w:b/>
                <w:bCs/>
                <w:sz w:val="24"/>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塔崖驿乡农林水牧办公室</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事业</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其他</w:t>
            </w:r>
          </w:p>
        </w:tc>
        <w:tc>
          <w:tcPr>
            <w:tcW w:w="2417" w:type="dxa"/>
            <w:noWrap w:val="0"/>
            <w:vAlign w:val="center"/>
          </w:tcPr>
          <w:p>
            <w:pPr>
              <w:spacing w:line="300" w:lineRule="exact"/>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财政性资金保证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塔崖驿乡计划生育办公室</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事业</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其他</w:t>
            </w:r>
          </w:p>
        </w:tc>
        <w:tc>
          <w:tcPr>
            <w:tcW w:w="2417"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lang w:val="en-US" w:eastAsia="zh-CN"/>
              </w:rPr>
              <w:t>财政性资金保证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2974"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塔崖驿乡综合文化办公室</w:t>
            </w:r>
          </w:p>
        </w:tc>
        <w:tc>
          <w:tcPr>
            <w:tcW w:w="1378"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事业</w:t>
            </w:r>
          </w:p>
        </w:tc>
        <w:tc>
          <w:tcPr>
            <w:tcW w:w="1253"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其他</w:t>
            </w:r>
          </w:p>
        </w:tc>
        <w:tc>
          <w:tcPr>
            <w:tcW w:w="2417" w:type="dxa"/>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lang w:val="en-US" w:eastAsia="zh-CN"/>
              </w:rPr>
              <w:t>财政性资金保证</w:t>
            </w:r>
          </w:p>
        </w:tc>
      </w:tr>
    </w:tbl>
    <w:p>
      <w:pPr>
        <w:spacing w:line="520" w:lineRule="exact"/>
        <w:ind w:firstLine="643" w:firstLineChars="200"/>
        <w:jc w:val="left"/>
        <w:rPr>
          <w:rFonts w:hint="eastAsia" w:ascii="宋体" w:hAnsi="宋体" w:eastAsia="宋体" w:cs="宋体"/>
          <w:b/>
          <w:bCs/>
          <w:sz w:val="32"/>
          <w:szCs w:val="32"/>
          <w:lang w:val="en-US" w:eastAsia="zh-CN"/>
        </w:rPr>
      </w:pPr>
    </w:p>
    <w:p>
      <w:pPr>
        <w:spacing w:line="520" w:lineRule="exact"/>
        <w:ind w:firstLine="643" w:firstLineChars="200"/>
        <w:jc w:val="left"/>
        <w:rPr>
          <w:rFonts w:hint="eastAsia" w:ascii="黑体" w:hAnsi="黑体" w:eastAsia="黑体" w:cs="黑体"/>
          <w:sz w:val="32"/>
          <w:szCs w:val="32"/>
        </w:rPr>
      </w:pPr>
      <w:r>
        <w:rPr>
          <w:rFonts w:hint="eastAsia" w:ascii="宋体" w:hAnsi="宋体" w:eastAsia="宋体" w:cs="宋体"/>
          <w:b/>
          <w:bCs/>
          <w:sz w:val="32"/>
          <w:szCs w:val="32"/>
          <w:lang w:val="en-US" w:eastAsia="zh-CN"/>
        </w:rPr>
        <w:t>二、部门预算安排的总体情况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按照预算管理有关规定，目前我部门预算的编制实行综合预算制度，即全部收入和支出都反映在预算中。涞源县</w:t>
      </w:r>
      <w:r>
        <w:rPr>
          <w:rFonts w:hint="eastAsia" w:ascii="仿宋" w:hAnsi="仿宋" w:eastAsia="仿宋" w:cs="仿宋"/>
          <w:sz w:val="32"/>
          <w:szCs w:val="32"/>
          <w:lang w:val="en-US" w:eastAsia="zh-CN"/>
        </w:rPr>
        <w:t>塔崖驿乡人民政府</w:t>
      </w:r>
      <w:r>
        <w:rPr>
          <w:rFonts w:hint="eastAsia" w:ascii="仿宋" w:hAnsi="仿宋" w:eastAsia="仿宋" w:cs="仿宋"/>
          <w:sz w:val="32"/>
          <w:szCs w:val="32"/>
        </w:rPr>
        <w:t>收支包含在部门预算中。</w:t>
      </w:r>
    </w:p>
    <w:p>
      <w:pPr>
        <w:spacing w:line="520" w:lineRule="exact"/>
        <w:jc w:val="left"/>
        <w:rPr>
          <w:rFonts w:hint="eastAsia" w:ascii="仿宋" w:hAnsi="仿宋" w:eastAsia="仿宋" w:cs="仿宋"/>
          <w:b/>
          <w:bCs/>
          <w:sz w:val="32"/>
          <w:szCs w:val="32"/>
        </w:rPr>
      </w:pPr>
      <w:r>
        <w:rPr>
          <w:rFonts w:hint="eastAsia" w:ascii="仿宋" w:hAnsi="仿宋" w:eastAsia="仿宋" w:cs="仿宋"/>
          <w:b/>
          <w:bCs/>
          <w:sz w:val="32"/>
          <w:szCs w:val="32"/>
        </w:rPr>
        <w:t xml:space="preserve">    1、收入说明</w:t>
      </w:r>
    </w:p>
    <w:p>
      <w:pPr>
        <w:spacing w:line="520" w:lineRule="exact"/>
        <w:rPr>
          <w:rFonts w:hint="eastAsia" w:ascii="仿宋" w:hAnsi="仿宋" w:eastAsia="仿宋" w:cs="仿宋"/>
          <w:sz w:val="32"/>
          <w:szCs w:val="32"/>
        </w:rPr>
      </w:pPr>
      <w:r>
        <w:rPr>
          <w:rFonts w:hint="eastAsia" w:ascii="仿宋" w:hAnsi="仿宋" w:eastAsia="仿宋" w:cs="仿宋"/>
          <w:sz w:val="32"/>
          <w:szCs w:val="32"/>
        </w:rPr>
        <w:t xml:space="preserve">    反映</w:t>
      </w:r>
      <w:r>
        <w:rPr>
          <w:rFonts w:hint="eastAsia" w:ascii="仿宋" w:hAnsi="仿宋" w:eastAsia="仿宋" w:cs="仿宋"/>
          <w:sz w:val="32"/>
          <w:szCs w:val="32"/>
          <w:lang w:val="en-US" w:eastAsia="zh-CN"/>
        </w:rPr>
        <w:t>涞源县塔崖驿乡人民政府</w:t>
      </w:r>
      <w:r>
        <w:rPr>
          <w:rFonts w:hint="eastAsia" w:ascii="仿宋" w:hAnsi="仿宋" w:eastAsia="仿宋" w:cs="仿宋"/>
          <w:sz w:val="32"/>
          <w:szCs w:val="32"/>
        </w:rPr>
        <w:t>当年全部收入。2018年涞源县塔崖驿乡人民政府年初部门收入预算总额为</w:t>
      </w:r>
      <w:r>
        <w:rPr>
          <w:rFonts w:ascii="方正书宋_GBK" w:eastAsia="方正书宋_GBK"/>
          <w:sz w:val="32"/>
          <w:szCs w:val="32"/>
        </w:rPr>
        <w:t>364.34</w:t>
      </w:r>
      <w:r>
        <w:rPr>
          <w:rFonts w:hint="eastAsia" w:ascii="仿宋" w:hAnsi="仿宋" w:eastAsia="仿宋" w:cs="仿宋"/>
          <w:sz w:val="32"/>
          <w:szCs w:val="32"/>
        </w:rPr>
        <w:t>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其中：一般公共预算收入</w:t>
      </w:r>
      <w:r>
        <w:rPr>
          <w:rFonts w:hint="eastAsia" w:ascii="方正书宋_GBK" w:eastAsia="方正书宋_GBK"/>
          <w:sz w:val="32"/>
          <w:szCs w:val="32"/>
        </w:rPr>
        <w:t>364.34</w:t>
      </w:r>
      <w:r>
        <w:rPr>
          <w:rFonts w:hint="eastAsia" w:ascii="仿宋" w:hAnsi="仿宋" w:eastAsia="仿宋" w:cs="仿宋"/>
          <w:sz w:val="32"/>
          <w:szCs w:val="32"/>
        </w:rPr>
        <w:t>万元。</w:t>
      </w:r>
    </w:p>
    <w:p>
      <w:pPr>
        <w:numPr>
          <w:ilvl w:val="0"/>
          <w:numId w:val="1"/>
        </w:numPr>
        <w:spacing w:line="520" w:lineRule="exact"/>
        <w:rPr>
          <w:rFonts w:hint="eastAsia" w:ascii="仿宋" w:hAnsi="仿宋" w:eastAsia="仿宋" w:cs="仿宋"/>
          <w:b/>
          <w:bCs/>
          <w:sz w:val="32"/>
          <w:szCs w:val="32"/>
        </w:rPr>
      </w:pPr>
      <w:r>
        <w:rPr>
          <w:rFonts w:hint="eastAsia" w:ascii="仿宋" w:hAnsi="仿宋" w:eastAsia="仿宋" w:cs="仿宋"/>
          <w:b/>
          <w:bCs/>
          <w:sz w:val="32"/>
          <w:szCs w:val="32"/>
        </w:rPr>
        <w:t>支出说明</w:t>
      </w:r>
    </w:p>
    <w:p>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收支预算总表支出栏、基本支出表、项目支出表按经济分类和支出功能分类科目编制，反映涞源县</w:t>
      </w:r>
      <w:r>
        <w:rPr>
          <w:rFonts w:hint="eastAsia" w:ascii="仿宋" w:hAnsi="仿宋" w:eastAsia="仿宋" w:cs="仿宋"/>
          <w:sz w:val="32"/>
          <w:szCs w:val="32"/>
          <w:lang w:val="en-US" w:eastAsia="zh-CN"/>
        </w:rPr>
        <w:t>塔崖驿乡人民政府</w:t>
      </w:r>
      <w:r>
        <w:rPr>
          <w:rFonts w:hint="eastAsia" w:ascii="仿宋" w:hAnsi="仿宋" w:eastAsia="仿宋" w:cs="仿宋"/>
          <w:sz w:val="32"/>
          <w:szCs w:val="32"/>
        </w:rPr>
        <w:t>年度部门预算中支出预算的总体情况。2018年部门支出安排预算总额</w:t>
      </w:r>
      <w:r>
        <w:rPr>
          <w:rFonts w:ascii="方正书宋_GBK" w:eastAsia="方正书宋_GBK"/>
          <w:sz w:val="32"/>
          <w:szCs w:val="32"/>
        </w:rPr>
        <w:t>364.34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 xml:space="preserve">基本支出 </w:t>
      </w:r>
      <w:r>
        <w:rPr>
          <w:rFonts w:ascii="方正书宋_GBK" w:eastAsia="方正书宋_GBK"/>
          <w:sz w:val="32"/>
          <w:szCs w:val="32"/>
        </w:rPr>
        <w:t>308.73</w:t>
      </w:r>
      <w:r>
        <w:rPr>
          <w:rFonts w:hint="eastAsia" w:ascii="仿宋" w:hAnsi="仿宋" w:eastAsia="仿宋" w:cs="仿宋"/>
          <w:sz w:val="32"/>
          <w:szCs w:val="32"/>
        </w:rPr>
        <w:t>万元</w:t>
      </w:r>
      <w:r>
        <w:rPr>
          <w:rFonts w:hint="eastAsia" w:ascii="仿宋" w:hAnsi="仿宋" w:eastAsia="仿宋" w:cs="仿宋"/>
          <w:sz w:val="32"/>
          <w:szCs w:val="32"/>
          <w:lang w:val="en-US" w:eastAsia="zh-CN"/>
        </w:rPr>
        <w:t>包括</w:t>
      </w:r>
      <w:r>
        <w:rPr>
          <w:rFonts w:hint="eastAsia" w:ascii="仿宋" w:hAnsi="仿宋" w:eastAsia="仿宋" w:cs="仿宋"/>
          <w:sz w:val="32"/>
          <w:szCs w:val="32"/>
        </w:rPr>
        <w:t>人员经费</w:t>
      </w:r>
      <w:r>
        <w:rPr>
          <w:rFonts w:ascii="方正书宋_GBK" w:eastAsia="方正书宋_GBK"/>
          <w:sz w:val="32"/>
          <w:szCs w:val="32"/>
        </w:rPr>
        <w:t>270.03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日常公用经费38.70万元</w:t>
      </w:r>
      <w:r>
        <w:rPr>
          <w:rFonts w:hint="eastAsia" w:ascii="仿宋" w:hAnsi="仿宋" w:eastAsia="仿宋" w:cs="仿宋"/>
          <w:sz w:val="32"/>
          <w:szCs w:val="32"/>
          <w:lang w:eastAsia="zh-CN"/>
        </w:rPr>
        <w:t>。</w:t>
      </w:r>
      <w:r>
        <w:rPr>
          <w:rFonts w:hint="eastAsia" w:ascii="仿宋" w:hAnsi="仿宋" w:eastAsia="仿宋" w:cs="仿宋"/>
          <w:sz w:val="32"/>
          <w:szCs w:val="32"/>
        </w:rPr>
        <w:t>项目支出55.61万元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w:t>
      </w:r>
      <w:r>
        <w:rPr>
          <w:rFonts w:hint="eastAsia" w:ascii="仿宋" w:hAnsi="仿宋" w:eastAsia="仿宋" w:cs="仿宋"/>
          <w:sz w:val="32"/>
          <w:szCs w:val="32"/>
        </w:rPr>
        <w:t>本级支出 55.61万元</w:t>
      </w:r>
      <w:r>
        <w:rPr>
          <w:rFonts w:hint="eastAsia" w:ascii="仿宋" w:hAnsi="仿宋" w:eastAsia="仿宋" w:cs="仿宋"/>
          <w:sz w:val="32"/>
          <w:szCs w:val="32"/>
          <w:lang w:eastAsia="zh-CN"/>
        </w:rPr>
        <w:t>。</w:t>
      </w:r>
    </w:p>
    <w:p>
      <w:pPr>
        <w:tabs>
          <w:tab w:val="left" w:pos="916"/>
        </w:tabs>
        <w:spacing w:line="560" w:lineRule="exact"/>
        <w:jc w:val="left"/>
        <w:rPr>
          <w:rFonts w:hint="eastAsia" w:ascii="仿宋" w:hAnsi="仿宋" w:eastAsia="仿宋" w:cs="仿宋"/>
          <w:b/>
          <w:bCs/>
          <w:sz w:val="32"/>
          <w:szCs w:val="32"/>
        </w:rPr>
      </w:pPr>
      <w:r>
        <w:rPr>
          <w:rFonts w:hint="eastAsia" w:ascii="仿宋" w:hAnsi="仿宋" w:eastAsia="仿宋" w:cs="仿宋"/>
          <w:b/>
          <w:bCs/>
          <w:sz w:val="32"/>
          <w:szCs w:val="32"/>
        </w:rPr>
        <w:t>3、比上年增减情况</w:t>
      </w:r>
    </w:p>
    <w:p>
      <w:pPr>
        <w:ind w:firstLine="640"/>
        <w:rPr>
          <w:rFonts w:hint="eastAsia" w:ascii="仿宋" w:hAnsi="仿宋" w:eastAsia="仿宋" w:cs="仿宋"/>
          <w:sz w:val="32"/>
          <w:szCs w:val="32"/>
        </w:rPr>
      </w:pPr>
      <w:r>
        <w:rPr>
          <w:rFonts w:hint="eastAsia" w:ascii="仿宋" w:hAnsi="仿宋" w:eastAsia="仿宋" w:cs="仿宋"/>
          <w:sz w:val="32"/>
          <w:szCs w:val="32"/>
        </w:rPr>
        <w:t>本年度预算收支安排364.34万元，较上年减少6.67万元。其中:基本支出增加减少6.67万元，主要是减少2019年精神文明奖支出。</w:t>
      </w:r>
    </w:p>
    <w:p>
      <w:pPr>
        <w:spacing w:line="520" w:lineRule="exact"/>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三、机关运行经费安排情况</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涞源县塔崖驿乡人民政府运行经费安排</w:t>
      </w:r>
      <w:r>
        <w:rPr>
          <w:rFonts w:hint="eastAsia" w:ascii="仿宋" w:hAnsi="仿宋" w:eastAsia="仿宋" w:cs="仿宋"/>
          <w:sz w:val="32"/>
          <w:szCs w:val="32"/>
          <w:lang w:val="en-US" w:eastAsia="zh-CN"/>
        </w:rPr>
        <w:t>38.7</w:t>
      </w:r>
      <w:r>
        <w:rPr>
          <w:rFonts w:hint="eastAsia" w:ascii="仿宋" w:hAnsi="仿宋" w:eastAsia="仿宋" w:cs="仿宋"/>
          <w:sz w:val="32"/>
          <w:szCs w:val="32"/>
        </w:rPr>
        <w:t>万元，其中办公费9万元，电费1.5万，取暖费</w:t>
      </w:r>
      <w:r>
        <w:rPr>
          <w:rFonts w:hint="eastAsia" w:ascii="仿宋" w:hAnsi="仿宋" w:eastAsia="仿宋" w:cs="仿宋"/>
          <w:sz w:val="32"/>
          <w:szCs w:val="32"/>
          <w:lang w:val="en-US" w:eastAsia="zh-CN"/>
        </w:rPr>
        <w:t>8</w:t>
      </w:r>
      <w:r>
        <w:rPr>
          <w:rFonts w:hint="eastAsia" w:ascii="仿宋" w:hAnsi="仿宋" w:eastAsia="仿宋" w:cs="仿宋"/>
          <w:sz w:val="32"/>
          <w:szCs w:val="32"/>
        </w:rPr>
        <w:t>万元，邮电费1.6万元，差旅费1万元。公务用车运行维护费7万元，印刷费3.6万元，公务接待费7万元。</w:t>
      </w:r>
    </w:p>
    <w:p>
      <w:pPr>
        <w:spacing w:line="520" w:lineRule="exact"/>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四、财政拨款“三公”经费预算情况及增减变化原因</w:t>
      </w:r>
    </w:p>
    <w:p>
      <w:pPr>
        <w:spacing w:line="520" w:lineRule="exact"/>
        <w:jc w:val="center"/>
        <w:outlineLvl w:val="0"/>
        <w:rPr>
          <w:rFonts w:hint="eastAsia" w:ascii="仿宋" w:hAnsi="仿宋" w:eastAsia="仿宋" w:cs="仿宋"/>
          <w:b/>
          <w:bCs/>
          <w:sz w:val="32"/>
          <w:szCs w:val="32"/>
        </w:rPr>
      </w:pPr>
      <w:r>
        <w:rPr>
          <w:rFonts w:hint="eastAsia" w:ascii="仿宋" w:hAnsi="仿宋" w:eastAsia="仿宋" w:cs="仿宋"/>
          <w:b/>
          <w:bCs/>
          <w:sz w:val="32"/>
          <w:szCs w:val="32"/>
        </w:rPr>
        <w:t>“三公”经费预算情况及增减变化原因</w:t>
      </w:r>
    </w:p>
    <w:p>
      <w:pPr>
        <w:spacing w:line="520" w:lineRule="exact"/>
        <w:jc w:val="center"/>
        <w:outlineLvl w:val="0"/>
        <w:rPr>
          <w:rFonts w:hint="eastAsia" w:ascii="仿宋" w:hAnsi="仿宋" w:eastAsia="仿宋" w:cs="仿宋"/>
          <w:b/>
          <w:bCs/>
          <w:sz w:val="32"/>
          <w:szCs w:val="32"/>
        </w:rPr>
      </w:pPr>
    </w:p>
    <w:tbl>
      <w:tblPr>
        <w:tblStyle w:val="4"/>
        <w:tblpPr w:leftFromText="180" w:rightFromText="180" w:vertAnchor="text" w:horzAnchor="page" w:tblpX="1345" w:tblpY="245"/>
        <w:tblOverlap w:val="never"/>
        <w:tblW w:w="0" w:type="auto"/>
        <w:tblInd w:w="0" w:type="dxa"/>
        <w:tblLayout w:type="fixed"/>
        <w:tblCellMar>
          <w:top w:w="0" w:type="dxa"/>
          <w:left w:w="108" w:type="dxa"/>
          <w:bottom w:w="0" w:type="dxa"/>
          <w:right w:w="108" w:type="dxa"/>
        </w:tblCellMar>
      </w:tblPr>
      <w:tblGrid>
        <w:gridCol w:w="1800"/>
        <w:gridCol w:w="2546"/>
        <w:gridCol w:w="2736"/>
        <w:gridCol w:w="2232"/>
        <w:gridCol w:w="4356"/>
      </w:tblGrid>
      <w:tr>
        <w:tblPrEx>
          <w:tblCellMar>
            <w:top w:w="0" w:type="dxa"/>
            <w:left w:w="108" w:type="dxa"/>
            <w:bottom w:w="0" w:type="dxa"/>
            <w:right w:w="108" w:type="dxa"/>
          </w:tblCellMar>
        </w:tblPrEx>
        <w:trPr>
          <w:trHeight w:val="285"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项目名称</w:t>
            </w:r>
          </w:p>
        </w:tc>
        <w:tc>
          <w:tcPr>
            <w:tcW w:w="254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2018年度预算</w:t>
            </w:r>
          </w:p>
        </w:tc>
        <w:tc>
          <w:tcPr>
            <w:tcW w:w="273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2019年度预算</w:t>
            </w:r>
          </w:p>
        </w:tc>
        <w:tc>
          <w:tcPr>
            <w:tcW w:w="223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增减金额</w:t>
            </w:r>
          </w:p>
        </w:tc>
        <w:tc>
          <w:tcPr>
            <w:tcW w:w="435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变化原因</w:t>
            </w:r>
          </w:p>
        </w:tc>
      </w:tr>
      <w:tr>
        <w:tblPrEx>
          <w:tblCellMar>
            <w:top w:w="0" w:type="dxa"/>
            <w:left w:w="108" w:type="dxa"/>
            <w:bottom w:w="0" w:type="dxa"/>
            <w:right w:w="108" w:type="dxa"/>
          </w:tblCellMar>
        </w:tblPrEx>
        <w:trPr>
          <w:trHeight w:val="285" w:hRule="atLeast"/>
        </w:trPr>
        <w:tc>
          <w:tcPr>
            <w:tcW w:w="1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 w:hAnsi="仿宋" w:eastAsia="仿宋" w:cs="仿宋"/>
                <w:b/>
                <w:bCs/>
                <w:kern w:val="0"/>
                <w:sz w:val="24"/>
              </w:rPr>
            </w:pPr>
            <w:r>
              <w:rPr>
                <w:rFonts w:hint="eastAsia" w:ascii="仿宋" w:hAnsi="仿宋" w:eastAsia="仿宋" w:cs="仿宋"/>
                <w:b/>
                <w:bCs/>
                <w:i w:val="0"/>
                <w:iCs w:val="0"/>
                <w:color w:val="000000"/>
                <w:kern w:val="0"/>
                <w:sz w:val="24"/>
                <w:szCs w:val="24"/>
                <w:u w:val="none"/>
                <w:lang w:val="en-US" w:eastAsia="zh-CN" w:bidi="ar"/>
              </w:rPr>
              <w:t>公务接待费支出</w:t>
            </w:r>
          </w:p>
        </w:tc>
        <w:tc>
          <w:tcPr>
            <w:tcW w:w="25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 w:hAnsi="仿宋" w:eastAsia="仿宋" w:cs="仿宋"/>
                <w:b/>
                <w:bCs/>
                <w:kern w:val="0"/>
                <w:sz w:val="24"/>
              </w:rPr>
            </w:pPr>
            <w:r>
              <w:rPr>
                <w:rFonts w:hint="eastAsia" w:ascii="仿宋" w:hAnsi="仿宋" w:eastAsia="仿宋" w:cs="仿宋"/>
                <w:b/>
                <w:bCs/>
                <w:i w:val="0"/>
                <w:iCs w:val="0"/>
                <w:color w:val="000000"/>
                <w:kern w:val="0"/>
                <w:sz w:val="24"/>
                <w:szCs w:val="24"/>
                <w:u w:val="none"/>
                <w:lang w:val="en-US" w:eastAsia="zh-CN" w:bidi="ar"/>
              </w:rPr>
              <w:t>7</w:t>
            </w:r>
          </w:p>
        </w:tc>
        <w:tc>
          <w:tcPr>
            <w:tcW w:w="27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 w:hAnsi="仿宋" w:eastAsia="仿宋" w:cs="仿宋"/>
                <w:b/>
                <w:bCs/>
                <w:kern w:val="0"/>
                <w:sz w:val="24"/>
              </w:rPr>
            </w:pPr>
            <w:r>
              <w:rPr>
                <w:rFonts w:hint="eastAsia" w:ascii="仿宋" w:hAnsi="仿宋" w:eastAsia="仿宋" w:cs="仿宋"/>
                <w:b/>
                <w:bCs/>
                <w:i w:val="0"/>
                <w:iCs w:val="0"/>
                <w:color w:val="000000"/>
                <w:kern w:val="0"/>
                <w:sz w:val="24"/>
                <w:szCs w:val="24"/>
                <w:u w:val="none"/>
                <w:lang w:val="en-US" w:eastAsia="zh-CN" w:bidi="ar"/>
              </w:rPr>
              <w:t>7</w:t>
            </w:r>
          </w:p>
        </w:tc>
        <w:tc>
          <w:tcPr>
            <w:tcW w:w="22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 w:hAnsi="仿宋" w:eastAsia="仿宋" w:cs="仿宋"/>
                <w:b/>
                <w:bCs/>
                <w:kern w:val="0"/>
                <w:sz w:val="24"/>
              </w:rPr>
            </w:pPr>
            <w:r>
              <w:rPr>
                <w:rFonts w:hint="eastAsia" w:ascii="仿宋" w:hAnsi="仿宋" w:eastAsia="仿宋" w:cs="仿宋"/>
                <w:b/>
                <w:bCs/>
                <w:i w:val="0"/>
                <w:iCs w:val="0"/>
                <w:color w:val="000000"/>
                <w:kern w:val="0"/>
                <w:sz w:val="24"/>
                <w:szCs w:val="24"/>
                <w:u w:val="none"/>
                <w:lang w:val="en-US" w:eastAsia="zh-CN" w:bidi="ar"/>
              </w:rPr>
              <w:t>0</w:t>
            </w:r>
          </w:p>
        </w:tc>
        <w:tc>
          <w:tcPr>
            <w:tcW w:w="435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 w:hAnsi="仿宋" w:eastAsia="仿宋" w:cs="仿宋"/>
                <w:b/>
                <w:bCs/>
                <w:kern w:val="0"/>
                <w:sz w:val="24"/>
              </w:rPr>
            </w:pPr>
            <w:r>
              <w:rPr>
                <w:rFonts w:hint="eastAsia" w:ascii="仿宋" w:hAnsi="仿宋" w:eastAsia="仿宋" w:cs="仿宋"/>
                <w:b/>
                <w:bCs/>
                <w:i w:val="0"/>
                <w:iCs w:val="0"/>
                <w:color w:val="000000"/>
                <w:kern w:val="0"/>
                <w:sz w:val="24"/>
                <w:szCs w:val="24"/>
                <w:u w:val="none"/>
                <w:lang w:val="en-US" w:eastAsia="zh-CN" w:bidi="ar"/>
              </w:rPr>
              <w:t>无增减变化</w:t>
            </w:r>
          </w:p>
        </w:tc>
      </w:tr>
      <w:tr>
        <w:tblPrEx>
          <w:tblCellMar>
            <w:top w:w="0" w:type="dxa"/>
            <w:left w:w="108" w:type="dxa"/>
            <w:bottom w:w="0" w:type="dxa"/>
            <w:right w:w="108" w:type="dxa"/>
          </w:tblCellMar>
        </w:tblPrEx>
        <w:trPr>
          <w:trHeight w:val="285" w:hRule="atLeast"/>
        </w:trPr>
        <w:tc>
          <w:tcPr>
            <w:tcW w:w="18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公务用车购置经费</w:t>
            </w:r>
          </w:p>
        </w:tc>
        <w:tc>
          <w:tcPr>
            <w:tcW w:w="254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0</w:t>
            </w:r>
          </w:p>
        </w:tc>
        <w:tc>
          <w:tcPr>
            <w:tcW w:w="273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0</w:t>
            </w:r>
          </w:p>
        </w:tc>
        <w:tc>
          <w:tcPr>
            <w:tcW w:w="223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0</w:t>
            </w:r>
          </w:p>
        </w:tc>
        <w:tc>
          <w:tcPr>
            <w:tcW w:w="435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无增减变化</w:t>
            </w:r>
          </w:p>
        </w:tc>
      </w:tr>
      <w:tr>
        <w:tblPrEx>
          <w:tblCellMar>
            <w:top w:w="0" w:type="dxa"/>
            <w:left w:w="108" w:type="dxa"/>
            <w:bottom w:w="0" w:type="dxa"/>
            <w:right w:w="108" w:type="dxa"/>
          </w:tblCellMar>
        </w:tblPrEx>
        <w:trPr>
          <w:trHeight w:val="570" w:hRule="atLeast"/>
        </w:trPr>
        <w:tc>
          <w:tcPr>
            <w:tcW w:w="18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公务用车运行经费</w:t>
            </w:r>
          </w:p>
        </w:tc>
        <w:tc>
          <w:tcPr>
            <w:tcW w:w="254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7.0</w:t>
            </w:r>
          </w:p>
        </w:tc>
        <w:tc>
          <w:tcPr>
            <w:tcW w:w="273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7.0</w:t>
            </w:r>
          </w:p>
        </w:tc>
        <w:tc>
          <w:tcPr>
            <w:tcW w:w="223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0</w:t>
            </w:r>
          </w:p>
        </w:tc>
        <w:tc>
          <w:tcPr>
            <w:tcW w:w="435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无增减变化</w:t>
            </w:r>
            <w:bookmarkStart w:id="0" w:name="_GoBack"/>
            <w:bookmarkEnd w:id="0"/>
          </w:p>
        </w:tc>
      </w:tr>
      <w:tr>
        <w:tblPrEx>
          <w:tblCellMar>
            <w:top w:w="0" w:type="dxa"/>
            <w:left w:w="108" w:type="dxa"/>
            <w:bottom w:w="0" w:type="dxa"/>
            <w:right w:w="108" w:type="dxa"/>
          </w:tblCellMar>
        </w:tblPrEx>
        <w:trPr>
          <w:trHeight w:val="655" w:hRule="atLeast"/>
        </w:trPr>
        <w:tc>
          <w:tcPr>
            <w:tcW w:w="18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因公出国经费</w:t>
            </w:r>
          </w:p>
        </w:tc>
        <w:tc>
          <w:tcPr>
            <w:tcW w:w="254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0</w:t>
            </w:r>
          </w:p>
        </w:tc>
        <w:tc>
          <w:tcPr>
            <w:tcW w:w="273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0</w:t>
            </w:r>
          </w:p>
        </w:tc>
        <w:tc>
          <w:tcPr>
            <w:tcW w:w="223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0</w:t>
            </w:r>
          </w:p>
        </w:tc>
        <w:tc>
          <w:tcPr>
            <w:tcW w:w="435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无增减变化</w:t>
            </w:r>
          </w:p>
        </w:tc>
      </w:tr>
      <w:tr>
        <w:tblPrEx>
          <w:tblCellMar>
            <w:top w:w="0" w:type="dxa"/>
            <w:left w:w="108" w:type="dxa"/>
            <w:bottom w:w="0" w:type="dxa"/>
            <w:right w:w="108" w:type="dxa"/>
          </w:tblCellMar>
        </w:tblPrEx>
        <w:trPr>
          <w:trHeight w:val="710" w:hRule="atLeast"/>
        </w:trPr>
        <w:tc>
          <w:tcPr>
            <w:tcW w:w="18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合计</w:t>
            </w:r>
          </w:p>
        </w:tc>
        <w:tc>
          <w:tcPr>
            <w:tcW w:w="254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14.00</w:t>
            </w:r>
          </w:p>
        </w:tc>
        <w:tc>
          <w:tcPr>
            <w:tcW w:w="273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14.00</w:t>
            </w:r>
          </w:p>
        </w:tc>
        <w:tc>
          <w:tcPr>
            <w:tcW w:w="223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0</w:t>
            </w:r>
          </w:p>
        </w:tc>
        <w:tc>
          <w:tcPr>
            <w:tcW w:w="435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无增减变化</w:t>
            </w:r>
          </w:p>
        </w:tc>
      </w:tr>
    </w:tbl>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spacing w:line="520" w:lineRule="exact"/>
        <w:jc w:val="left"/>
        <w:rPr>
          <w:rFonts w:hint="eastAsia" w:ascii="宋体" w:hAnsi="宋体" w:eastAsia="宋体" w:cs="宋体"/>
          <w:b/>
          <w:bCs/>
          <w:sz w:val="32"/>
          <w:szCs w:val="32"/>
          <w:lang w:val="en-US" w:eastAsia="zh-CN"/>
        </w:rPr>
      </w:pPr>
    </w:p>
    <w:p>
      <w:pPr>
        <w:spacing w:line="520" w:lineRule="exact"/>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五、绩效预算信息</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一、总体绩效目标：</w:t>
      </w:r>
    </w:p>
    <w:p>
      <w:pPr>
        <w:ind w:firstLine="560"/>
        <w:rPr>
          <w:rFonts w:hint="eastAsia" w:ascii="仿宋" w:hAnsi="仿宋" w:eastAsia="仿宋" w:cs="仿宋"/>
          <w:sz w:val="32"/>
          <w:szCs w:val="32"/>
        </w:rPr>
      </w:pPr>
      <w:r>
        <w:rPr>
          <w:rFonts w:hint="eastAsia" w:ascii="仿宋" w:hAnsi="仿宋" w:eastAsia="仿宋" w:cs="仿宋"/>
          <w:sz w:val="32"/>
          <w:szCs w:val="32"/>
        </w:rPr>
        <w:t>（一）抓党建夯基础，提供组织保障</w:t>
      </w:r>
    </w:p>
    <w:p>
      <w:pPr>
        <w:ind w:firstLine="560"/>
        <w:rPr>
          <w:rFonts w:hint="eastAsia" w:ascii="仿宋" w:hAnsi="仿宋" w:eastAsia="仿宋" w:cs="仿宋"/>
          <w:sz w:val="32"/>
          <w:szCs w:val="32"/>
        </w:rPr>
      </w:pPr>
      <w:r>
        <w:rPr>
          <w:rFonts w:hint="eastAsia" w:ascii="仿宋" w:hAnsi="仿宋" w:eastAsia="仿宋" w:cs="仿宋"/>
          <w:sz w:val="32"/>
          <w:szCs w:val="32"/>
        </w:rPr>
        <w:t>按照“系统谋划打基础，狠抓重点出亮点，突破难点解难题，开拓创新求特色”的党建工作思路，扎实开展“三自、六不”和执行力亮剑活动，完善农村两委换届后续工作，推进“四个覆盖”全面落实，夯基础、促规范、抓帮带、出特色，推动党建工作上档升级，为乡村和谐发展提供坚强组织保障。</w:t>
      </w:r>
    </w:p>
    <w:p>
      <w:pPr>
        <w:ind w:firstLine="560"/>
        <w:rPr>
          <w:rFonts w:hint="eastAsia" w:ascii="仿宋" w:hAnsi="仿宋" w:eastAsia="仿宋" w:cs="仿宋"/>
          <w:sz w:val="32"/>
          <w:szCs w:val="32"/>
        </w:rPr>
      </w:pPr>
      <w:r>
        <w:rPr>
          <w:rFonts w:hint="eastAsia" w:ascii="仿宋" w:hAnsi="仿宋" w:eastAsia="仿宋" w:cs="仿宋"/>
          <w:sz w:val="32"/>
          <w:szCs w:val="32"/>
        </w:rPr>
        <w:t>（二）抓扶贫强产业，推进结构调整</w:t>
      </w:r>
    </w:p>
    <w:p>
      <w:pPr>
        <w:ind w:firstLine="560"/>
        <w:rPr>
          <w:rFonts w:hint="eastAsia" w:ascii="仿宋" w:hAnsi="仿宋" w:eastAsia="仿宋" w:cs="仿宋"/>
          <w:sz w:val="32"/>
          <w:szCs w:val="32"/>
        </w:rPr>
      </w:pPr>
      <w:r>
        <w:rPr>
          <w:rFonts w:hint="eastAsia" w:ascii="仿宋" w:hAnsi="仿宋" w:eastAsia="仿宋" w:cs="仿宋"/>
          <w:sz w:val="32"/>
          <w:szCs w:val="32"/>
        </w:rPr>
        <w:t>按照“优势区位、整村推进、连片发展”的扶贫工作思路，抢抓机遇，进行精准扶贫指导3个扶贫村结合一事一议、以工代赈、基层组织建设年等帮扶政策进行科学规划，推进重点村的扶贫项目落地实施，对所申报项目严格论证，大力发展建成特色产业带。</w:t>
      </w:r>
    </w:p>
    <w:p>
      <w:pPr>
        <w:ind w:firstLine="560"/>
        <w:rPr>
          <w:rFonts w:hint="eastAsia" w:ascii="仿宋" w:hAnsi="仿宋" w:eastAsia="仿宋" w:cs="仿宋"/>
          <w:sz w:val="32"/>
          <w:szCs w:val="32"/>
        </w:rPr>
      </w:pPr>
      <w:r>
        <w:rPr>
          <w:rFonts w:hint="eastAsia" w:ascii="仿宋" w:hAnsi="仿宋" w:eastAsia="仿宋" w:cs="仿宋"/>
          <w:sz w:val="32"/>
          <w:szCs w:val="32"/>
        </w:rPr>
        <w:t>（三）抓民生促和谐，共享发展成果</w:t>
      </w:r>
    </w:p>
    <w:p>
      <w:pPr>
        <w:ind w:firstLine="560"/>
        <w:rPr>
          <w:rFonts w:hint="eastAsia" w:ascii="仿宋" w:hAnsi="仿宋" w:eastAsia="仿宋" w:cs="仿宋"/>
          <w:sz w:val="32"/>
          <w:szCs w:val="32"/>
        </w:rPr>
      </w:pPr>
      <w:r>
        <w:rPr>
          <w:rFonts w:hint="eastAsia" w:ascii="仿宋" w:hAnsi="仿宋" w:eastAsia="仿宋" w:cs="仿宋"/>
          <w:sz w:val="32"/>
          <w:szCs w:val="32"/>
        </w:rPr>
        <w:t>以抓民生为重点，加大工作力度，与扶贫措施落实相结合，落实各项惠民政策，从解决人民群众最关心、最现实的重点难点实事做起，完善基础设施、健全保障机制、提升服务水平，实现发展成果人人共享，打造和谐塔崖驿。</w:t>
      </w:r>
    </w:p>
    <w:p>
      <w:pPr>
        <w:ind w:firstLine="560"/>
        <w:rPr>
          <w:rFonts w:hint="eastAsia" w:ascii="仿宋" w:hAnsi="仿宋" w:eastAsia="仿宋" w:cs="仿宋"/>
          <w:sz w:val="32"/>
          <w:szCs w:val="32"/>
        </w:rPr>
      </w:pPr>
      <w:r>
        <w:rPr>
          <w:rFonts w:hint="eastAsia" w:ascii="仿宋" w:hAnsi="仿宋" w:eastAsia="仿宋" w:cs="仿宋"/>
          <w:sz w:val="32"/>
          <w:szCs w:val="32"/>
        </w:rPr>
        <w:t>（四）抓稳定求发展，加强社会管理</w:t>
      </w:r>
    </w:p>
    <w:p>
      <w:pPr>
        <w:ind w:firstLine="640"/>
        <w:rPr>
          <w:rFonts w:hint="eastAsia" w:ascii="黑体" w:hAnsi="黑体" w:eastAsia="黑体" w:cs="黑体"/>
          <w:sz w:val="32"/>
          <w:szCs w:val="32"/>
        </w:rPr>
      </w:pPr>
      <w:r>
        <w:rPr>
          <w:rFonts w:hint="eastAsia" w:ascii="仿宋" w:hAnsi="仿宋" w:eastAsia="仿宋" w:cs="仿宋"/>
          <w:sz w:val="32"/>
          <w:szCs w:val="32"/>
        </w:rPr>
        <w:t>树立“大综治”格局理念，将社会综合治理工作作为各项工作重中之重，落实责任、健全制度、强化措施，以建设“和谐乡村”为目标，加强创新社会管理，营造安全稳定和谐的生产生活环境。</w:t>
      </w:r>
    </w:p>
    <w:p>
      <w:pPr>
        <w:jc w:val="center"/>
        <w:outlineLvl w:val="0"/>
        <w:rPr>
          <w:rFonts w:hint="eastAsia" w:ascii="黑体" w:hAnsi="黑体" w:eastAsia="黑体" w:cs="黑体"/>
          <w:sz w:val="32"/>
          <w:szCs w:val="32"/>
        </w:rPr>
      </w:pPr>
      <w:r>
        <w:rPr>
          <w:rFonts w:hint="eastAsia" w:ascii="黑体" w:hAnsi="黑体" w:eastAsia="黑体" w:cs="黑体"/>
          <w:sz w:val="32"/>
          <w:szCs w:val="32"/>
        </w:rPr>
        <w:t>二、部门职责-工作活动绩效目标</w:t>
      </w:r>
    </w:p>
    <w:p>
      <w:pPr>
        <w:jc w:val="left"/>
        <w:outlineLvl w:val="0"/>
        <w:rPr>
          <w:rFonts w:hint="eastAsia"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1134" w:right="1020" w:bottom="1134" w:left="1020" w:header="851" w:footer="992" w:gutter="0"/>
          <w:cols w:space="720" w:num="1"/>
          <w:docGrid w:type="lines" w:linePitch="312" w:charSpace="0"/>
        </w:sect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994涞源县塔崖驿乡人民政府</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hint="eastAsia" w:ascii="仿宋" w:hAnsi="仿宋" w:eastAsia="仿宋" w:cs="仿宋"/>
                <w:b/>
                <w:sz w:val="24"/>
              </w:rPr>
            </w:pPr>
            <w:r>
              <w:rPr>
                <w:rFonts w:hint="eastAsia" w:ascii="仿宋" w:hAnsi="仿宋" w:eastAsia="仿宋" w:cs="仿宋"/>
                <w:b/>
                <w:sz w:val="24"/>
              </w:rPr>
              <w:t>职责活动</w:t>
            </w:r>
          </w:p>
        </w:tc>
        <w:tc>
          <w:tcPr>
            <w:tcW w:w="1276" w:type="dxa"/>
            <w:vMerge w:val="restart"/>
            <w:noWrap w:val="0"/>
            <w:vAlign w:val="center"/>
          </w:tcPr>
          <w:p>
            <w:pPr>
              <w:spacing w:line="300" w:lineRule="exact"/>
              <w:jc w:val="center"/>
              <w:rPr>
                <w:rFonts w:hint="eastAsia" w:ascii="仿宋" w:hAnsi="仿宋" w:eastAsia="仿宋" w:cs="仿宋"/>
                <w:b/>
                <w:sz w:val="24"/>
              </w:rPr>
            </w:pPr>
            <w:r>
              <w:rPr>
                <w:rFonts w:hint="eastAsia" w:ascii="仿宋" w:hAnsi="仿宋" w:eastAsia="仿宋" w:cs="仿宋"/>
                <w:b/>
                <w:sz w:val="24"/>
              </w:rPr>
              <w:t>年度预算数</w:t>
            </w:r>
          </w:p>
        </w:tc>
        <w:tc>
          <w:tcPr>
            <w:tcW w:w="2976" w:type="dxa"/>
            <w:vMerge w:val="restart"/>
            <w:noWrap w:val="0"/>
            <w:vAlign w:val="center"/>
          </w:tcPr>
          <w:p>
            <w:pPr>
              <w:spacing w:line="300" w:lineRule="exact"/>
              <w:jc w:val="center"/>
              <w:rPr>
                <w:rFonts w:hint="eastAsia" w:ascii="仿宋" w:hAnsi="仿宋" w:eastAsia="仿宋" w:cs="仿宋"/>
                <w:b/>
                <w:sz w:val="24"/>
              </w:rPr>
            </w:pPr>
            <w:r>
              <w:rPr>
                <w:rFonts w:hint="eastAsia" w:ascii="仿宋" w:hAnsi="仿宋" w:eastAsia="仿宋" w:cs="仿宋"/>
                <w:b/>
                <w:sz w:val="24"/>
              </w:rPr>
              <w:t>内容描述</w:t>
            </w:r>
          </w:p>
        </w:tc>
        <w:tc>
          <w:tcPr>
            <w:tcW w:w="2976" w:type="dxa"/>
            <w:vMerge w:val="restart"/>
            <w:noWrap w:val="0"/>
            <w:vAlign w:val="center"/>
          </w:tcPr>
          <w:p>
            <w:pPr>
              <w:spacing w:line="300" w:lineRule="exact"/>
              <w:jc w:val="center"/>
              <w:rPr>
                <w:rFonts w:hint="eastAsia" w:ascii="仿宋" w:hAnsi="仿宋" w:eastAsia="仿宋" w:cs="仿宋"/>
                <w:b/>
                <w:sz w:val="24"/>
              </w:rPr>
            </w:pPr>
            <w:r>
              <w:rPr>
                <w:rFonts w:hint="eastAsia" w:ascii="仿宋" w:hAnsi="仿宋" w:eastAsia="仿宋" w:cs="仿宋"/>
                <w:b/>
                <w:sz w:val="24"/>
              </w:rPr>
              <w:t>绩效目标</w:t>
            </w:r>
          </w:p>
        </w:tc>
        <w:tc>
          <w:tcPr>
            <w:tcW w:w="1417" w:type="dxa"/>
            <w:vMerge w:val="restart"/>
            <w:noWrap w:val="0"/>
            <w:vAlign w:val="center"/>
          </w:tcPr>
          <w:p>
            <w:pPr>
              <w:spacing w:line="300" w:lineRule="exact"/>
              <w:jc w:val="center"/>
              <w:rPr>
                <w:rFonts w:hint="eastAsia" w:ascii="仿宋" w:hAnsi="仿宋" w:eastAsia="仿宋" w:cs="仿宋"/>
                <w:b/>
                <w:sz w:val="24"/>
              </w:rPr>
            </w:pPr>
            <w:r>
              <w:rPr>
                <w:rFonts w:hint="eastAsia" w:ascii="仿宋" w:hAnsi="仿宋" w:eastAsia="仿宋" w:cs="仿宋"/>
                <w:b/>
                <w:sz w:val="24"/>
              </w:rPr>
              <w:t>绩效指标</w:t>
            </w:r>
          </w:p>
        </w:tc>
        <w:tc>
          <w:tcPr>
            <w:tcW w:w="2948" w:type="dxa"/>
            <w:gridSpan w:val="4"/>
            <w:noWrap w:val="0"/>
            <w:vAlign w:val="center"/>
          </w:tcPr>
          <w:p>
            <w:pPr>
              <w:spacing w:line="300" w:lineRule="exact"/>
              <w:jc w:val="center"/>
              <w:rPr>
                <w:rFonts w:hint="eastAsia" w:ascii="仿宋" w:hAnsi="仿宋" w:eastAsia="仿宋" w:cs="仿宋"/>
                <w:b/>
                <w:sz w:val="24"/>
              </w:rPr>
            </w:pPr>
            <w:r>
              <w:rPr>
                <w:rFonts w:hint="eastAsia" w:ascii="仿宋" w:hAnsi="仿宋" w:eastAsia="仿宋" w:cs="仿宋"/>
                <w:b/>
                <w:sz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rPr>
                <w:rFonts w:hint="eastAsia" w:ascii="仿宋" w:hAnsi="仿宋" w:eastAsia="仿宋" w:cs="仿宋"/>
                <w:sz w:val="24"/>
              </w:rPr>
            </w:pPr>
          </w:p>
        </w:tc>
        <w:tc>
          <w:tcPr>
            <w:tcW w:w="1276" w:type="dxa"/>
            <w:vMerge w:val="continue"/>
            <w:noWrap w:val="0"/>
            <w:vAlign w:val="center"/>
          </w:tcPr>
          <w:p>
            <w:pPr>
              <w:spacing w:line="300" w:lineRule="exact"/>
              <w:jc w:val="left"/>
              <w:outlineLvl w:val="0"/>
              <w:rPr>
                <w:rFonts w:hint="eastAsia" w:ascii="仿宋" w:hAnsi="仿宋" w:eastAsia="仿宋" w:cs="仿宋"/>
                <w:sz w:val="24"/>
              </w:rPr>
            </w:pPr>
          </w:p>
        </w:tc>
        <w:tc>
          <w:tcPr>
            <w:tcW w:w="2976" w:type="dxa"/>
            <w:vMerge w:val="continue"/>
            <w:noWrap w:val="0"/>
            <w:vAlign w:val="center"/>
          </w:tcPr>
          <w:p>
            <w:pPr>
              <w:spacing w:line="300" w:lineRule="exact"/>
              <w:jc w:val="left"/>
              <w:outlineLvl w:val="0"/>
              <w:rPr>
                <w:rFonts w:hint="eastAsia" w:ascii="仿宋" w:hAnsi="仿宋" w:eastAsia="仿宋" w:cs="仿宋"/>
                <w:sz w:val="24"/>
              </w:rPr>
            </w:pPr>
          </w:p>
        </w:tc>
        <w:tc>
          <w:tcPr>
            <w:tcW w:w="2976" w:type="dxa"/>
            <w:vMerge w:val="continue"/>
            <w:noWrap w:val="0"/>
            <w:vAlign w:val="center"/>
          </w:tcPr>
          <w:p>
            <w:pPr>
              <w:spacing w:line="300" w:lineRule="exact"/>
              <w:jc w:val="left"/>
              <w:outlineLvl w:val="0"/>
              <w:rPr>
                <w:rFonts w:hint="eastAsia" w:ascii="仿宋" w:hAnsi="仿宋" w:eastAsia="仿宋" w:cs="仿宋"/>
                <w:sz w:val="24"/>
              </w:rPr>
            </w:pPr>
          </w:p>
        </w:tc>
        <w:tc>
          <w:tcPr>
            <w:tcW w:w="1417" w:type="dxa"/>
            <w:vMerge w:val="continue"/>
            <w:noWrap w:val="0"/>
            <w:vAlign w:val="center"/>
          </w:tcPr>
          <w:p>
            <w:pPr>
              <w:spacing w:line="300" w:lineRule="exact"/>
              <w:jc w:val="left"/>
              <w:outlineLvl w:val="0"/>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b/>
                <w:sz w:val="24"/>
              </w:rPr>
            </w:pPr>
            <w:r>
              <w:rPr>
                <w:rFonts w:hint="eastAsia" w:ascii="仿宋" w:hAnsi="仿宋" w:eastAsia="仿宋" w:cs="仿宋"/>
                <w:b/>
                <w:sz w:val="24"/>
              </w:rPr>
              <w:t>优</w:t>
            </w:r>
          </w:p>
        </w:tc>
        <w:tc>
          <w:tcPr>
            <w:tcW w:w="737" w:type="dxa"/>
            <w:noWrap w:val="0"/>
            <w:vAlign w:val="center"/>
          </w:tcPr>
          <w:p>
            <w:pPr>
              <w:spacing w:line="300" w:lineRule="exact"/>
              <w:jc w:val="center"/>
              <w:rPr>
                <w:rFonts w:hint="eastAsia" w:ascii="仿宋" w:hAnsi="仿宋" w:eastAsia="仿宋" w:cs="仿宋"/>
                <w:b/>
                <w:sz w:val="24"/>
              </w:rPr>
            </w:pPr>
            <w:r>
              <w:rPr>
                <w:rFonts w:hint="eastAsia" w:ascii="仿宋" w:hAnsi="仿宋" w:eastAsia="仿宋" w:cs="仿宋"/>
                <w:b/>
                <w:sz w:val="24"/>
              </w:rPr>
              <w:t>良</w:t>
            </w:r>
          </w:p>
        </w:tc>
        <w:tc>
          <w:tcPr>
            <w:tcW w:w="737" w:type="dxa"/>
            <w:noWrap w:val="0"/>
            <w:vAlign w:val="center"/>
          </w:tcPr>
          <w:p>
            <w:pPr>
              <w:spacing w:line="300" w:lineRule="exact"/>
              <w:jc w:val="center"/>
              <w:rPr>
                <w:rFonts w:hint="eastAsia" w:ascii="仿宋" w:hAnsi="仿宋" w:eastAsia="仿宋" w:cs="仿宋"/>
                <w:b/>
                <w:sz w:val="24"/>
              </w:rPr>
            </w:pPr>
            <w:r>
              <w:rPr>
                <w:rFonts w:hint="eastAsia" w:ascii="仿宋" w:hAnsi="仿宋" w:eastAsia="仿宋" w:cs="仿宋"/>
                <w:b/>
                <w:sz w:val="24"/>
              </w:rPr>
              <w:t>中</w:t>
            </w:r>
          </w:p>
        </w:tc>
        <w:tc>
          <w:tcPr>
            <w:tcW w:w="737" w:type="dxa"/>
            <w:noWrap w:val="0"/>
            <w:vAlign w:val="center"/>
          </w:tcPr>
          <w:p>
            <w:pPr>
              <w:spacing w:line="300" w:lineRule="exact"/>
              <w:jc w:val="center"/>
              <w:rPr>
                <w:rFonts w:hint="eastAsia" w:ascii="仿宋" w:hAnsi="仿宋" w:eastAsia="仿宋" w:cs="仿宋"/>
                <w:b/>
                <w:sz w:val="24"/>
              </w:rPr>
            </w:pPr>
            <w:r>
              <w:rPr>
                <w:rFonts w:hint="eastAsia" w:ascii="仿宋" w:hAnsi="仿宋" w:eastAsia="仿宋" w:cs="仿宋"/>
                <w:b/>
                <w:sz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一、基层政权建设</w:t>
            </w:r>
          </w:p>
        </w:tc>
        <w:tc>
          <w:tcPr>
            <w:tcW w:w="12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4.00</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宣传贯彻执行党的路线、方针、政策和国家的法律法规，执行本级人民代表大会的决议和上级国家行政机关的决定和命令。</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乡镇要按照建设</w:t>
            </w:r>
            <w:r>
              <w:rPr>
                <w:rFonts w:hint="eastAsia" w:ascii="仿宋" w:hAnsi="仿宋" w:eastAsia="仿宋" w:cs="仿宋"/>
                <w:sz w:val="24"/>
                <w:cs/>
              </w:rPr>
              <w:t>“</w:t>
            </w:r>
            <w:r>
              <w:rPr>
                <w:rFonts w:hint="eastAsia" w:ascii="仿宋" w:hAnsi="仿宋" w:eastAsia="仿宋" w:cs="仿宋"/>
                <w:sz w:val="24"/>
              </w:rPr>
              <w:t>生产发展、生活宽裕、乡风文明、村容整洁、管理民主</w:t>
            </w:r>
            <w:r>
              <w:rPr>
                <w:rFonts w:hint="eastAsia" w:ascii="仿宋" w:hAnsi="仿宋" w:eastAsia="仿宋" w:cs="仿宋"/>
                <w:sz w:val="24"/>
                <w:cs/>
              </w:rPr>
              <w:t>”</w:t>
            </w:r>
            <w:r>
              <w:rPr>
                <w:rFonts w:hint="eastAsia" w:ascii="仿宋" w:hAnsi="仿宋" w:eastAsia="仿宋" w:cs="仿宋"/>
                <w:sz w:val="24"/>
              </w:rPr>
              <w:t>的社会主义新农村的要求，全面推进农村的经济、政治、文化、社会和经济发展。</w:t>
            </w:r>
          </w:p>
        </w:tc>
        <w:tc>
          <w:tcPr>
            <w:tcW w:w="1417" w:type="dxa"/>
            <w:noWrap w:val="0"/>
            <w:vAlign w:val="center"/>
          </w:tcPr>
          <w:p>
            <w:pPr>
              <w:spacing w:line="300" w:lineRule="exact"/>
              <w:jc w:val="left"/>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1、加强基层政权建设</w:t>
            </w:r>
          </w:p>
        </w:tc>
        <w:tc>
          <w:tcPr>
            <w:tcW w:w="1276" w:type="dxa"/>
            <w:vMerge w:val="restart"/>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4.00</w:t>
            </w:r>
          </w:p>
        </w:tc>
        <w:tc>
          <w:tcPr>
            <w:tcW w:w="2976" w:type="dxa"/>
            <w:vMerge w:val="restart"/>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促进经济发展，加强社会管理，提供公共服务，维护农村稳定。</w:t>
            </w:r>
          </w:p>
        </w:tc>
        <w:tc>
          <w:tcPr>
            <w:tcW w:w="2976" w:type="dxa"/>
            <w:vMerge w:val="restart"/>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抓住经济发展这个第一要务，加强社会管理和公共服务职能，逐步实现由管理型向服务型转变，努力建设服务型、法制型政府，更好为</w:t>
            </w:r>
            <w:r>
              <w:rPr>
                <w:rFonts w:hint="eastAsia" w:ascii="仿宋" w:hAnsi="仿宋" w:eastAsia="仿宋" w:cs="仿宋"/>
                <w:sz w:val="24"/>
                <w:cs/>
              </w:rPr>
              <w:t>“</w:t>
            </w:r>
            <w:r>
              <w:rPr>
                <w:rFonts w:hint="eastAsia" w:ascii="仿宋" w:hAnsi="仿宋" w:eastAsia="仿宋" w:cs="仿宋"/>
                <w:sz w:val="24"/>
              </w:rPr>
              <w:t>三农</w:t>
            </w:r>
            <w:r>
              <w:rPr>
                <w:rFonts w:hint="eastAsia" w:ascii="仿宋" w:hAnsi="仿宋" w:eastAsia="仿宋" w:cs="仿宋"/>
                <w:sz w:val="24"/>
                <w:cs/>
              </w:rPr>
              <w:t>”</w:t>
            </w:r>
            <w:r>
              <w:rPr>
                <w:rFonts w:hint="eastAsia" w:ascii="仿宋" w:hAnsi="仿宋" w:eastAsia="仿宋" w:cs="仿宋"/>
                <w:sz w:val="24"/>
              </w:rPr>
              <w:t>服务。</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效果指标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很满意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基本满意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仿宋" w:hAnsi="仿宋" w:eastAsia="仿宋" w:cs="仿宋"/>
                <w:b/>
                <w:sz w:val="24"/>
              </w:rPr>
            </w:pPr>
          </w:p>
        </w:tc>
        <w:tc>
          <w:tcPr>
            <w:tcW w:w="1276" w:type="dxa"/>
            <w:vMerge w:val="continue"/>
            <w:noWrap w:val="0"/>
            <w:vAlign w:val="center"/>
          </w:tcPr>
          <w:p>
            <w:pPr>
              <w:spacing w:line="300" w:lineRule="exact"/>
              <w:jc w:val="left"/>
              <w:rPr>
                <w:rFonts w:hint="eastAsia" w:ascii="仿宋" w:hAnsi="仿宋" w:eastAsia="仿宋" w:cs="仿宋"/>
                <w:sz w:val="24"/>
              </w:rPr>
            </w:pPr>
          </w:p>
        </w:tc>
        <w:tc>
          <w:tcPr>
            <w:tcW w:w="2976" w:type="dxa"/>
            <w:vMerge w:val="continue"/>
            <w:noWrap w:val="0"/>
            <w:vAlign w:val="center"/>
          </w:tcPr>
          <w:p>
            <w:pPr>
              <w:spacing w:line="300" w:lineRule="exact"/>
              <w:jc w:val="left"/>
              <w:rPr>
                <w:rFonts w:hint="eastAsia" w:ascii="仿宋" w:hAnsi="仿宋" w:eastAsia="仿宋" w:cs="仿宋"/>
                <w:sz w:val="24"/>
              </w:rPr>
            </w:pPr>
          </w:p>
        </w:tc>
        <w:tc>
          <w:tcPr>
            <w:tcW w:w="2976" w:type="dxa"/>
            <w:vMerge w:val="continue"/>
            <w:noWrap w:val="0"/>
            <w:vAlign w:val="center"/>
          </w:tcPr>
          <w:p>
            <w:pPr>
              <w:spacing w:line="300" w:lineRule="exact"/>
              <w:jc w:val="left"/>
              <w:rPr>
                <w:rFonts w:hint="eastAsia" w:ascii="仿宋" w:hAnsi="仿宋" w:eastAsia="仿宋" w:cs="仿宋"/>
                <w:sz w:val="24"/>
              </w:rPr>
            </w:pP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产出指标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基层政权建设及乡镇经济发展的水平。</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极强</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强</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一般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二、党组织建设和基层民主整治建设。</w:t>
            </w:r>
          </w:p>
        </w:tc>
        <w:tc>
          <w:tcPr>
            <w:tcW w:w="1276" w:type="dxa"/>
            <w:noWrap w:val="0"/>
            <w:vAlign w:val="center"/>
          </w:tcPr>
          <w:p>
            <w:pPr>
              <w:spacing w:line="300" w:lineRule="exact"/>
              <w:jc w:val="left"/>
              <w:rPr>
                <w:rFonts w:hint="eastAsia" w:ascii="仿宋" w:hAnsi="仿宋" w:eastAsia="仿宋" w:cs="仿宋"/>
                <w:sz w:val="24"/>
              </w:rPr>
            </w:pP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搞好农村党组织建设和基层民主政治建设。</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保障法律法规赋予公民的基本权利，负责基层支部书记及支部委员的培训和管理。</w:t>
            </w:r>
          </w:p>
        </w:tc>
        <w:tc>
          <w:tcPr>
            <w:tcW w:w="1417" w:type="dxa"/>
            <w:noWrap w:val="0"/>
            <w:vAlign w:val="center"/>
          </w:tcPr>
          <w:p>
            <w:pPr>
              <w:spacing w:line="300" w:lineRule="exact"/>
              <w:jc w:val="left"/>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1、抓好基层党组织组织建设和法治建设。</w:t>
            </w:r>
          </w:p>
        </w:tc>
        <w:tc>
          <w:tcPr>
            <w:tcW w:w="1276" w:type="dxa"/>
            <w:noWrap w:val="0"/>
            <w:vAlign w:val="center"/>
          </w:tcPr>
          <w:p>
            <w:pPr>
              <w:spacing w:line="300" w:lineRule="exact"/>
              <w:jc w:val="left"/>
              <w:rPr>
                <w:rFonts w:hint="eastAsia" w:ascii="仿宋" w:hAnsi="仿宋" w:eastAsia="仿宋" w:cs="仿宋"/>
                <w:sz w:val="24"/>
              </w:rPr>
            </w:pP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抓好基层党组织建设和基层民主政治建设，保障法律法规赋予公民的基本权利。</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基层党组织战斗力强、民主政治建设制度健全。</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产出指标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反映基层党组织战斗力及民主建设情况。</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极强</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强</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一般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三、指导、协调、联络工作。</w:t>
            </w:r>
          </w:p>
        </w:tc>
        <w:tc>
          <w:tcPr>
            <w:tcW w:w="1276" w:type="dxa"/>
            <w:noWrap w:val="0"/>
            <w:vAlign w:val="center"/>
          </w:tcPr>
          <w:p>
            <w:pPr>
              <w:spacing w:line="300" w:lineRule="exact"/>
              <w:jc w:val="left"/>
              <w:rPr>
                <w:rFonts w:hint="eastAsia" w:ascii="仿宋" w:hAnsi="仿宋" w:eastAsia="仿宋" w:cs="仿宋"/>
                <w:sz w:val="24"/>
              </w:rPr>
            </w:pP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协调与其他单位、部门单位之间的关系。</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保障对人大、武装、群团、政协及派驻乡各类机构的工作、指导及协调，保障乡总体情况的综合与统计、文秘、文书档案管理及上报下达工作及纪检监察与人民武装等工作的顺利进行。</w:t>
            </w:r>
          </w:p>
        </w:tc>
        <w:tc>
          <w:tcPr>
            <w:tcW w:w="1417" w:type="dxa"/>
            <w:noWrap w:val="0"/>
            <w:vAlign w:val="center"/>
          </w:tcPr>
          <w:p>
            <w:pPr>
              <w:spacing w:line="300" w:lineRule="exact"/>
              <w:jc w:val="left"/>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1、协调各单位、各部门之间的关系。</w:t>
            </w:r>
          </w:p>
        </w:tc>
        <w:tc>
          <w:tcPr>
            <w:tcW w:w="1276" w:type="dxa"/>
            <w:noWrap w:val="0"/>
            <w:vAlign w:val="center"/>
          </w:tcPr>
          <w:p>
            <w:pPr>
              <w:spacing w:line="300" w:lineRule="exact"/>
              <w:jc w:val="left"/>
              <w:rPr>
                <w:rFonts w:hint="eastAsia" w:ascii="仿宋" w:hAnsi="仿宋" w:eastAsia="仿宋" w:cs="仿宋"/>
                <w:sz w:val="24"/>
              </w:rPr>
            </w:pP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保障人大、武装、纪检监察等各项工作顺利开展。</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各项工作任务顺利完成。</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效果指标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反映通过乡镇党政办同各个单位、各个部门的沟通协调，各项工作任务完成率。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≥95%</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≥90%</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四、信访、维稳及乡村法制建设。</w:t>
            </w:r>
          </w:p>
        </w:tc>
        <w:tc>
          <w:tcPr>
            <w:tcW w:w="12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6.00</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建立完善协调联动机制，建立健全调解防范体制，完善村、乡两级组织，充分发挥村级自治和司法解释的作用。</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及时有效处理群众来信来访，调查社情民意，扶持弱势群众，加强重点监管，搞好农村矛盾纠纷的排查调处，加强社会治安综合治理，维护社会安全秩序，妥善处理突发性群体事件，协助司法机关打击各类刑事犯罪活动。</w:t>
            </w:r>
          </w:p>
        </w:tc>
        <w:tc>
          <w:tcPr>
            <w:tcW w:w="1417" w:type="dxa"/>
            <w:noWrap w:val="0"/>
            <w:vAlign w:val="center"/>
          </w:tcPr>
          <w:p>
            <w:pPr>
              <w:spacing w:line="300" w:lineRule="exact"/>
              <w:jc w:val="left"/>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1、处理来信来访、加强法制建设。</w:t>
            </w:r>
          </w:p>
        </w:tc>
        <w:tc>
          <w:tcPr>
            <w:tcW w:w="12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6.00</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及时有效的了解民情民意、扶持弱势群众，加强社会治安管理，维护社会安定秩序。</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处理群众来信来访，社会综合治理达到群众满意。</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效果指标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群众满意度。</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很满意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基本满意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五、制定产业规划，调整发展模式，发展村级经济。</w:t>
            </w:r>
          </w:p>
        </w:tc>
        <w:tc>
          <w:tcPr>
            <w:tcW w:w="1276" w:type="dxa"/>
            <w:noWrap w:val="0"/>
            <w:vAlign w:val="center"/>
          </w:tcPr>
          <w:p>
            <w:pPr>
              <w:spacing w:line="300" w:lineRule="exact"/>
              <w:jc w:val="left"/>
              <w:rPr>
                <w:rFonts w:hint="eastAsia" w:ascii="仿宋" w:hAnsi="仿宋" w:eastAsia="仿宋" w:cs="仿宋"/>
                <w:sz w:val="24"/>
              </w:rPr>
            </w:pP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科学制定本乡产业规划，谋划适应乡镇实际的发展模式，并组织实施。</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推进农业结构调整，引导发展生产；促进招商引资和项目建设，加强农村市场体系建设，大力发展民营经济，培育和发展农民专业合作组织和中介组织，壮大第二、第三产业，增强农村集体经济组织实力。搞好土地承包服务、使用权流转的服务，指导合同的签证。</w:t>
            </w:r>
          </w:p>
        </w:tc>
        <w:tc>
          <w:tcPr>
            <w:tcW w:w="1417" w:type="dxa"/>
            <w:noWrap w:val="0"/>
            <w:vAlign w:val="center"/>
          </w:tcPr>
          <w:p>
            <w:pPr>
              <w:spacing w:line="300" w:lineRule="exact"/>
              <w:jc w:val="left"/>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1、制定产业规划，培育和发展农民专业合作组织和中介组织。</w:t>
            </w:r>
          </w:p>
        </w:tc>
        <w:tc>
          <w:tcPr>
            <w:tcW w:w="1276" w:type="dxa"/>
            <w:noWrap w:val="0"/>
            <w:vAlign w:val="center"/>
          </w:tcPr>
          <w:p>
            <w:pPr>
              <w:spacing w:line="300" w:lineRule="exact"/>
              <w:jc w:val="left"/>
              <w:rPr>
                <w:rFonts w:hint="eastAsia" w:ascii="仿宋" w:hAnsi="仿宋" w:eastAsia="仿宋" w:cs="仿宋"/>
                <w:sz w:val="24"/>
              </w:rPr>
            </w:pP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壮大第二、第三产业，增强农村集体经济组织经济实力。</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农村集体经济实力明显增强。</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产出指标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农村集体经济实力明显增强，群众得实惠情况。</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≥95%</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≥90%</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六、乡村财政资金管理，惠农资金、占地补偿款发放。</w:t>
            </w:r>
          </w:p>
        </w:tc>
        <w:tc>
          <w:tcPr>
            <w:tcW w:w="12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32.24</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加强乡村财政资金管理。惠农资金、占地补偿款及时发放。</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负责本级财务管理工作指导、监督各村管好用好集体资金，负责城镇建设的有关职责。惠农资金、占地补偿款发放是否及时。</w:t>
            </w:r>
          </w:p>
        </w:tc>
        <w:tc>
          <w:tcPr>
            <w:tcW w:w="1417" w:type="dxa"/>
            <w:noWrap w:val="0"/>
            <w:vAlign w:val="center"/>
          </w:tcPr>
          <w:p>
            <w:pPr>
              <w:spacing w:line="300" w:lineRule="exact"/>
              <w:jc w:val="left"/>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1、乡村财政资金管理，惠农资金、占地补偿款发放。</w:t>
            </w:r>
          </w:p>
        </w:tc>
        <w:tc>
          <w:tcPr>
            <w:tcW w:w="1276" w:type="dxa"/>
            <w:vMerge w:val="restart"/>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32.24</w:t>
            </w:r>
          </w:p>
        </w:tc>
        <w:tc>
          <w:tcPr>
            <w:tcW w:w="2976" w:type="dxa"/>
            <w:vMerge w:val="restart"/>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负责本级财务管理工作指导、监督各村管好用好集体资金，负责城镇建设的有关职责。惠农资金、占地补偿款发放是否及时。</w:t>
            </w:r>
          </w:p>
        </w:tc>
        <w:tc>
          <w:tcPr>
            <w:tcW w:w="2976" w:type="dxa"/>
            <w:vMerge w:val="restart"/>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农村集体资金能够做到合法、合理利用。</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效果指标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很满意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基本满意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仿宋" w:hAnsi="仿宋" w:eastAsia="仿宋" w:cs="仿宋"/>
                <w:b/>
                <w:sz w:val="24"/>
              </w:rPr>
            </w:pPr>
          </w:p>
        </w:tc>
        <w:tc>
          <w:tcPr>
            <w:tcW w:w="1276" w:type="dxa"/>
            <w:vMerge w:val="continue"/>
            <w:noWrap w:val="0"/>
            <w:vAlign w:val="center"/>
          </w:tcPr>
          <w:p>
            <w:pPr>
              <w:spacing w:line="300" w:lineRule="exact"/>
              <w:jc w:val="left"/>
              <w:rPr>
                <w:rFonts w:hint="eastAsia" w:ascii="仿宋" w:hAnsi="仿宋" w:eastAsia="仿宋" w:cs="仿宋"/>
                <w:sz w:val="24"/>
              </w:rPr>
            </w:pPr>
          </w:p>
        </w:tc>
        <w:tc>
          <w:tcPr>
            <w:tcW w:w="2976" w:type="dxa"/>
            <w:vMerge w:val="continue"/>
            <w:noWrap w:val="0"/>
            <w:vAlign w:val="center"/>
          </w:tcPr>
          <w:p>
            <w:pPr>
              <w:spacing w:line="300" w:lineRule="exact"/>
              <w:jc w:val="left"/>
              <w:rPr>
                <w:rFonts w:hint="eastAsia" w:ascii="仿宋" w:hAnsi="仿宋" w:eastAsia="仿宋" w:cs="仿宋"/>
                <w:sz w:val="24"/>
              </w:rPr>
            </w:pPr>
          </w:p>
        </w:tc>
        <w:tc>
          <w:tcPr>
            <w:tcW w:w="2976" w:type="dxa"/>
            <w:vMerge w:val="continue"/>
            <w:noWrap w:val="0"/>
            <w:vAlign w:val="center"/>
          </w:tcPr>
          <w:p>
            <w:pPr>
              <w:spacing w:line="300" w:lineRule="exact"/>
              <w:jc w:val="left"/>
              <w:rPr>
                <w:rFonts w:hint="eastAsia" w:ascii="仿宋" w:hAnsi="仿宋" w:eastAsia="仿宋" w:cs="仿宋"/>
                <w:sz w:val="24"/>
              </w:rPr>
            </w:pP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效果指标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反映村集体资金的合法、合理使用情况。</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很满意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基本满意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七、社会事务管理和社会保障。</w:t>
            </w:r>
          </w:p>
        </w:tc>
        <w:tc>
          <w:tcPr>
            <w:tcW w:w="12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25.33</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协助县直有关部门做好农村社会保障工作，建立健全农村合作医疗、低保、救济等制度，搞好优抚工作，解除农民后顾之忧。</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加强对农村劳动力的职业培训，扩大农村富余劳动力就业；协助县直有关部门做好公共事业管理工作；拥军拥属、救灾扶贫，妥善安置残疾人就业，负责殡葬改革工作，指导村民委员会的建设和换届选举工作。</w:t>
            </w:r>
          </w:p>
        </w:tc>
        <w:tc>
          <w:tcPr>
            <w:tcW w:w="1417" w:type="dxa"/>
            <w:noWrap w:val="0"/>
            <w:vAlign w:val="center"/>
          </w:tcPr>
          <w:p>
            <w:pPr>
              <w:spacing w:line="300" w:lineRule="exact"/>
              <w:jc w:val="left"/>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1、就业及劳动技能培训。</w:t>
            </w:r>
          </w:p>
        </w:tc>
        <w:tc>
          <w:tcPr>
            <w:tcW w:w="1276" w:type="dxa"/>
            <w:noWrap w:val="0"/>
            <w:vAlign w:val="center"/>
          </w:tcPr>
          <w:p>
            <w:pPr>
              <w:spacing w:line="300" w:lineRule="exact"/>
              <w:jc w:val="left"/>
              <w:rPr>
                <w:rFonts w:hint="eastAsia" w:ascii="仿宋" w:hAnsi="仿宋" w:eastAsia="仿宋" w:cs="仿宋"/>
                <w:sz w:val="24"/>
              </w:rPr>
            </w:pP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加强对农村劳动力的职业培训，扩大农村富余劳动力就业。</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农村富余劳动力就业率高。</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产出指标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通过职业技能培训，农村富余劳动力就业情况。</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≥95%</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≥90%</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2、社会事务管理</w:t>
            </w:r>
          </w:p>
        </w:tc>
        <w:tc>
          <w:tcPr>
            <w:tcW w:w="12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20.00</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协助县直有关部门做好公共事业管理工作；拥军拥属、救灾扶贫，妥善安置残疾人就业，负责殡葬改革工作，指导村民委员会的建设和换届选举工作。。</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群众对社保工作满意。</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效果指标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群众对社保工作满意。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≥95%</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≥90%</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3、民政事务</w:t>
            </w:r>
          </w:p>
        </w:tc>
        <w:tc>
          <w:tcPr>
            <w:tcW w:w="12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0.33</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反映民政部门接待来访、法制建设、政策宣传方面的支出。</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群众满意度</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效果</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非常满意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基本满意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4、防火、防汛</w:t>
            </w:r>
          </w:p>
        </w:tc>
        <w:tc>
          <w:tcPr>
            <w:tcW w:w="1276" w:type="dxa"/>
            <w:vMerge w:val="restart"/>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3.00</w:t>
            </w:r>
          </w:p>
        </w:tc>
        <w:tc>
          <w:tcPr>
            <w:tcW w:w="2976" w:type="dxa"/>
            <w:vMerge w:val="restart"/>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反映辖区内预防扑救火灾、自然水旱灾害等发生的支出。</w:t>
            </w:r>
          </w:p>
        </w:tc>
        <w:tc>
          <w:tcPr>
            <w:tcW w:w="2976" w:type="dxa"/>
            <w:vMerge w:val="restart"/>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防火工作</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效果指标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非常满意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一般满意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仿宋" w:hAnsi="仿宋" w:eastAsia="仿宋" w:cs="仿宋"/>
                <w:b/>
                <w:sz w:val="24"/>
              </w:rPr>
            </w:pPr>
          </w:p>
        </w:tc>
        <w:tc>
          <w:tcPr>
            <w:tcW w:w="1276" w:type="dxa"/>
            <w:vMerge w:val="continue"/>
            <w:noWrap w:val="0"/>
            <w:vAlign w:val="center"/>
          </w:tcPr>
          <w:p>
            <w:pPr>
              <w:spacing w:line="300" w:lineRule="exact"/>
              <w:jc w:val="left"/>
              <w:rPr>
                <w:rFonts w:hint="eastAsia" w:ascii="仿宋" w:hAnsi="仿宋" w:eastAsia="仿宋" w:cs="仿宋"/>
                <w:sz w:val="24"/>
              </w:rPr>
            </w:pPr>
          </w:p>
        </w:tc>
        <w:tc>
          <w:tcPr>
            <w:tcW w:w="2976" w:type="dxa"/>
            <w:vMerge w:val="continue"/>
            <w:noWrap w:val="0"/>
            <w:vAlign w:val="center"/>
          </w:tcPr>
          <w:p>
            <w:pPr>
              <w:spacing w:line="300" w:lineRule="exact"/>
              <w:jc w:val="left"/>
              <w:rPr>
                <w:rFonts w:hint="eastAsia" w:ascii="仿宋" w:hAnsi="仿宋" w:eastAsia="仿宋" w:cs="仿宋"/>
                <w:sz w:val="24"/>
              </w:rPr>
            </w:pPr>
          </w:p>
        </w:tc>
        <w:tc>
          <w:tcPr>
            <w:tcW w:w="2976" w:type="dxa"/>
            <w:vMerge w:val="continue"/>
            <w:noWrap w:val="0"/>
            <w:vAlign w:val="center"/>
          </w:tcPr>
          <w:p>
            <w:pPr>
              <w:spacing w:line="300" w:lineRule="exact"/>
              <w:jc w:val="left"/>
              <w:rPr>
                <w:rFonts w:hint="eastAsia" w:ascii="仿宋" w:hAnsi="仿宋" w:eastAsia="仿宋" w:cs="仿宋"/>
                <w:sz w:val="24"/>
              </w:rPr>
            </w:pP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效果指标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非常满意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一般满意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5、农村环境保护</w:t>
            </w:r>
          </w:p>
        </w:tc>
        <w:tc>
          <w:tcPr>
            <w:tcW w:w="12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2.00</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反映用于农村环境保护方面的支出。</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农村环境治理</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效果指标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90%&gt;</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80%&gt;</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60%&gt;</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八、卫生与计划生育</w:t>
            </w:r>
          </w:p>
        </w:tc>
        <w:tc>
          <w:tcPr>
            <w:tcW w:w="12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0.98</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做好卫生工作提供各类计划生育技术服务，建立利益导向机制，开展出生人口性别比治理以及流动人口计划生育管理等各项工作。</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贯彻落实党和国家有关卫生、计划生育的法律、法规及政策、方针；组织制定本辖区卫生、计划生育工作目标、计划，并检查督促执行；负责本辖区有关卫生、计划生育工作的群众来信来访处理、接待及大幅工作；依法对违反卫生、计划生育规定的事件进行调查处理。</w:t>
            </w:r>
          </w:p>
        </w:tc>
        <w:tc>
          <w:tcPr>
            <w:tcW w:w="1417" w:type="dxa"/>
            <w:noWrap w:val="0"/>
            <w:vAlign w:val="center"/>
          </w:tcPr>
          <w:p>
            <w:pPr>
              <w:spacing w:line="300" w:lineRule="exact"/>
              <w:jc w:val="left"/>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1、计划生育服务。</w:t>
            </w:r>
          </w:p>
        </w:tc>
        <w:tc>
          <w:tcPr>
            <w:tcW w:w="12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0.65</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免费为农村计划怀孕夫妇实行孕前优生健康检查；免费为公民提供计划生育避孕节育基本技术服务；免费为农村已婚育龄妇女提供生殖健康检查服务。</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有效降低出生缺陷发生风险；为各类育龄人群提供安全、有效避孕节育技术服务。</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效果指标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检查的目标人数占总目标人数比例。</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≥95%</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≥90%</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2、计划生育奖励扶持政策。</w:t>
            </w:r>
          </w:p>
        </w:tc>
        <w:tc>
          <w:tcPr>
            <w:tcW w:w="1276" w:type="dxa"/>
            <w:noWrap w:val="0"/>
            <w:vAlign w:val="center"/>
          </w:tcPr>
          <w:p>
            <w:pPr>
              <w:spacing w:line="300" w:lineRule="exact"/>
              <w:jc w:val="left"/>
              <w:rPr>
                <w:rFonts w:hint="eastAsia" w:ascii="仿宋" w:hAnsi="仿宋" w:eastAsia="仿宋" w:cs="仿宋"/>
                <w:sz w:val="24"/>
              </w:rPr>
            </w:pP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采取奖励、扶助、社会保障等机制，引导家庭和个人打取计划生育措施，提高计划生育家庭发展能力。</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稳定适度的低生育水平，提高计划生育家庭发展能力，增强计划生育家庭及成员幸福感。</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效果指标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群众满意度。</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≥95%</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≥90%</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3、计划生育政策宣传、计划生育专职人员培训。</w:t>
            </w:r>
          </w:p>
        </w:tc>
        <w:tc>
          <w:tcPr>
            <w:tcW w:w="1276" w:type="dxa"/>
            <w:noWrap w:val="0"/>
            <w:vAlign w:val="center"/>
          </w:tcPr>
          <w:p>
            <w:pPr>
              <w:spacing w:line="300" w:lineRule="exact"/>
              <w:jc w:val="left"/>
              <w:rPr>
                <w:rFonts w:hint="eastAsia" w:ascii="仿宋" w:hAnsi="仿宋" w:eastAsia="仿宋" w:cs="仿宋"/>
                <w:sz w:val="24"/>
              </w:rPr>
            </w:pP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通过计划生育宣传、培训，提高计生专职人员的业务素质，提高辖区内计划生育家庭的幸福。</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通过计划生育宣传、培训，提高计生专职人员的业务素质。</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产出指标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全面掌握计划生育政策、计生专职人员的业务水平大幅提高。</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很满意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基本满意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4、卫生服务</w:t>
            </w:r>
          </w:p>
        </w:tc>
        <w:tc>
          <w:tcPr>
            <w:tcW w:w="12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0.33</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基层医疗卫生机构支出。</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提高群众满意度</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效果指标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非常满意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基本满意</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九、农村文化、精神文明奖建设</w:t>
            </w:r>
          </w:p>
        </w:tc>
        <w:tc>
          <w:tcPr>
            <w:tcW w:w="1276" w:type="dxa"/>
            <w:noWrap w:val="0"/>
            <w:vAlign w:val="center"/>
          </w:tcPr>
          <w:p>
            <w:pPr>
              <w:spacing w:line="300" w:lineRule="exact"/>
              <w:jc w:val="left"/>
              <w:rPr>
                <w:rFonts w:hint="eastAsia" w:ascii="仿宋" w:hAnsi="仿宋" w:eastAsia="仿宋" w:cs="仿宋"/>
                <w:sz w:val="24"/>
              </w:rPr>
            </w:pP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宣传国家的方针政策、活跃农村文化生活，负责群众文化工作，组织各种群众文化活动。</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做好文化宣传工作，积极宣传国家的方针政策；加强对外联系，不断改进文化广播各项业务工作；负责乡镇及各村在文化广播事业上的有关技术工作和文化市场信息反馈工作；完成乡党委、政府及上级有关部门交办的其他工作。</w:t>
            </w:r>
          </w:p>
        </w:tc>
        <w:tc>
          <w:tcPr>
            <w:tcW w:w="1417" w:type="dxa"/>
            <w:noWrap w:val="0"/>
            <w:vAlign w:val="center"/>
          </w:tcPr>
          <w:p>
            <w:pPr>
              <w:spacing w:line="300" w:lineRule="exact"/>
              <w:jc w:val="left"/>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c>
          <w:tcPr>
            <w:tcW w:w="737" w:type="dxa"/>
            <w:noWrap w:val="0"/>
            <w:vAlign w:val="center"/>
          </w:tcPr>
          <w:p>
            <w:pPr>
              <w:spacing w:line="300" w:lineRule="exact"/>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 w:hAnsi="仿宋" w:eastAsia="仿宋" w:cs="仿宋"/>
                <w:b/>
                <w:sz w:val="24"/>
              </w:rPr>
            </w:pPr>
            <w:r>
              <w:rPr>
                <w:rFonts w:hint="eastAsia" w:ascii="仿宋" w:hAnsi="仿宋" w:eastAsia="仿宋" w:cs="仿宋"/>
                <w:b/>
                <w:sz w:val="24"/>
              </w:rPr>
              <w:t>　　1、宣传国家的方针政策、活跃农村文化生活。</w:t>
            </w:r>
          </w:p>
        </w:tc>
        <w:tc>
          <w:tcPr>
            <w:tcW w:w="1276" w:type="dxa"/>
            <w:noWrap w:val="0"/>
            <w:vAlign w:val="center"/>
          </w:tcPr>
          <w:p>
            <w:pPr>
              <w:spacing w:line="300" w:lineRule="exact"/>
              <w:jc w:val="left"/>
              <w:rPr>
                <w:rFonts w:hint="eastAsia" w:ascii="仿宋" w:hAnsi="仿宋" w:eastAsia="仿宋" w:cs="仿宋"/>
                <w:sz w:val="24"/>
              </w:rPr>
            </w:pP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p>
        </w:tc>
        <w:tc>
          <w:tcPr>
            <w:tcW w:w="2976"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农村文化、精神文明奖建设</w:t>
            </w:r>
          </w:p>
        </w:tc>
        <w:tc>
          <w:tcPr>
            <w:tcW w:w="1417" w:type="dxa"/>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效果指标</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群众满意度</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≥95%</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≥90%</w:t>
            </w:r>
          </w:p>
        </w:tc>
        <w:tc>
          <w:tcPr>
            <w:tcW w:w="737" w:type="dxa"/>
            <w:noWrap w:val="0"/>
            <w:vAlign w:val="center"/>
          </w:tcPr>
          <w:p>
            <w:pPr>
              <w:spacing w:line="300" w:lineRule="exact"/>
              <w:jc w:val="center"/>
              <w:rPr>
                <w:rFonts w:hint="eastAsia" w:ascii="仿宋" w:hAnsi="仿宋" w:eastAsia="仿宋" w:cs="仿宋"/>
                <w:sz w:val="24"/>
              </w:rPr>
            </w:pPr>
            <w:r>
              <w:rPr>
                <w:rFonts w:hint="eastAsia" w:ascii="仿宋" w:hAnsi="仿宋" w:eastAsia="仿宋" w:cs="仿宋"/>
                <w:sz w:val="24"/>
              </w:rPr>
              <w:t>≥80%</w:t>
            </w:r>
          </w:p>
        </w:tc>
      </w:tr>
    </w:tbl>
    <w:p>
      <w:pPr>
        <w:spacing w:line="520" w:lineRule="exact"/>
        <w:ind w:firstLine="643" w:firstLineChars="200"/>
        <w:jc w:val="left"/>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六、</w:t>
      </w:r>
      <w:r>
        <w:rPr>
          <w:rFonts w:hint="eastAsia" w:ascii="宋体" w:hAnsi="宋体" w:eastAsia="宋体" w:cs="宋体"/>
          <w:b/>
          <w:bCs/>
          <w:sz w:val="32"/>
          <w:szCs w:val="32"/>
          <w:lang w:val="en-US" w:eastAsia="zh-CN"/>
        </w:rPr>
        <w:t>政府采购预算情况</w:t>
      </w:r>
    </w:p>
    <w:p>
      <w:pPr>
        <w:outlineLvl w:val="0"/>
        <w:rPr>
          <w:rFonts w:hint="eastAsia" w:ascii="仿宋" w:hAnsi="仿宋" w:eastAsia="仿宋" w:cs="仿宋"/>
          <w:sz w:val="32"/>
          <w:szCs w:val="32"/>
        </w:rPr>
      </w:pPr>
      <w:r>
        <w:rPr>
          <w:rFonts w:hint="eastAsia" w:ascii="仿宋" w:hAnsi="仿宋" w:eastAsia="仿宋" w:cs="仿宋"/>
          <w:sz w:val="32"/>
          <w:szCs w:val="32"/>
        </w:rPr>
        <w:t xml:space="preserve">    我部门2019年无政府采购预算。</w:t>
      </w:r>
    </w:p>
    <w:p>
      <w:pPr>
        <w:jc w:val="center"/>
        <w:rPr>
          <w:rFonts w:hint="eastAsia" w:ascii="仿宋" w:hAnsi="仿宋" w:eastAsia="仿宋"/>
          <w:b/>
          <w:sz w:val="32"/>
          <w:szCs w:val="32"/>
        </w:rPr>
      </w:pPr>
      <w:r>
        <w:rPr>
          <w:rFonts w:hint="eastAsia" w:ascii="仿宋" w:hAnsi="仿宋" w:eastAsia="仿宋"/>
          <w:b/>
          <w:sz w:val="32"/>
          <w:szCs w:val="32"/>
        </w:rPr>
        <w:t>部门政府采购预算表</w:t>
      </w:r>
    </w:p>
    <w:tbl>
      <w:tblPr>
        <w:tblStyle w:val="4"/>
        <w:tblW w:w="143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1068"/>
        <w:gridCol w:w="885"/>
        <w:gridCol w:w="1212"/>
        <w:gridCol w:w="885"/>
        <w:gridCol w:w="885"/>
        <w:gridCol w:w="906"/>
        <w:gridCol w:w="885"/>
        <w:gridCol w:w="885"/>
        <w:gridCol w:w="885"/>
        <w:gridCol w:w="885"/>
        <w:gridCol w:w="885"/>
        <w:gridCol w:w="885"/>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26"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default" w:ascii="方正小标宋_GBK" w:eastAsia="仿宋"/>
                <w:sz w:val="24"/>
                <w:lang w:val="en-US" w:eastAsia="zh-CN"/>
              </w:rPr>
            </w:pPr>
            <w:r>
              <w:rPr>
                <w:rFonts w:hint="eastAsia" w:ascii="仿宋" w:hAnsi="仿宋" w:eastAsia="仿宋" w:cs="宋体"/>
                <w:kern w:val="0"/>
                <w:szCs w:val="21"/>
              </w:rPr>
              <w:t xml:space="preserve"> [101]涞源县</w:t>
            </w:r>
            <w:r>
              <w:rPr>
                <w:rFonts w:hint="eastAsia" w:ascii="仿宋" w:hAnsi="仿宋" w:eastAsia="仿宋" w:cs="宋体"/>
                <w:kern w:val="0"/>
                <w:szCs w:val="21"/>
                <w:lang w:val="en-US" w:eastAsia="zh-CN"/>
              </w:rPr>
              <w:t>塔崖驿乡人民政府</w:t>
            </w:r>
          </w:p>
        </w:tc>
        <w:tc>
          <w:tcPr>
            <w:tcW w:w="6144"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sz w:val="24"/>
              </w:rPr>
            </w:pPr>
            <w:r>
              <w:rPr>
                <w:rFonts w:hint="eastAsia" w:ascii="仿宋" w:hAnsi="仿宋" w:eastAsia="仿宋"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3" w:type="dxa"/>
            <w:gridSpan w:val="2"/>
            <w:noWrap w:val="0"/>
            <w:vAlign w:val="center"/>
          </w:tcPr>
          <w:p>
            <w:pPr>
              <w:spacing w:line="300" w:lineRule="exact"/>
              <w:jc w:val="center"/>
              <w:rPr>
                <w:rFonts w:ascii="仿宋" w:hAnsi="仿宋" w:eastAsia="仿宋"/>
                <w:b/>
                <w:bCs/>
              </w:rPr>
            </w:pPr>
            <w:r>
              <w:rPr>
                <w:rFonts w:hint="eastAsia" w:ascii="仿宋" w:hAnsi="仿宋" w:eastAsia="仿宋" w:cs="方正书宋_GBK"/>
                <w:b/>
                <w:bCs/>
              </w:rPr>
              <w:t>政府采购项目来源</w:t>
            </w: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采购物品名称</w:t>
            </w:r>
          </w:p>
        </w:tc>
        <w:tc>
          <w:tcPr>
            <w:tcW w:w="1212"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政府采购目录序号</w:t>
            </w: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数量</w:t>
            </w:r>
            <w:r>
              <w:rPr>
                <w:rFonts w:ascii="仿宋" w:hAnsi="仿宋" w:eastAsia="仿宋" w:cs="方正书宋_GBK"/>
                <w:b/>
                <w:bCs/>
              </w:rPr>
              <w:t xml:space="preserve">  </w:t>
            </w:r>
            <w:r>
              <w:rPr>
                <w:rFonts w:hint="eastAsia" w:ascii="仿宋" w:hAnsi="仿宋" w:eastAsia="仿宋" w:cs="方正书宋_GBK"/>
                <w:b/>
                <w:bCs/>
              </w:rPr>
              <w:t>单位</w:t>
            </w: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数量</w:t>
            </w:r>
          </w:p>
        </w:tc>
        <w:tc>
          <w:tcPr>
            <w:tcW w:w="906"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单价</w:t>
            </w:r>
          </w:p>
        </w:tc>
        <w:tc>
          <w:tcPr>
            <w:tcW w:w="6144" w:type="dxa"/>
            <w:gridSpan w:val="7"/>
            <w:noWrap w:val="0"/>
            <w:vAlign w:val="center"/>
          </w:tcPr>
          <w:p>
            <w:pPr>
              <w:spacing w:line="300" w:lineRule="exact"/>
              <w:jc w:val="center"/>
              <w:rPr>
                <w:rFonts w:ascii="仿宋" w:hAnsi="仿宋" w:eastAsia="仿宋"/>
                <w:b/>
                <w:bCs/>
              </w:rPr>
            </w:pPr>
            <w:r>
              <w:rPr>
                <w:rFonts w:hint="eastAsia" w:ascii="仿宋" w:hAnsi="仿宋" w:eastAsia="仿宋"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项目名称</w:t>
            </w:r>
          </w:p>
        </w:tc>
        <w:tc>
          <w:tcPr>
            <w:tcW w:w="1068"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预算资金</w:t>
            </w:r>
          </w:p>
        </w:tc>
        <w:tc>
          <w:tcPr>
            <w:tcW w:w="885" w:type="dxa"/>
            <w:vMerge w:val="continue"/>
            <w:noWrap w:val="0"/>
            <w:vAlign w:val="center"/>
          </w:tcPr>
          <w:p>
            <w:pPr>
              <w:spacing w:line="300" w:lineRule="exact"/>
              <w:jc w:val="left"/>
              <w:outlineLvl w:val="0"/>
              <w:rPr>
                <w:rFonts w:ascii="仿宋" w:hAnsi="仿宋" w:eastAsia="仿宋"/>
              </w:rPr>
            </w:pPr>
          </w:p>
        </w:tc>
        <w:tc>
          <w:tcPr>
            <w:tcW w:w="1212"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906" w:type="dxa"/>
            <w:vMerge w:val="continue"/>
            <w:noWrap w:val="0"/>
            <w:vAlign w:val="center"/>
          </w:tcPr>
          <w:p>
            <w:pPr>
              <w:spacing w:line="300" w:lineRule="exact"/>
              <w:jc w:val="left"/>
              <w:outlineLvl w:val="0"/>
              <w:rPr>
                <w:rFonts w:ascii="仿宋" w:hAnsi="仿宋" w:eastAsia="仿宋"/>
              </w:rPr>
            </w:pP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总计</w:t>
            </w:r>
          </w:p>
        </w:tc>
        <w:tc>
          <w:tcPr>
            <w:tcW w:w="4425" w:type="dxa"/>
            <w:gridSpan w:val="5"/>
            <w:noWrap w:val="0"/>
            <w:vAlign w:val="center"/>
          </w:tcPr>
          <w:p>
            <w:pPr>
              <w:spacing w:line="300" w:lineRule="exact"/>
              <w:jc w:val="center"/>
              <w:rPr>
                <w:rFonts w:ascii="仿宋" w:hAnsi="仿宋" w:eastAsia="仿宋"/>
                <w:b/>
                <w:bCs/>
              </w:rPr>
            </w:pPr>
            <w:r>
              <w:rPr>
                <w:rFonts w:hint="eastAsia" w:ascii="仿宋" w:hAnsi="仿宋" w:eastAsia="仿宋" w:cs="方正书宋_GBK"/>
                <w:b/>
                <w:bCs/>
              </w:rPr>
              <w:t>当年部门预算安排资金</w:t>
            </w:r>
          </w:p>
        </w:tc>
        <w:tc>
          <w:tcPr>
            <w:tcW w:w="834"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continue"/>
            <w:noWrap w:val="0"/>
            <w:vAlign w:val="center"/>
          </w:tcPr>
          <w:p>
            <w:pPr>
              <w:spacing w:line="300" w:lineRule="exact"/>
              <w:jc w:val="left"/>
              <w:outlineLvl w:val="0"/>
              <w:rPr>
                <w:rFonts w:ascii="仿宋" w:hAnsi="仿宋" w:eastAsia="仿宋"/>
              </w:rPr>
            </w:pPr>
          </w:p>
        </w:tc>
        <w:tc>
          <w:tcPr>
            <w:tcW w:w="1068"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1212"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906"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合计</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一般公共预算拨款</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基金预算拨款</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财政专户核拨</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其他来源收入</w:t>
            </w:r>
          </w:p>
        </w:tc>
        <w:tc>
          <w:tcPr>
            <w:tcW w:w="834" w:type="dxa"/>
            <w:vMerge w:val="continue"/>
            <w:noWrap w:val="0"/>
            <w:vAlign w:val="center"/>
          </w:tcPr>
          <w:p>
            <w:pPr>
              <w:spacing w:line="300" w:lineRule="exact"/>
              <w:jc w:val="left"/>
              <w:outlineLvl w:val="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合　计</w:t>
            </w:r>
          </w:p>
        </w:tc>
        <w:tc>
          <w:tcPr>
            <w:tcW w:w="1068" w:type="dxa"/>
            <w:noWrap w:val="0"/>
            <w:vAlign w:val="center"/>
          </w:tcPr>
          <w:p>
            <w:pPr>
              <w:spacing w:line="300" w:lineRule="exact"/>
              <w:ind w:right="105"/>
              <w:jc w:val="right"/>
              <w:rPr>
                <w:rFonts w:hint="eastAsia" w:ascii="仿宋" w:hAnsi="仿宋" w:eastAsia="仿宋"/>
                <w:bCs/>
              </w:rPr>
            </w:pPr>
          </w:p>
        </w:tc>
        <w:tc>
          <w:tcPr>
            <w:tcW w:w="885" w:type="dxa"/>
            <w:noWrap w:val="0"/>
            <w:vAlign w:val="center"/>
          </w:tcPr>
          <w:p>
            <w:pPr>
              <w:spacing w:line="300" w:lineRule="exact"/>
              <w:jc w:val="left"/>
              <w:rPr>
                <w:rFonts w:ascii="仿宋" w:hAnsi="仿宋" w:eastAsia="仿宋"/>
                <w:bCs/>
              </w:rPr>
            </w:pPr>
          </w:p>
        </w:tc>
        <w:tc>
          <w:tcPr>
            <w:tcW w:w="1212" w:type="dxa"/>
            <w:noWrap w:val="0"/>
            <w:vAlign w:val="center"/>
          </w:tcPr>
          <w:p>
            <w:pPr>
              <w:spacing w:line="300" w:lineRule="exact"/>
              <w:jc w:val="left"/>
              <w:rPr>
                <w:rFonts w:ascii="仿宋" w:hAnsi="仿宋" w:eastAsia="仿宋"/>
                <w:bCs/>
              </w:rPr>
            </w:pPr>
          </w:p>
        </w:tc>
        <w:tc>
          <w:tcPr>
            <w:tcW w:w="885" w:type="dxa"/>
            <w:noWrap w:val="0"/>
            <w:vAlign w:val="center"/>
          </w:tcPr>
          <w:p>
            <w:pPr>
              <w:spacing w:line="300" w:lineRule="exact"/>
              <w:jc w:val="left"/>
              <w:rPr>
                <w:rFonts w:ascii="仿宋" w:hAnsi="仿宋" w:eastAsia="仿宋"/>
                <w:bCs/>
              </w:rPr>
            </w:pPr>
          </w:p>
        </w:tc>
        <w:tc>
          <w:tcPr>
            <w:tcW w:w="885" w:type="dxa"/>
            <w:noWrap w:val="0"/>
            <w:vAlign w:val="center"/>
          </w:tcPr>
          <w:p>
            <w:pPr>
              <w:spacing w:line="300" w:lineRule="exact"/>
              <w:jc w:val="right"/>
              <w:rPr>
                <w:rFonts w:ascii="仿宋" w:hAnsi="仿宋" w:eastAsia="仿宋"/>
                <w:bCs/>
              </w:rPr>
            </w:pPr>
          </w:p>
        </w:tc>
        <w:tc>
          <w:tcPr>
            <w:tcW w:w="906" w:type="dxa"/>
            <w:noWrap w:val="0"/>
            <w:vAlign w:val="center"/>
          </w:tcPr>
          <w:p>
            <w:pPr>
              <w:spacing w:line="300" w:lineRule="exact"/>
              <w:jc w:val="right"/>
              <w:rPr>
                <w:rFonts w:ascii="仿宋" w:hAnsi="仿宋" w:eastAsia="仿宋"/>
                <w:bCs/>
              </w:rPr>
            </w:pPr>
          </w:p>
        </w:tc>
        <w:tc>
          <w:tcPr>
            <w:tcW w:w="885" w:type="dxa"/>
            <w:noWrap w:val="0"/>
            <w:vAlign w:val="center"/>
          </w:tcPr>
          <w:p>
            <w:pPr>
              <w:spacing w:line="300" w:lineRule="exact"/>
              <w:jc w:val="right"/>
              <w:rPr>
                <w:rFonts w:ascii="仿宋" w:hAnsi="仿宋" w:eastAsia="仿宋" w:cs="方正书宋_GBK"/>
                <w:bCs/>
              </w:rPr>
            </w:pPr>
          </w:p>
        </w:tc>
        <w:tc>
          <w:tcPr>
            <w:tcW w:w="885" w:type="dxa"/>
            <w:noWrap w:val="0"/>
            <w:vAlign w:val="center"/>
          </w:tcPr>
          <w:p>
            <w:pPr>
              <w:spacing w:line="300" w:lineRule="exact"/>
              <w:jc w:val="right"/>
              <w:rPr>
                <w:rFonts w:ascii="仿宋" w:hAnsi="仿宋" w:eastAsia="仿宋" w:cs="方正书宋_GBK"/>
                <w:bCs/>
              </w:rPr>
            </w:pPr>
          </w:p>
        </w:tc>
        <w:tc>
          <w:tcPr>
            <w:tcW w:w="885" w:type="dxa"/>
            <w:noWrap w:val="0"/>
            <w:vAlign w:val="center"/>
          </w:tcPr>
          <w:p>
            <w:pPr>
              <w:spacing w:line="300" w:lineRule="exact"/>
              <w:ind w:right="105"/>
              <w:jc w:val="right"/>
              <w:rPr>
                <w:rFonts w:ascii="仿宋" w:hAnsi="仿宋" w:eastAsia="仿宋" w:cs="方正书宋_GBK"/>
                <w:bCs/>
              </w:rPr>
            </w:pPr>
          </w:p>
        </w:tc>
        <w:tc>
          <w:tcPr>
            <w:tcW w:w="885" w:type="dxa"/>
            <w:noWrap w:val="0"/>
            <w:vAlign w:val="center"/>
          </w:tcPr>
          <w:p>
            <w:pPr>
              <w:spacing w:line="300" w:lineRule="exact"/>
              <w:jc w:val="right"/>
              <w:rPr>
                <w:rFonts w:ascii="仿宋" w:hAnsi="仿宋" w:eastAsia="仿宋" w:cs="方正书宋_GBK"/>
                <w:b/>
                <w:bCs/>
              </w:rPr>
            </w:pPr>
          </w:p>
        </w:tc>
        <w:tc>
          <w:tcPr>
            <w:tcW w:w="885" w:type="dxa"/>
            <w:noWrap w:val="0"/>
            <w:vAlign w:val="center"/>
          </w:tcPr>
          <w:p>
            <w:pPr>
              <w:spacing w:line="300" w:lineRule="exact"/>
              <w:jc w:val="right"/>
              <w:rPr>
                <w:rFonts w:ascii="仿宋" w:hAnsi="仿宋" w:eastAsia="仿宋" w:cs="方正书宋_GBK"/>
                <w:b/>
                <w:bCs/>
              </w:rPr>
            </w:pPr>
          </w:p>
        </w:tc>
        <w:tc>
          <w:tcPr>
            <w:tcW w:w="885" w:type="dxa"/>
            <w:noWrap w:val="0"/>
            <w:vAlign w:val="center"/>
          </w:tcPr>
          <w:p>
            <w:pPr>
              <w:spacing w:line="300" w:lineRule="exact"/>
              <w:jc w:val="right"/>
              <w:rPr>
                <w:rFonts w:ascii="仿宋" w:hAnsi="仿宋" w:eastAsia="仿宋" w:cs="方正书宋_GBK"/>
                <w:b/>
                <w:bCs/>
              </w:rPr>
            </w:pPr>
          </w:p>
        </w:tc>
        <w:tc>
          <w:tcPr>
            <w:tcW w:w="834" w:type="dxa"/>
            <w:noWrap w:val="0"/>
            <w:vAlign w:val="center"/>
          </w:tcPr>
          <w:p>
            <w:pPr>
              <w:spacing w:line="300" w:lineRule="exact"/>
              <w:jc w:val="right"/>
              <w:rPr>
                <w:rFonts w:ascii="仿宋" w:hAnsi="仿宋" w:eastAsia="仿宋" w:cs="方正书宋_GBK"/>
                <w:b/>
                <w:bCs/>
              </w:rPr>
            </w:pPr>
          </w:p>
        </w:tc>
      </w:tr>
    </w:tbl>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国有资产信息情况说明</w:t>
      </w:r>
    </w:p>
    <w:p>
      <w:pPr>
        <w:jc w:val="left"/>
        <w:rPr>
          <w:rFonts w:hint="eastAsia" w:ascii="仿宋" w:hAnsi="仿宋" w:eastAsia="仿宋" w:cs="仿宋"/>
          <w:sz w:val="32"/>
          <w:szCs w:val="32"/>
        </w:rPr>
      </w:pPr>
      <w:r>
        <w:rPr>
          <w:rFonts w:hint="eastAsia" w:ascii="黑体" w:hAnsi="黑体" w:eastAsia="黑体" w:cs="黑体"/>
          <w:sz w:val="32"/>
          <w:szCs w:val="32"/>
        </w:rPr>
        <w:t xml:space="preserve">    </w:t>
      </w:r>
      <w:r>
        <w:rPr>
          <w:rFonts w:hint="eastAsia" w:ascii="仿宋" w:hAnsi="仿宋" w:eastAsia="仿宋" w:cs="仿宋"/>
          <w:sz w:val="32"/>
          <w:szCs w:val="32"/>
        </w:rPr>
        <w:t>涞源县塔崖驿乡人民政府2018年末固定资产总金额123.56万元，2019年无拟购置情况。</w:t>
      </w: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涞源县塔崖驿乡人民政府固定资产占用情况表</w:t>
      </w:r>
    </w:p>
    <w:p>
      <w:pPr>
        <w:jc w:val="right"/>
        <w:rPr>
          <w:rFonts w:hint="eastAsia" w:ascii="仿宋" w:hAnsi="仿宋" w:eastAsia="仿宋" w:cs="仿宋"/>
          <w:sz w:val="32"/>
          <w:szCs w:val="32"/>
        </w:rPr>
      </w:pPr>
      <w:r>
        <w:rPr>
          <w:rFonts w:hint="eastAsia" w:ascii="仿宋" w:hAnsi="仿宋" w:eastAsia="仿宋" w:cs="仿宋"/>
          <w:sz w:val="32"/>
          <w:szCs w:val="32"/>
        </w:rPr>
        <w:t>截止时间：2018年12月31日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1"/>
        <w:gridCol w:w="4314"/>
        <w:gridCol w:w="5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1" w:type="dxa"/>
            <w:noWrap w:val="0"/>
            <w:vAlign w:val="top"/>
          </w:tcPr>
          <w:p>
            <w:pPr>
              <w:jc w:val="right"/>
              <w:rPr>
                <w:rFonts w:hint="eastAsia" w:ascii="仿宋" w:hAnsi="仿宋" w:eastAsia="仿宋" w:cs="仿宋"/>
                <w:sz w:val="32"/>
                <w:szCs w:val="32"/>
              </w:rPr>
            </w:pPr>
            <w:r>
              <w:rPr>
                <w:rFonts w:hint="eastAsia" w:ascii="仿宋" w:hAnsi="仿宋" w:eastAsia="仿宋" w:cs="仿宋"/>
                <w:sz w:val="32"/>
                <w:szCs w:val="32"/>
              </w:rPr>
              <w:t>项目</w:t>
            </w:r>
          </w:p>
        </w:tc>
        <w:tc>
          <w:tcPr>
            <w:tcW w:w="4314" w:type="dxa"/>
            <w:noWrap w:val="0"/>
            <w:vAlign w:val="top"/>
          </w:tcPr>
          <w:p>
            <w:pPr>
              <w:jc w:val="right"/>
              <w:rPr>
                <w:rFonts w:hint="eastAsia" w:ascii="仿宋" w:hAnsi="仿宋" w:eastAsia="仿宋" w:cs="仿宋"/>
                <w:sz w:val="32"/>
                <w:szCs w:val="32"/>
              </w:rPr>
            </w:pPr>
            <w:r>
              <w:rPr>
                <w:rFonts w:hint="eastAsia" w:ascii="仿宋" w:hAnsi="仿宋" w:eastAsia="仿宋" w:cs="仿宋"/>
                <w:sz w:val="32"/>
                <w:szCs w:val="32"/>
              </w:rPr>
              <w:t>数量</w:t>
            </w:r>
          </w:p>
        </w:tc>
        <w:tc>
          <w:tcPr>
            <w:tcW w:w="5208" w:type="dxa"/>
            <w:noWrap w:val="0"/>
            <w:vAlign w:val="top"/>
          </w:tcPr>
          <w:p>
            <w:pPr>
              <w:jc w:val="right"/>
              <w:rPr>
                <w:rFonts w:hint="eastAsia" w:ascii="仿宋" w:hAnsi="仿宋" w:eastAsia="仿宋" w:cs="仿宋"/>
                <w:sz w:val="32"/>
                <w:szCs w:val="32"/>
              </w:rPr>
            </w:pPr>
            <w:r>
              <w:rPr>
                <w:rFonts w:hint="eastAsia" w:ascii="仿宋" w:hAnsi="仿宋" w:eastAsia="仿宋" w:cs="仿宋"/>
                <w:sz w:val="32"/>
                <w:szCs w:val="32"/>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1" w:type="dxa"/>
            <w:noWrap w:val="0"/>
            <w:vAlign w:val="top"/>
          </w:tcPr>
          <w:p>
            <w:pPr>
              <w:jc w:val="left"/>
              <w:rPr>
                <w:rFonts w:hint="eastAsia" w:ascii="仿宋" w:hAnsi="仿宋" w:eastAsia="仿宋" w:cs="仿宋"/>
                <w:sz w:val="32"/>
                <w:szCs w:val="32"/>
              </w:rPr>
            </w:pPr>
            <w:r>
              <w:rPr>
                <w:rFonts w:hint="eastAsia" w:ascii="仿宋" w:hAnsi="仿宋" w:eastAsia="仿宋" w:cs="仿宋"/>
                <w:sz w:val="32"/>
                <w:szCs w:val="32"/>
              </w:rPr>
              <w:t>固定资产总额</w:t>
            </w:r>
          </w:p>
        </w:tc>
        <w:tc>
          <w:tcPr>
            <w:tcW w:w="4314" w:type="dxa"/>
            <w:noWrap w:val="0"/>
            <w:vAlign w:val="center"/>
          </w:tcPr>
          <w:p>
            <w:pPr>
              <w:widowControl/>
              <w:jc w:val="left"/>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w:t>
            </w:r>
          </w:p>
        </w:tc>
        <w:tc>
          <w:tcPr>
            <w:tcW w:w="5208" w:type="dxa"/>
            <w:noWrap w:val="0"/>
            <w:vAlign w:val="center"/>
          </w:tcPr>
          <w:p>
            <w:pPr>
              <w:widowControl/>
              <w:jc w:val="left"/>
              <w:textAlignment w:val="center"/>
              <w:rPr>
                <w:rFonts w:hint="eastAsia" w:ascii="仿宋" w:hAnsi="仿宋" w:eastAsia="仿宋" w:cs="仿宋"/>
                <w:b/>
                <w:bCs/>
                <w:sz w:val="24"/>
              </w:rPr>
            </w:pPr>
            <w:r>
              <w:rPr>
                <w:rFonts w:hint="eastAsia" w:ascii="仿宋" w:hAnsi="仿宋" w:eastAsia="仿宋" w:cs="仿宋"/>
                <w:b/>
                <w:bCs/>
                <w:sz w:val="24"/>
              </w:rPr>
              <w:t>123.56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1" w:type="dxa"/>
            <w:noWrap w:val="0"/>
            <w:vAlign w:val="top"/>
          </w:tcPr>
          <w:p>
            <w:pPr>
              <w:jc w:val="left"/>
              <w:rPr>
                <w:rFonts w:hint="eastAsia" w:ascii="仿宋" w:hAnsi="仿宋" w:eastAsia="仿宋" w:cs="仿宋"/>
                <w:sz w:val="32"/>
                <w:szCs w:val="32"/>
              </w:rPr>
            </w:pPr>
            <w:r>
              <w:rPr>
                <w:rFonts w:hint="eastAsia" w:ascii="仿宋" w:hAnsi="仿宋" w:eastAsia="仿宋" w:cs="仿宋"/>
                <w:b/>
                <w:bCs/>
                <w:kern w:val="0"/>
                <w:sz w:val="24"/>
                <w:lang w:bidi="ar"/>
              </w:rPr>
              <w:t>1、房屋（平方米）</w:t>
            </w:r>
          </w:p>
        </w:tc>
        <w:tc>
          <w:tcPr>
            <w:tcW w:w="4314" w:type="dxa"/>
            <w:noWrap w:val="0"/>
            <w:vAlign w:val="center"/>
          </w:tcPr>
          <w:p>
            <w:pPr>
              <w:widowControl/>
              <w:jc w:val="left"/>
              <w:textAlignment w:val="center"/>
              <w:rPr>
                <w:rFonts w:hint="eastAsia" w:ascii="仿宋" w:hAnsi="仿宋" w:eastAsia="仿宋" w:cs="仿宋"/>
                <w:sz w:val="32"/>
                <w:szCs w:val="32"/>
              </w:rPr>
            </w:pPr>
            <w:r>
              <w:rPr>
                <w:rFonts w:hint="eastAsia" w:ascii="仿宋" w:hAnsi="仿宋" w:eastAsia="仿宋" w:cs="仿宋"/>
                <w:b/>
                <w:bCs/>
                <w:color w:val="000000"/>
                <w:kern w:val="0"/>
                <w:sz w:val="24"/>
                <w:lang w:bidi="ar"/>
              </w:rPr>
              <w:t>600.00</w:t>
            </w:r>
          </w:p>
        </w:tc>
        <w:tc>
          <w:tcPr>
            <w:tcW w:w="5208" w:type="dxa"/>
            <w:noWrap w:val="0"/>
            <w:vAlign w:val="center"/>
          </w:tcPr>
          <w:p>
            <w:pPr>
              <w:widowControl/>
              <w:jc w:val="left"/>
              <w:textAlignment w:val="center"/>
              <w:rPr>
                <w:rFonts w:hint="eastAsia" w:ascii="仿宋" w:hAnsi="仿宋" w:eastAsia="仿宋" w:cs="仿宋"/>
                <w:sz w:val="32"/>
                <w:szCs w:val="32"/>
              </w:rPr>
            </w:pPr>
            <w:r>
              <w:rPr>
                <w:rFonts w:hint="eastAsia" w:ascii="仿宋" w:hAnsi="仿宋" w:eastAsia="仿宋" w:cs="仿宋"/>
                <w:b/>
                <w:bCs/>
                <w:color w:val="000000"/>
                <w:kern w:val="0"/>
                <w:sz w:val="24"/>
                <w:lang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1" w:type="dxa"/>
            <w:noWrap w:val="0"/>
            <w:vAlign w:val="top"/>
          </w:tcPr>
          <w:p>
            <w:pPr>
              <w:jc w:val="left"/>
              <w:rPr>
                <w:rFonts w:hint="eastAsia" w:ascii="仿宋" w:hAnsi="仿宋" w:eastAsia="仿宋" w:cs="仿宋"/>
                <w:sz w:val="32"/>
                <w:szCs w:val="32"/>
              </w:rPr>
            </w:pPr>
            <w:r>
              <w:rPr>
                <w:rFonts w:hint="eastAsia" w:ascii="仿宋" w:hAnsi="仿宋" w:eastAsia="仿宋" w:cs="仿宋"/>
                <w:b/>
                <w:bCs/>
                <w:kern w:val="0"/>
                <w:sz w:val="24"/>
                <w:lang w:bidi="ar"/>
              </w:rPr>
              <w:t xml:space="preserve">  其中办公用房（平米数）</w:t>
            </w:r>
          </w:p>
        </w:tc>
        <w:tc>
          <w:tcPr>
            <w:tcW w:w="4314" w:type="dxa"/>
            <w:noWrap w:val="0"/>
            <w:vAlign w:val="center"/>
          </w:tcPr>
          <w:p>
            <w:pPr>
              <w:widowControl/>
              <w:jc w:val="left"/>
              <w:textAlignment w:val="center"/>
              <w:rPr>
                <w:rFonts w:hint="eastAsia" w:ascii="仿宋" w:hAnsi="仿宋" w:eastAsia="仿宋" w:cs="仿宋"/>
                <w:sz w:val="32"/>
                <w:szCs w:val="32"/>
              </w:rPr>
            </w:pPr>
            <w:r>
              <w:rPr>
                <w:rFonts w:hint="eastAsia" w:ascii="仿宋" w:hAnsi="仿宋" w:eastAsia="仿宋" w:cs="仿宋"/>
                <w:b/>
                <w:bCs/>
                <w:color w:val="000000"/>
                <w:kern w:val="0"/>
                <w:sz w:val="24"/>
                <w:lang w:bidi="ar"/>
              </w:rPr>
              <w:t>600.00</w:t>
            </w:r>
          </w:p>
        </w:tc>
        <w:tc>
          <w:tcPr>
            <w:tcW w:w="5208" w:type="dxa"/>
            <w:noWrap w:val="0"/>
            <w:vAlign w:val="center"/>
          </w:tcPr>
          <w:p>
            <w:pPr>
              <w:widowControl/>
              <w:jc w:val="left"/>
              <w:textAlignment w:val="center"/>
              <w:rPr>
                <w:rFonts w:hint="eastAsia" w:ascii="仿宋" w:hAnsi="仿宋" w:eastAsia="仿宋" w:cs="仿宋"/>
                <w:sz w:val="32"/>
                <w:szCs w:val="32"/>
              </w:rPr>
            </w:pPr>
            <w:r>
              <w:rPr>
                <w:rFonts w:hint="eastAsia" w:ascii="仿宋" w:hAnsi="仿宋" w:eastAsia="仿宋" w:cs="仿宋"/>
                <w:b/>
                <w:bCs/>
                <w:color w:val="000000"/>
                <w:kern w:val="0"/>
                <w:sz w:val="24"/>
                <w:lang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1" w:type="dxa"/>
            <w:noWrap w:val="0"/>
            <w:vAlign w:val="top"/>
          </w:tcPr>
          <w:p>
            <w:pPr>
              <w:jc w:val="left"/>
              <w:rPr>
                <w:rFonts w:hint="eastAsia" w:ascii="仿宋" w:hAnsi="仿宋" w:eastAsia="仿宋" w:cs="仿宋"/>
                <w:sz w:val="32"/>
                <w:szCs w:val="32"/>
              </w:rPr>
            </w:pPr>
            <w:r>
              <w:rPr>
                <w:rFonts w:hint="eastAsia" w:ascii="仿宋" w:hAnsi="仿宋" w:eastAsia="仿宋" w:cs="仿宋"/>
                <w:b/>
                <w:bCs/>
                <w:kern w:val="0"/>
                <w:sz w:val="24"/>
                <w:lang w:bidi="ar"/>
              </w:rPr>
              <w:t>2、车辆（台、辆）</w:t>
            </w:r>
          </w:p>
        </w:tc>
        <w:tc>
          <w:tcPr>
            <w:tcW w:w="4314" w:type="dxa"/>
            <w:noWrap w:val="0"/>
            <w:vAlign w:val="center"/>
          </w:tcPr>
          <w:p>
            <w:pPr>
              <w:widowControl/>
              <w:jc w:val="left"/>
              <w:textAlignment w:val="center"/>
              <w:rPr>
                <w:rFonts w:hint="eastAsia" w:ascii="仿宋" w:hAnsi="仿宋" w:eastAsia="仿宋" w:cs="仿宋"/>
                <w:b/>
                <w:bCs/>
                <w:sz w:val="24"/>
              </w:rPr>
            </w:pPr>
            <w:r>
              <w:rPr>
                <w:rFonts w:hint="eastAsia" w:ascii="仿宋" w:hAnsi="仿宋" w:eastAsia="仿宋" w:cs="仿宋"/>
                <w:b/>
                <w:bCs/>
                <w:sz w:val="24"/>
              </w:rPr>
              <w:t>2</w:t>
            </w:r>
          </w:p>
        </w:tc>
        <w:tc>
          <w:tcPr>
            <w:tcW w:w="5208" w:type="dxa"/>
            <w:noWrap w:val="0"/>
            <w:vAlign w:val="center"/>
          </w:tcPr>
          <w:p>
            <w:pPr>
              <w:widowControl/>
              <w:jc w:val="left"/>
              <w:textAlignment w:val="center"/>
              <w:rPr>
                <w:rFonts w:hint="eastAsia" w:ascii="仿宋" w:hAnsi="仿宋" w:eastAsia="仿宋" w:cs="仿宋"/>
                <w:b/>
                <w:bCs/>
                <w:sz w:val="24"/>
              </w:rPr>
            </w:pPr>
            <w:r>
              <w:rPr>
                <w:rFonts w:hint="eastAsia" w:ascii="仿宋" w:hAnsi="仿宋" w:eastAsia="仿宋" w:cs="仿宋"/>
                <w:b/>
                <w:bCs/>
                <w:sz w:val="24"/>
              </w:rPr>
              <w:t>17.41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1" w:type="dxa"/>
            <w:noWrap w:val="0"/>
            <w:vAlign w:val="top"/>
          </w:tcPr>
          <w:p>
            <w:pPr>
              <w:jc w:val="left"/>
              <w:rPr>
                <w:rFonts w:hint="eastAsia" w:ascii="仿宋" w:hAnsi="仿宋" w:eastAsia="仿宋" w:cs="仿宋"/>
                <w:sz w:val="32"/>
                <w:szCs w:val="32"/>
              </w:rPr>
            </w:pPr>
            <w:r>
              <w:rPr>
                <w:rFonts w:hint="eastAsia" w:ascii="仿宋" w:hAnsi="仿宋" w:eastAsia="仿宋" w:cs="仿宋"/>
                <w:b/>
                <w:bCs/>
                <w:kern w:val="0"/>
                <w:sz w:val="24"/>
                <w:lang w:bidi="ar"/>
              </w:rPr>
              <w:t>3、单价在20万元以上的设备</w:t>
            </w:r>
          </w:p>
        </w:tc>
        <w:tc>
          <w:tcPr>
            <w:tcW w:w="4314" w:type="dxa"/>
            <w:noWrap w:val="0"/>
            <w:vAlign w:val="center"/>
          </w:tcPr>
          <w:p>
            <w:pPr>
              <w:widowControl/>
              <w:jc w:val="left"/>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w:t>
            </w:r>
          </w:p>
        </w:tc>
        <w:tc>
          <w:tcPr>
            <w:tcW w:w="5208" w:type="dxa"/>
            <w:noWrap w:val="0"/>
            <w:vAlign w:val="center"/>
          </w:tcPr>
          <w:p>
            <w:pPr>
              <w:widowControl/>
              <w:jc w:val="left"/>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1" w:type="dxa"/>
            <w:noWrap w:val="0"/>
            <w:vAlign w:val="top"/>
          </w:tcPr>
          <w:p>
            <w:pPr>
              <w:jc w:val="left"/>
              <w:rPr>
                <w:rFonts w:hint="eastAsia" w:ascii="仿宋" w:hAnsi="仿宋" w:eastAsia="仿宋" w:cs="仿宋"/>
                <w:sz w:val="32"/>
                <w:szCs w:val="32"/>
              </w:rPr>
            </w:pPr>
            <w:r>
              <w:rPr>
                <w:rFonts w:hint="eastAsia" w:ascii="仿宋" w:hAnsi="仿宋" w:eastAsia="仿宋" w:cs="仿宋"/>
                <w:b/>
                <w:bCs/>
                <w:kern w:val="0"/>
                <w:sz w:val="24"/>
                <w:lang w:bidi="ar"/>
              </w:rPr>
              <w:t>4、其他固定资产</w:t>
            </w:r>
          </w:p>
        </w:tc>
        <w:tc>
          <w:tcPr>
            <w:tcW w:w="4314" w:type="dxa"/>
            <w:noWrap w:val="0"/>
            <w:vAlign w:val="center"/>
          </w:tcPr>
          <w:p>
            <w:pPr>
              <w:widowControl/>
              <w:jc w:val="left"/>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w:t>
            </w:r>
          </w:p>
        </w:tc>
        <w:tc>
          <w:tcPr>
            <w:tcW w:w="5208" w:type="dxa"/>
            <w:noWrap w:val="0"/>
            <w:vAlign w:val="center"/>
          </w:tcPr>
          <w:p>
            <w:pPr>
              <w:widowControl/>
              <w:jc w:val="left"/>
              <w:textAlignment w:val="center"/>
              <w:rPr>
                <w:rFonts w:hint="eastAsia" w:ascii="仿宋" w:hAnsi="仿宋" w:eastAsia="仿宋" w:cs="仿宋"/>
                <w:b/>
                <w:bCs/>
                <w:sz w:val="24"/>
              </w:rPr>
            </w:pPr>
            <w:r>
              <w:rPr>
                <w:rFonts w:hint="eastAsia" w:ascii="仿宋" w:hAnsi="仿宋" w:eastAsia="仿宋" w:cs="仿宋"/>
                <w:b/>
                <w:bCs/>
                <w:sz w:val="24"/>
              </w:rPr>
              <w:t>36.65</w:t>
            </w:r>
          </w:p>
        </w:tc>
      </w:tr>
    </w:tbl>
    <w:p>
      <w:pPr>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八、名词解释</w:t>
      </w:r>
    </w:p>
    <w:p>
      <w:pPr>
        <w:spacing w:line="500" w:lineRule="exact"/>
        <w:ind w:firstLine="643" w:firstLineChars="200"/>
        <w:jc w:val="left"/>
        <w:outlineLvl w:val="0"/>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指县级财政当年拨付的资金。</w:t>
      </w:r>
    </w:p>
    <w:p>
      <w:pPr>
        <w:spacing w:line="500" w:lineRule="exact"/>
        <w:ind w:firstLine="643" w:firstLineChars="200"/>
        <w:jc w:val="left"/>
        <w:outlineLvl w:val="0"/>
        <w:rPr>
          <w:rFonts w:hint="eastAsia" w:ascii="仿宋" w:hAnsi="仿宋" w:eastAsia="仿宋"/>
          <w:sz w:val="32"/>
          <w:szCs w:val="32"/>
        </w:rPr>
      </w:pPr>
      <w:r>
        <w:rPr>
          <w:rFonts w:hint="eastAsia" w:ascii="仿宋" w:hAnsi="仿宋" w:eastAsia="仿宋"/>
          <w:b/>
          <w:sz w:val="32"/>
          <w:szCs w:val="32"/>
        </w:rPr>
        <w:t>2、其他收入：</w:t>
      </w:r>
      <w:r>
        <w:rPr>
          <w:rFonts w:hint="eastAsia" w:ascii="仿宋" w:hAnsi="仿宋" w:eastAsia="仿宋"/>
          <w:sz w:val="32"/>
          <w:szCs w:val="32"/>
        </w:rPr>
        <w:t>指除上述“财政拨款收入”、“事业收入”等以外的收入。</w:t>
      </w:r>
    </w:p>
    <w:p>
      <w:pPr>
        <w:spacing w:line="500" w:lineRule="exact"/>
        <w:ind w:firstLine="643" w:firstLineChars="200"/>
        <w:jc w:val="left"/>
        <w:outlineLvl w:val="0"/>
        <w:rPr>
          <w:rFonts w:hint="eastAsia" w:ascii="仿宋" w:hAnsi="仿宋" w:eastAsia="仿宋"/>
          <w:sz w:val="32"/>
          <w:szCs w:val="32"/>
        </w:rPr>
      </w:pPr>
      <w:r>
        <w:rPr>
          <w:rFonts w:hint="eastAsia" w:ascii="仿宋" w:hAnsi="仿宋" w:eastAsia="仿宋"/>
          <w:b/>
          <w:sz w:val="32"/>
          <w:szCs w:val="32"/>
        </w:rPr>
        <w:t>3、基本支出：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3" w:firstLineChars="200"/>
        <w:jc w:val="left"/>
        <w:outlineLvl w:val="0"/>
        <w:rPr>
          <w:rFonts w:hint="eastAsia" w:ascii="仿宋" w:hAnsi="仿宋" w:eastAsia="仿宋"/>
          <w:sz w:val="32"/>
          <w:szCs w:val="32"/>
        </w:rPr>
      </w:pPr>
      <w:r>
        <w:rPr>
          <w:rFonts w:hint="eastAsia" w:ascii="仿宋" w:hAnsi="仿宋" w:eastAsia="仿宋"/>
          <w:b/>
          <w:sz w:val="32"/>
          <w:szCs w:val="32"/>
        </w:rPr>
        <w:t>4、项目支出：</w:t>
      </w:r>
      <w:r>
        <w:rPr>
          <w:rFonts w:hint="eastAsia" w:ascii="仿宋" w:hAnsi="仿宋" w:eastAsia="仿宋"/>
          <w:sz w:val="32"/>
          <w:szCs w:val="32"/>
        </w:rPr>
        <w:t>指在基本支出之外为完成特定行政任务和事业发展目标所发生的支出。</w:t>
      </w:r>
    </w:p>
    <w:p>
      <w:pPr>
        <w:spacing w:line="500" w:lineRule="exact"/>
        <w:ind w:firstLine="643" w:firstLineChars="200"/>
        <w:jc w:val="left"/>
        <w:outlineLvl w:val="0"/>
        <w:rPr>
          <w:rFonts w:hint="eastAsia" w:ascii="仿宋" w:hAnsi="仿宋" w:eastAsia="仿宋"/>
          <w:sz w:val="32"/>
          <w:szCs w:val="32"/>
        </w:rPr>
      </w:pPr>
      <w:r>
        <w:rPr>
          <w:rFonts w:hint="eastAsia" w:ascii="仿宋" w:hAnsi="仿宋" w:eastAsia="仿宋"/>
          <w:b/>
          <w:sz w:val="32"/>
          <w:szCs w:val="32"/>
        </w:rPr>
        <w:t>5、“三公”经费：</w:t>
      </w:r>
      <w:r>
        <w:rPr>
          <w:rFonts w:hint="eastAsia" w:ascii="仿宋" w:hAnsi="仿宋" w:eastAsia="仿宋"/>
          <w:sz w:val="32"/>
          <w:szCs w:val="32"/>
        </w:rPr>
        <w:t>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hint="eastAsia" w:ascii="仿宋" w:hAnsi="仿宋" w:eastAsia="仿宋"/>
          <w:sz w:val="32"/>
          <w:szCs w:val="32"/>
        </w:rPr>
      </w:pPr>
      <w:r>
        <w:rPr>
          <w:rFonts w:hint="eastAsia" w:ascii="仿宋" w:hAnsi="仿宋" w:eastAsia="仿宋"/>
          <w:b/>
          <w:sz w:val="32"/>
          <w:szCs w:val="32"/>
        </w:rPr>
        <w:t>6、机关运行费：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hint="eastAsia" w:ascii="仿宋" w:hAnsi="仿宋" w:eastAsia="仿宋"/>
          <w:sz w:val="32"/>
          <w:szCs w:val="32"/>
        </w:rPr>
      </w:pPr>
      <w:r>
        <w:rPr>
          <w:rFonts w:hint="eastAsia" w:ascii="仿宋" w:hAnsi="仿宋" w:eastAsia="仿宋"/>
          <w:b/>
          <w:sz w:val="32"/>
          <w:szCs w:val="32"/>
        </w:rPr>
        <w:t>7、公务费：</w:t>
      </w:r>
      <w:r>
        <w:rPr>
          <w:rFonts w:hint="eastAsia" w:ascii="仿宋" w:hAnsi="仿宋" w:eastAsia="仿宋"/>
          <w:sz w:val="32"/>
          <w:szCs w:val="32"/>
        </w:rPr>
        <w:t>包括办公费、水电费、邮电费、取暖费、交通费、一般会议费和物业管理费之和。</w:t>
      </w:r>
    </w:p>
    <w:p>
      <w:pPr>
        <w:spacing w:line="500" w:lineRule="exact"/>
        <w:ind w:firstLine="630" w:firstLineChars="196"/>
        <w:jc w:val="left"/>
        <w:outlineLvl w:val="0"/>
        <w:rPr>
          <w:rFonts w:hint="eastAsia" w:ascii="宋体" w:hAnsi="宋体"/>
          <w:b/>
          <w:sz w:val="32"/>
          <w:szCs w:val="32"/>
        </w:rPr>
      </w:pPr>
      <w:r>
        <w:rPr>
          <w:rFonts w:hint="eastAsia" w:ascii="宋体" w:hAnsi="宋体"/>
          <w:b/>
          <w:sz w:val="32"/>
          <w:szCs w:val="32"/>
        </w:rPr>
        <w:t>九、其他需说明的事项</w:t>
      </w:r>
    </w:p>
    <w:p>
      <w:pPr>
        <w:spacing w:line="500" w:lineRule="exact"/>
        <w:ind w:firstLine="640" w:firstLineChars="200"/>
        <w:jc w:val="left"/>
        <w:outlineLvl w:val="0"/>
        <w:rPr>
          <w:rFonts w:hint="eastAsia" w:ascii="仿宋" w:hAnsi="仿宋" w:eastAsia="仿宋"/>
          <w:sz w:val="32"/>
          <w:szCs w:val="32"/>
        </w:rPr>
      </w:pPr>
      <w:r>
        <w:rPr>
          <w:rFonts w:hint="eastAsia" w:ascii="仿宋" w:hAnsi="仿宋" w:eastAsia="仿宋"/>
          <w:sz w:val="32"/>
          <w:szCs w:val="32"/>
        </w:rPr>
        <w:t>我部门无其他需说明的事项。</w:t>
      </w:r>
    </w:p>
    <w:p>
      <w:pPr>
        <w:ind w:firstLine="640"/>
        <w:rPr>
          <w:rFonts w:hint="eastAsia" w:ascii="仿宋" w:hAnsi="仿宋" w:eastAsia="仿宋" w:cs="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A4ECC"/>
    <w:multiLevelType w:val="multilevel"/>
    <w:tmpl w:val="5A6A4ECC"/>
    <w:lvl w:ilvl="0" w:tentative="0">
      <w:start w:val="2"/>
      <w:numFmt w:val="decimal"/>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ZTMyMGIzZmM3YjRkMTdkZWUzYTliNzVmOTUxNmUifQ=="/>
  </w:docVars>
  <w:rsids>
    <w:rsidRoot w:val="142D0F15"/>
    <w:rsid w:val="07FF155A"/>
    <w:rsid w:val="09B20F13"/>
    <w:rsid w:val="142D0F15"/>
    <w:rsid w:val="16AD7AEC"/>
    <w:rsid w:val="1DEF5FB3"/>
    <w:rsid w:val="4983640B"/>
    <w:rsid w:val="53554BBF"/>
    <w:rsid w:val="585E1EE8"/>
    <w:rsid w:val="64DF1862"/>
    <w:rsid w:val="74D71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12362</Words>
  <Characters>16923</Characters>
  <Lines>0</Lines>
  <Paragraphs>0</Paragraphs>
  <TotalTime>5</TotalTime>
  <ScaleCrop>false</ScaleCrop>
  <LinksUpToDate>false</LinksUpToDate>
  <CharactersWithSpaces>17203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2021-05-31T00:53:00Z</dcterms:created>
  <dc:creator>活在當下</dc:creator>
  <cp:lastModifiedBy>A</cp:lastModifiedBy>
  <dcterms:modified xsi:type="dcterms:W3CDTF">2024-06-04T03:30:18Z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3BD9809E36F3475695D76B567F3FBAC4_12</vt:lpwstr>
  </property>
</Properties>
</file>