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140" w:line="223" w:lineRule="auto"/>
        <w:ind w:left="4368"/>
        <w:outlineLvl w:val="0"/>
        <w:rPr>
          <w:rFonts w:ascii="黑体" w:hAnsi="黑体" w:eastAsia="黑体" w:cs="黑体"/>
          <w:spacing w:val="7"/>
          <w:sz w:val="43"/>
          <w:szCs w:val="43"/>
        </w:rPr>
      </w:pPr>
      <w:bookmarkStart w:id="0" w:name="_Toc_2_2_0000000002"/>
      <w:r>
        <w:rPr>
          <w:rFonts w:ascii="黑体" w:hAnsi="黑体" w:eastAsia="黑体" w:cs="黑体"/>
          <w:spacing w:val="7"/>
          <w:sz w:val="43"/>
          <w:szCs w:val="43"/>
        </w:rPr>
        <w:t>2024</w:t>
      </w:r>
      <w:r>
        <w:rPr>
          <w:rFonts w:ascii="黑体" w:hAnsi="黑体" w:eastAsia="黑体" w:cs="黑体"/>
          <w:spacing w:val="-72"/>
          <w:sz w:val="43"/>
          <w:szCs w:val="43"/>
        </w:rPr>
        <w:t xml:space="preserve"> </w:t>
      </w:r>
      <w:r>
        <w:rPr>
          <w:rFonts w:ascii="黑体" w:hAnsi="黑体" w:eastAsia="黑体" w:cs="黑体"/>
          <w:spacing w:val="7"/>
          <w:sz w:val="43"/>
          <w:szCs w:val="43"/>
        </w:rPr>
        <w:t>年部门预算信息公开目录</w:t>
      </w:r>
    </w:p>
    <w:p>
      <w:pPr>
        <w:spacing w:before="140" w:line="223" w:lineRule="auto"/>
        <w:jc w:val="both"/>
        <w:outlineLvl w:val="0"/>
        <w:rPr>
          <w:rFonts w:hint="eastAsia" w:ascii="楷体" w:hAnsi="楷体" w:eastAsia="楷体" w:cs="楷体"/>
          <w:b/>
          <w:bCs/>
          <w:spacing w:val="7"/>
          <w:sz w:val="32"/>
          <w:szCs w:val="32"/>
          <w:lang w:val="en-US" w:eastAsia="zh-CN"/>
        </w:rPr>
      </w:pPr>
      <w:r>
        <w:rPr>
          <w:rFonts w:hint="eastAsia" w:ascii="楷体" w:hAnsi="楷体" w:eastAsia="楷体" w:cs="楷体"/>
          <w:b/>
          <w:bCs/>
          <w:spacing w:val="7"/>
          <w:sz w:val="32"/>
          <w:szCs w:val="32"/>
          <w:lang w:val="en-US" w:eastAsia="zh-CN"/>
        </w:rPr>
        <w:t>部门预算公开表</w:t>
      </w:r>
    </w:p>
    <w:sdt>
      <w:sdtPr>
        <w:rPr>
          <w:rFonts w:ascii="微软雅黑" w:hAnsi="微软雅黑" w:eastAsia="微软雅黑" w:cs="微软雅黑"/>
          <w:sz w:val="28"/>
          <w:szCs w:val="28"/>
        </w:rPr>
        <w:id w:val="1"/>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60"/>
            </w:tabs>
            <w:spacing w:before="164" w:line="158" w:lineRule="auto"/>
            <w:rPr>
              <w:rFonts w:ascii="Times New Roman" w:hAnsi="Times New Roman" w:eastAsia="Times New Roman" w:cs="Times New Roman"/>
            </w:rPr>
          </w:pPr>
          <w:r>
            <w:rPr>
              <w:rFonts w:hint="eastAsia" w:cs="微软雅黑"/>
              <w:sz w:val="28"/>
              <w:szCs w:val="28"/>
              <w:lang w:val="en-US" w:eastAsia="zh-CN"/>
            </w:rPr>
            <w:t xml:space="preserve">       </w:t>
          </w:r>
          <w:r>
            <w:fldChar w:fldCharType="begin"/>
          </w:r>
          <w:r>
            <w:instrText xml:space="preserve"> HYPERLINK \l "bookmark1" </w:instrText>
          </w:r>
          <w:r>
            <w:fldChar w:fldCharType="separate"/>
          </w:r>
          <w:r>
            <w:rPr>
              <w:spacing w:val="-2"/>
            </w:rPr>
            <w:t>部门预算收支总表</w:t>
          </w:r>
          <w:r>
            <w:rPr>
              <w:spacing w:val="-25"/>
            </w:rPr>
            <w:t xml:space="preserve"> </w:t>
          </w:r>
          <w:r>
            <w:tab/>
          </w:r>
          <w:r>
            <w:rPr>
              <w:rFonts w:ascii="Times New Roman" w:hAnsi="Times New Roman" w:eastAsia="Times New Roman" w:cs="Times New Roman"/>
              <w:spacing w:val="35"/>
            </w:rPr>
            <w:t>1</w:t>
          </w:r>
          <w:r>
            <w:rPr>
              <w:rFonts w:ascii="Times New Roman" w:hAnsi="Times New Roman" w:eastAsia="Times New Roman" w:cs="Times New Roman"/>
              <w:spacing w:val="35"/>
            </w:rPr>
            <w:fldChar w:fldCharType="end"/>
          </w:r>
        </w:p>
        <w:p>
          <w:pPr>
            <w:pStyle w:val="2"/>
            <w:tabs>
              <w:tab w:val="right" w:leader="dot" w:pos="14560"/>
            </w:tabs>
            <w:spacing w:before="212" w:line="158" w:lineRule="auto"/>
            <w:ind w:firstLine="560" w:firstLineChars="200"/>
            <w:rPr>
              <w:rFonts w:ascii="Times New Roman" w:hAnsi="Times New Roman" w:eastAsia="Times New Roman" w:cs="Times New Roman"/>
            </w:rPr>
          </w:pPr>
          <w:r>
            <w:fldChar w:fldCharType="begin"/>
          </w:r>
          <w:r>
            <w:instrText xml:space="preserve"> HYPERLINK \l "bookmark2" </w:instrText>
          </w:r>
          <w:r>
            <w:fldChar w:fldCharType="separate"/>
          </w:r>
          <w:r>
            <w:rPr>
              <w:spacing w:val="-2"/>
            </w:rPr>
            <w:t>部门预算收入总表</w:t>
          </w:r>
          <w:r>
            <w:rPr>
              <w:spacing w:val="-25"/>
            </w:rPr>
            <w:t xml:space="preserve"> </w:t>
          </w:r>
          <w:r>
            <w:tab/>
          </w:r>
          <w:r>
            <w:rPr>
              <w:rFonts w:ascii="Times New Roman" w:hAnsi="Times New Roman" w:eastAsia="Times New Roman" w:cs="Times New Roman"/>
              <w:spacing w:val="23"/>
              <w:w w:val="109"/>
            </w:rPr>
            <w:t>3</w:t>
          </w:r>
          <w:r>
            <w:rPr>
              <w:rFonts w:ascii="Times New Roman" w:hAnsi="Times New Roman" w:eastAsia="Times New Roman" w:cs="Times New Roman"/>
              <w:spacing w:val="23"/>
              <w:w w:val="109"/>
            </w:rPr>
            <w:fldChar w:fldCharType="end"/>
          </w:r>
        </w:p>
        <w:p>
          <w:pPr>
            <w:pStyle w:val="2"/>
            <w:tabs>
              <w:tab w:val="right" w:leader="dot" w:pos="14560"/>
            </w:tabs>
            <w:spacing w:before="214" w:line="158" w:lineRule="auto"/>
            <w:ind w:left="9" w:firstLine="560" w:firstLineChars="200"/>
            <w:rPr>
              <w:rFonts w:ascii="Times New Roman" w:hAnsi="Times New Roman" w:eastAsia="Times New Roman" w:cs="Times New Roman"/>
            </w:rPr>
          </w:pPr>
          <w:r>
            <w:fldChar w:fldCharType="begin"/>
          </w:r>
          <w:r>
            <w:instrText xml:space="preserve"> HYPERLINK \l "bookmark3" </w:instrText>
          </w:r>
          <w:r>
            <w:fldChar w:fldCharType="separate"/>
          </w:r>
          <w:r>
            <w:rPr>
              <w:spacing w:val="-2"/>
            </w:rPr>
            <w:t>部门预算支出总表</w:t>
          </w:r>
          <w:r>
            <w:rPr>
              <w:spacing w:val="-25"/>
            </w:rPr>
            <w:t xml:space="preserve"> </w:t>
          </w:r>
          <w:r>
            <w:tab/>
          </w:r>
          <w:r>
            <w:rPr>
              <w:rFonts w:ascii="Times New Roman" w:hAnsi="Times New Roman" w:eastAsia="Times New Roman" w:cs="Times New Roman"/>
              <w:spacing w:val="21"/>
              <w:w w:val="110"/>
            </w:rPr>
            <w:t>6</w:t>
          </w:r>
          <w:r>
            <w:rPr>
              <w:rFonts w:ascii="Times New Roman" w:hAnsi="Times New Roman" w:eastAsia="Times New Roman" w:cs="Times New Roman"/>
              <w:spacing w:val="21"/>
              <w:w w:val="110"/>
            </w:rPr>
            <w:fldChar w:fldCharType="end"/>
          </w:r>
        </w:p>
        <w:p>
          <w:pPr>
            <w:pStyle w:val="2"/>
            <w:tabs>
              <w:tab w:val="right" w:leader="dot" w:pos="14560"/>
            </w:tabs>
            <w:spacing w:before="211" w:line="158" w:lineRule="auto"/>
            <w:ind w:left="9" w:firstLine="560" w:firstLineChars="200"/>
            <w:rPr>
              <w:rFonts w:ascii="Times New Roman" w:hAnsi="Times New Roman" w:eastAsia="Times New Roman" w:cs="Times New Roman"/>
            </w:rPr>
          </w:pPr>
          <w:r>
            <w:fldChar w:fldCharType="begin"/>
          </w:r>
          <w:r>
            <w:instrText xml:space="preserve"> HYPERLINK \l "bookmark4" </w:instrText>
          </w:r>
          <w:r>
            <w:fldChar w:fldCharType="separate"/>
          </w:r>
          <w:r>
            <w:rPr>
              <w:spacing w:val="-2"/>
            </w:rPr>
            <w:t>部门预算财政拨款收支总表</w:t>
          </w:r>
          <w:r>
            <w:tab/>
          </w:r>
          <w:r>
            <w:rPr>
              <w:rFonts w:ascii="Times New Roman" w:hAnsi="Times New Roman" w:eastAsia="Times New Roman" w:cs="Times New Roman"/>
              <w:spacing w:val="33"/>
              <w:w w:val="102"/>
            </w:rPr>
            <w:t>8</w:t>
          </w:r>
          <w:r>
            <w:rPr>
              <w:rFonts w:ascii="Times New Roman" w:hAnsi="Times New Roman" w:eastAsia="Times New Roman" w:cs="Times New Roman"/>
              <w:spacing w:val="33"/>
              <w:w w:val="102"/>
            </w:rPr>
            <w:fldChar w:fldCharType="end"/>
          </w:r>
        </w:p>
        <w:p>
          <w:pPr>
            <w:pStyle w:val="2"/>
            <w:tabs>
              <w:tab w:val="right" w:leader="dot" w:pos="14560"/>
            </w:tabs>
            <w:spacing w:before="214" w:line="158" w:lineRule="auto"/>
            <w:ind w:left="9" w:firstLine="560" w:firstLineChars="200"/>
            <w:rPr>
              <w:rFonts w:ascii="Times New Roman" w:hAnsi="Times New Roman" w:eastAsia="Times New Roman" w:cs="Times New Roman"/>
            </w:rPr>
          </w:pPr>
          <w:r>
            <w:fldChar w:fldCharType="begin"/>
          </w:r>
          <w:r>
            <w:instrText xml:space="preserve"> HYPERLINK \l "bookmark5" </w:instrText>
          </w:r>
          <w:r>
            <w:fldChar w:fldCharType="separate"/>
          </w:r>
          <w:r>
            <w:rPr>
              <w:spacing w:val="-1"/>
            </w:rPr>
            <w:t>部门预算一般公共预算财政拨款支出表</w:t>
          </w:r>
          <w:r>
            <w:tab/>
          </w:r>
          <w:r>
            <w:rPr>
              <w:rFonts w:ascii="Times New Roman" w:hAnsi="Times New Roman" w:eastAsia="Times New Roman" w:cs="Times New Roman"/>
              <w:spacing w:val="17"/>
            </w:rPr>
            <w:t>11</w:t>
          </w:r>
          <w:r>
            <w:rPr>
              <w:rFonts w:ascii="Times New Roman" w:hAnsi="Times New Roman" w:eastAsia="Times New Roman" w:cs="Times New Roman"/>
              <w:spacing w:val="17"/>
            </w:rPr>
            <w:fldChar w:fldCharType="end"/>
          </w:r>
        </w:p>
        <w:p>
          <w:pPr>
            <w:pStyle w:val="2"/>
            <w:tabs>
              <w:tab w:val="right" w:leader="dot" w:pos="14560"/>
            </w:tabs>
            <w:spacing w:before="212" w:line="158" w:lineRule="auto"/>
            <w:ind w:left="9" w:firstLine="560" w:firstLineChars="200"/>
            <w:rPr>
              <w:rFonts w:ascii="Times New Roman" w:hAnsi="Times New Roman" w:eastAsia="Times New Roman" w:cs="Times New Roman"/>
            </w:rPr>
          </w:pPr>
          <w:r>
            <w:fldChar w:fldCharType="begin"/>
          </w:r>
          <w:r>
            <w:instrText xml:space="preserve"> HYPERLINK \l "bookmark6" </w:instrText>
          </w:r>
          <w:r>
            <w:fldChar w:fldCharType="separate"/>
          </w:r>
          <w:r>
            <w:rPr>
              <w:spacing w:val="-1"/>
            </w:rPr>
            <w:t>部门预算一般公共预算财政拨款基本支出表</w:t>
          </w:r>
          <w:r>
            <w:tab/>
          </w:r>
          <w:r>
            <w:rPr>
              <w:rFonts w:ascii="Times New Roman" w:hAnsi="Times New Roman" w:eastAsia="Times New Roman" w:cs="Times New Roman"/>
              <w:spacing w:val="17"/>
            </w:rPr>
            <w:t>13</w:t>
          </w:r>
          <w:r>
            <w:rPr>
              <w:rFonts w:ascii="Times New Roman" w:hAnsi="Times New Roman" w:eastAsia="Times New Roman" w:cs="Times New Roman"/>
              <w:spacing w:val="17"/>
            </w:rPr>
            <w:fldChar w:fldCharType="end"/>
          </w:r>
        </w:p>
        <w:p>
          <w:pPr>
            <w:pStyle w:val="2"/>
            <w:tabs>
              <w:tab w:val="right" w:leader="dot" w:pos="14560"/>
            </w:tabs>
            <w:spacing w:before="214" w:line="158" w:lineRule="auto"/>
            <w:ind w:left="9" w:firstLine="560" w:firstLineChars="200"/>
            <w:rPr>
              <w:rFonts w:ascii="Times New Roman" w:hAnsi="Times New Roman" w:eastAsia="Times New Roman" w:cs="Times New Roman"/>
            </w:rPr>
          </w:pPr>
          <w:r>
            <w:fldChar w:fldCharType="begin"/>
          </w:r>
          <w:r>
            <w:instrText xml:space="preserve"> HYPERLINK \l "bookmark7" </w:instrText>
          </w:r>
          <w:r>
            <w:fldChar w:fldCharType="separate"/>
          </w:r>
          <w:r>
            <w:rPr>
              <w:spacing w:val="-1"/>
            </w:rPr>
            <w:t>部门预算政府性基金预算财政拨款支出表</w:t>
          </w:r>
          <w:r>
            <w:tab/>
          </w:r>
          <w:r>
            <w:rPr>
              <w:rFonts w:ascii="Times New Roman" w:hAnsi="Times New Roman" w:eastAsia="Times New Roman" w:cs="Times New Roman"/>
              <w:spacing w:val="17"/>
            </w:rPr>
            <w:t>16</w:t>
          </w:r>
          <w:r>
            <w:rPr>
              <w:rFonts w:ascii="Times New Roman" w:hAnsi="Times New Roman" w:eastAsia="Times New Roman" w:cs="Times New Roman"/>
              <w:spacing w:val="17"/>
            </w:rPr>
            <w:fldChar w:fldCharType="end"/>
          </w:r>
        </w:p>
        <w:p>
          <w:pPr>
            <w:pStyle w:val="2"/>
            <w:tabs>
              <w:tab w:val="right" w:leader="dot" w:pos="14560"/>
            </w:tabs>
            <w:spacing w:before="212" w:line="158" w:lineRule="auto"/>
            <w:ind w:left="9" w:firstLine="560" w:firstLineChars="200"/>
            <w:rPr>
              <w:rFonts w:ascii="Times New Roman" w:hAnsi="Times New Roman" w:eastAsia="Times New Roman" w:cs="Times New Roman"/>
            </w:rPr>
          </w:pPr>
          <w:r>
            <w:fldChar w:fldCharType="begin"/>
          </w:r>
          <w:r>
            <w:instrText xml:space="preserve"> HYPERLINK \l "bookmark8" </w:instrText>
          </w:r>
          <w:r>
            <w:fldChar w:fldCharType="separate"/>
          </w:r>
          <w:r>
            <w:rPr>
              <w:spacing w:val="-1"/>
            </w:rPr>
            <w:t>部门预算国有资本经营预算财政拨款支出表</w:t>
          </w:r>
          <w:r>
            <w:tab/>
          </w:r>
          <w:r>
            <w:rPr>
              <w:rFonts w:ascii="Times New Roman" w:hAnsi="Times New Roman" w:eastAsia="Times New Roman" w:cs="Times New Roman"/>
              <w:spacing w:val="17"/>
            </w:rPr>
            <w:t>17</w:t>
          </w:r>
          <w:r>
            <w:rPr>
              <w:rFonts w:ascii="Times New Roman" w:hAnsi="Times New Roman" w:eastAsia="Times New Roman" w:cs="Times New Roman"/>
              <w:spacing w:val="17"/>
            </w:rPr>
            <w:fldChar w:fldCharType="end"/>
          </w:r>
        </w:p>
        <w:p>
          <w:pPr>
            <w:pStyle w:val="2"/>
            <w:tabs>
              <w:tab w:val="right" w:leader="dot" w:pos="14560"/>
            </w:tabs>
            <w:spacing w:before="214" w:line="203" w:lineRule="auto"/>
            <w:ind w:left="9" w:firstLine="560" w:firstLineChars="200"/>
            <w:rPr>
              <w:rFonts w:ascii="Times New Roman" w:hAnsi="Times New Roman" w:eastAsia="Times New Roman" w:cs="Times New Roman"/>
            </w:rPr>
          </w:pPr>
          <w:r>
            <w:fldChar w:fldCharType="begin"/>
          </w:r>
          <w:r>
            <w:instrText xml:space="preserve"> HYPERLINK \l "bookmark9" </w:instrText>
          </w:r>
          <w:r>
            <w:fldChar w:fldCharType="separate"/>
          </w:r>
          <w:r>
            <w:rPr>
              <w:spacing w:val="-2"/>
            </w:rPr>
            <w:t>部门预算财政拨款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 xml:space="preserve">经费支出表 </w:t>
          </w:r>
          <w:r>
            <w:tab/>
          </w:r>
          <w:r>
            <w:rPr>
              <w:rFonts w:ascii="Times New Roman" w:hAnsi="Times New Roman" w:eastAsia="Times New Roman" w:cs="Times New Roman"/>
              <w:spacing w:val="17"/>
            </w:rPr>
            <w:t>18</w:t>
          </w:r>
          <w:r>
            <w:rPr>
              <w:rFonts w:ascii="Times New Roman" w:hAnsi="Times New Roman" w:eastAsia="Times New Roman" w:cs="Times New Roman"/>
              <w:spacing w:val="17"/>
            </w:rPr>
            <w:fldChar w:fldCharType="end"/>
          </w:r>
        </w:p>
        <w:p>
          <w:pPr>
            <w:spacing w:before="140" w:line="223" w:lineRule="auto"/>
            <w:jc w:val="both"/>
            <w:outlineLvl w:val="0"/>
            <w:rPr>
              <w:rFonts w:hint="eastAsia" w:ascii="楷体" w:hAnsi="楷体" w:eastAsia="楷体" w:cs="楷体"/>
              <w:b/>
              <w:bCs/>
              <w:spacing w:val="7"/>
              <w:sz w:val="32"/>
              <w:szCs w:val="32"/>
              <w:lang w:val="en-US" w:eastAsia="zh-CN"/>
            </w:rPr>
          </w:pPr>
          <w:r>
            <w:rPr>
              <w:rFonts w:hint="eastAsia" w:ascii="楷体" w:hAnsi="楷体" w:eastAsia="楷体" w:cs="楷体"/>
              <w:b/>
              <w:bCs/>
              <w:spacing w:val="7"/>
              <w:sz w:val="32"/>
              <w:szCs w:val="32"/>
              <w:lang w:val="en-US" w:eastAsia="zh-CN"/>
            </w:rPr>
            <w:t>部门预算信息公开情况说明</w:t>
          </w:r>
        </w:p>
        <w:p>
          <w:pPr>
            <w:pStyle w:val="2"/>
            <w:tabs>
              <w:tab w:val="right" w:leader="dot" w:pos="14560"/>
            </w:tabs>
            <w:spacing w:before="167" w:line="158" w:lineRule="auto"/>
            <w:ind w:left="27" w:firstLine="560" w:firstLineChars="200"/>
            <w:rPr>
              <w:rFonts w:ascii="Times New Roman" w:hAnsi="Times New Roman" w:eastAsia="Times New Roman" w:cs="Times New Roman"/>
            </w:rPr>
          </w:pPr>
          <w:r>
            <w:fldChar w:fldCharType="begin"/>
          </w:r>
          <w:r>
            <w:instrText xml:space="preserve"> HYPERLINK \l "bookmark10" </w:instrText>
          </w:r>
          <w:r>
            <w:fldChar w:fldCharType="separate"/>
          </w:r>
          <w:r>
            <w:rPr>
              <w:spacing w:val="-3"/>
            </w:rPr>
            <w:t>一、部门职责及机构设置情况</w:t>
          </w:r>
          <w:r>
            <w:tab/>
          </w:r>
          <w:r>
            <w:rPr>
              <w:rFonts w:ascii="Times New Roman" w:hAnsi="Times New Roman" w:eastAsia="Times New Roman" w:cs="Times New Roman"/>
              <w:spacing w:val="17"/>
            </w:rPr>
            <w:t>19</w:t>
          </w:r>
          <w:r>
            <w:rPr>
              <w:rFonts w:ascii="Times New Roman" w:hAnsi="Times New Roman" w:eastAsia="Times New Roman" w:cs="Times New Roman"/>
              <w:spacing w:val="17"/>
            </w:rPr>
            <w:fldChar w:fldCharType="end"/>
          </w:r>
        </w:p>
        <w:p>
          <w:pPr>
            <w:pStyle w:val="2"/>
            <w:tabs>
              <w:tab w:val="right" w:leader="dot" w:pos="14560"/>
            </w:tabs>
            <w:spacing w:before="212" w:line="158" w:lineRule="auto"/>
            <w:ind w:left="23" w:firstLine="560" w:firstLineChars="200"/>
            <w:rPr>
              <w:rFonts w:ascii="Times New Roman" w:hAnsi="Times New Roman" w:eastAsia="Times New Roman" w:cs="Times New Roman"/>
            </w:rPr>
          </w:pPr>
          <w:r>
            <w:fldChar w:fldCharType="begin"/>
          </w:r>
          <w:r>
            <w:instrText xml:space="preserve"> HYPERLINK \l "bookmark11" </w:instrText>
          </w:r>
          <w:r>
            <w:fldChar w:fldCharType="separate"/>
          </w:r>
          <w:r>
            <w:rPr>
              <w:spacing w:val="-3"/>
            </w:rPr>
            <w:t>二、部门预算安排的总体情况</w:t>
          </w:r>
          <w:r>
            <w:tab/>
          </w:r>
          <w:r>
            <w:rPr>
              <w:rFonts w:ascii="Times New Roman" w:hAnsi="Times New Roman" w:eastAsia="Times New Roman" w:cs="Times New Roman"/>
              <w:spacing w:val="17"/>
            </w:rPr>
            <w:t>21</w:t>
          </w:r>
          <w:r>
            <w:rPr>
              <w:rFonts w:ascii="Times New Roman" w:hAnsi="Times New Roman" w:eastAsia="Times New Roman" w:cs="Times New Roman"/>
              <w:spacing w:val="17"/>
            </w:rPr>
            <w:fldChar w:fldCharType="end"/>
          </w:r>
        </w:p>
        <w:p>
          <w:pPr>
            <w:pStyle w:val="2"/>
            <w:tabs>
              <w:tab w:val="right" w:leader="dot" w:pos="14560"/>
            </w:tabs>
            <w:spacing w:before="214" w:line="158" w:lineRule="auto"/>
            <w:ind w:left="27" w:firstLine="560" w:firstLineChars="200"/>
            <w:rPr>
              <w:rFonts w:ascii="Times New Roman" w:hAnsi="Times New Roman" w:eastAsia="Times New Roman" w:cs="Times New Roman"/>
            </w:rPr>
          </w:pPr>
          <w:r>
            <w:fldChar w:fldCharType="begin"/>
          </w:r>
          <w:r>
            <w:instrText xml:space="preserve"> HYPERLINK \l "bookmark12" </w:instrText>
          </w:r>
          <w:r>
            <w:fldChar w:fldCharType="separate"/>
          </w:r>
          <w:r>
            <w:rPr>
              <w:spacing w:val="-3"/>
            </w:rPr>
            <w:t>三、机关运行经费安排情况</w:t>
          </w:r>
          <w:r>
            <w:tab/>
          </w:r>
          <w:r>
            <w:rPr>
              <w:rFonts w:ascii="Times New Roman" w:hAnsi="Times New Roman" w:eastAsia="Times New Roman" w:cs="Times New Roman"/>
              <w:spacing w:val="17"/>
            </w:rPr>
            <w:t>22</w:t>
          </w:r>
          <w:r>
            <w:rPr>
              <w:rFonts w:ascii="Times New Roman" w:hAnsi="Times New Roman" w:eastAsia="Times New Roman" w:cs="Times New Roman"/>
              <w:spacing w:val="17"/>
            </w:rPr>
            <w:fldChar w:fldCharType="end"/>
          </w:r>
        </w:p>
        <w:p>
          <w:pPr>
            <w:pStyle w:val="2"/>
            <w:tabs>
              <w:tab w:val="right" w:leader="dot" w:pos="14560"/>
            </w:tabs>
            <w:spacing w:before="211" w:line="203" w:lineRule="auto"/>
            <w:ind w:left="48" w:firstLine="560" w:firstLineChars="200"/>
            <w:rPr>
              <w:rFonts w:ascii="Times New Roman" w:hAnsi="Times New Roman" w:eastAsia="Times New Roman" w:cs="Times New Roman"/>
            </w:rPr>
          </w:pPr>
          <w:r>
            <w:fldChar w:fldCharType="begin"/>
          </w:r>
          <w:r>
            <w:instrText xml:space="preserve"> HYPERLINK \l "bookmark13" </w:instrText>
          </w:r>
          <w:r>
            <w:fldChar w:fldCharType="separate"/>
          </w:r>
          <w:r>
            <w:rPr>
              <w:spacing w:val="-3"/>
            </w:rPr>
            <w:t>四、财政拨款</w:t>
          </w:r>
          <w:r>
            <w:rPr>
              <w:rFonts w:ascii="Times New Roman" w:hAnsi="Times New Roman" w:eastAsia="Times New Roman" w:cs="Times New Roman"/>
              <w:spacing w:val="-3"/>
            </w:rPr>
            <w:t>“</w:t>
          </w:r>
          <w:r>
            <w:rPr>
              <w:spacing w:val="-3"/>
            </w:rPr>
            <w:t>三公</w:t>
          </w:r>
          <w:r>
            <w:rPr>
              <w:rFonts w:ascii="Times New Roman" w:hAnsi="Times New Roman" w:eastAsia="Times New Roman" w:cs="Times New Roman"/>
              <w:spacing w:val="-3"/>
            </w:rPr>
            <w:t>”</w:t>
          </w:r>
          <w:r>
            <w:rPr>
              <w:spacing w:val="-3"/>
            </w:rPr>
            <w:t>经费预算情况及增减变化原因</w:t>
          </w:r>
          <w:r>
            <w:rPr>
              <w:spacing w:val="-1"/>
            </w:rPr>
            <w:t xml:space="preserve"> </w:t>
          </w:r>
          <w:r>
            <w:tab/>
          </w:r>
          <w:r>
            <w:rPr>
              <w:rFonts w:ascii="Times New Roman" w:hAnsi="Times New Roman" w:eastAsia="Times New Roman" w:cs="Times New Roman"/>
              <w:spacing w:val="17"/>
            </w:rPr>
            <w:t>22</w:t>
          </w:r>
          <w:r>
            <w:rPr>
              <w:rFonts w:ascii="Times New Roman" w:hAnsi="Times New Roman" w:eastAsia="Times New Roman" w:cs="Times New Roman"/>
              <w:spacing w:val="17"/>
            </w:rPr>
            <w:fldChar w:fldCharType="end"/>
          </w:r>
        </w:p>
      </w:sdtContent>
    </w:sdt>
    <w:p>
      <w:pPr>
        <w:spacing w:line="203" w:lineRule="auto"/>
        <w:rPr>
          <w:rFonts w:ascii="Times New Roman" w:hAnsi="Times New Roman" w:eastAsia="Times New Roman" w:cs="Times New Roman"/>
        </w:rPr>
        <w:sectPr>
          <w:pgSz w:w="16841" w:h="11900"/>
          <w:pgMar w:top="1011" w:right="1141" w:bottom="0" w:left="1137" w:header="0" w:footer="0" w:gutter="0"/>
          <w:cols w:space="720" w:num="1"/>
        </w:sectPr>
      </w:pPr>
    </w:p>
    <w:p>
      <w:pPr>
        <w:spacing w:line="248" w:lineRule="auto"/>
        <w:rPr>
          <w:rFonts w:ascii="Arial"/>
          <w:sz w:val="21"/>
        </w:rPr>
      </w:pPr>
    </w:p>
    <w:p>
      <w:pPr>
        <w:spacing w:line="248" w:lineRule="auto"/>
        <w:rPr>
          <w:rFonts w:ascii="Arial"/>
          <w:sz w:val="21"/>
        </w:rPr>
      </w:pPr>
    </w:p>
    <w:sdt>
      <w:sdtPr>
        <w:rPr>
          <w:rFonts w:ascii="微软雅黑" w:hAnsi="微软雅黑" w:eastAsia="微软雅黑" w:cs="微软雅黑"/>
          <w:sz w:val="28"/>
          <w:szCs w:val="28"/>
        </w:rPr>
        <w:id w:val="2"/>
        <w:docPartObj>
          <w:docPartGallery w:val="Table of Contents"/>
          <w:docPartUnique/>
        </w:docPartObj>
      </w:sdtPr>
      <w:sdtEndPr>
        <w:rPr>
          <w:rFonts w:ascii="微软雅黑" w:hAnsi="微软雅黑" w:eastAsia="微软雅黑" w:cs="微软雅黑"/>
          <w:spacing w:val="-2"/>
          <w:sz w:val="28"/>
          <w:szCs w:val="28"/>
          <w:lang w:val="en-US" w:eastAsia="en-US" w:bidi="ar-SA"/>
        </w:rPr>
      </w:sdtEndPr>
      <w:sdtContent>
        <w:p>
          <w:pPr>
            <w:pStyle w:val="2"/>
            <w:tabs>
              <w:tab w:val="right" w:leader="dot" w:pos="14550"/>
            </w:tabs>
            <w:spacing w:before="120" w:line="158" w:lineRule="auto"/>
            <w:ind w:left="8"/>
            <w:rPr>
              <w:rFonts w:ascii="Times New Roman" w:hAnsi="Times New Roman" w:eastAsia="Times New Roman" w:cs="Times New Roman"/>
            </w:rPr>
          </w:pPr>
          <w:r>
            <w:rPr>
              <w:rFonts w:hint="eastAsia" w:cs="微软雅黑"/>
              <w:sz w:val="28"/>
              <w:szCs w:val="28"/>
              <w:lang w:val="en-US" w:eastAsia="zh-CN"/>
            </w:rPr>
            <w:t xml:space="preserve">       </w:t>
          </w:r>
          <w:r>
            <w:fldChar w:fldCharType="begin"/>
          </w:r>
          <w:r>
            <w:instrText xml:space="preserve"> HYPERLINK \l "bookmark14" </w:instrText>
          </w:r>
          <w:r>
            <w:fldChar w:fldCharType="separate"/>
          </w:r>
          <w:r>
            <w:rPr>
              <w:spacing w:val="-3"/>
            </w:rPr>
            <w:t>五、部门整体绩效目标</w:t>
          </w:r>
          <w:r>
            <w:tab/>
          </w:r>
          <w:r>
            <w:rPr>
              <w:rFonts w:ascii="Times New Roman" w:hAnsi="Times New Roman" w:eastAsia="Times New Roman" w:cs="Times New Roman"/>
              <w:spacing w:val="17"/>
            </w:rPr>
            <w:t>23</w:t>
          </w:r>
          <w:r>
            <w:rPr>
              <w:rFonts w:ascii="Times New Roman" w:hAnsi="Times New Roman" w:eastAsia="Times New Roman" w:cs="Times New Roman"/>
              <w:spacing w:val="17"/>
            </w:rPr>
            <w:fldChar w:fldCharType="end"/>
          </w:r>
        </w:p>
        <w:p>
          <w:pPr>
            <w:pStyle w:val="2"/>
            <w:tabs>
              <w:tab w:val="right" w:leader="dot" w:pos="14550"/>
            </w:tabs>
            <w:spacing w:before="214" w:line="158" w:lineRule="auto"/>
            <w:ind w:left="15" w:firstLine="560" w:firstLineChars="200"/>
            <w:rPr>
              <w:rFonts w:ascii="Times New Roman" w:hAnsi="Times New Roman" w:eastAsia="Times New Roman" w:cs="Times New Roman"/>
            </w:rPr>
          </w:pPr>
          <w:r>
            <w:fldChar w:fldCharType="begin"/>
          </w:r>
          <w:r>
            <w:instrText xml:space="preserve"> HYPERLINK \l "bookmark15" </w:instrText>
          </w:r>
          <w:r>
            <w:fldChar w:fldCharType="separate"/>
          </w:r>
          <w:r>
            <w:rPr>
              <w:spacing w:val="-2"/>
            </w:rPr>
            <w:t>六、部门主管专项资金预算安排情况及绩效目标</w:t>
          </w:r>
          <w:r>
            <w:tab/>
          </w:r>
          <w:r>
            <w:rPr>
              <w:rFonts w:ascii="Times New Roman" w:hAnsi="Times New Roman" w:eastAsia="Times New Roman" w:cs="Times New Roman"/>
              <w:spacing w:val="17"/>
            </w:rPr>
            <w:t>27</w:t>
          </w:r>
          <w:r>
            <w:rPr>
              <w:rFonts w:ascii="Times New Roman" w:hAnsi="Times New Roman" w:eastAsia="Times New Roman" w:cs="Times New Roman"/>
              <w:spacing w:val="17"/>
            </w:rPr>
            <w:fldChar w:fldCharType="end"/>
          </w:r>
        </w:p>
        <w:p>
          <w:pPr>
            <w:pStyle w:val="2"/>
            <w:tabs>
              <w:tab w:val="right" w:leader="dot" w:pos="14550"/>
            </w:tabs>
            <w:spacing w:before="211" w:line="158" w:lineRule="auto"/>
            <w:ind w:left="9" w:firstLine="560" w:firstLineChars="200"/>
            <w:rPr>
              <w:rFonts w:ascii="Times New Roman" w:hAnsi="Times New Roman" w:eastAsia="Times New Roman" w:cs="Times New Roman"/>
            </w:rPr>
          </w:pPr>
          <w:r>
            <w:fldChar w:fldCharType="begin"/>
          </w:r>
          <w:r>
            <w:instrText xml:space="preserve"> HYPERLINK \l "bookmark16" </w:instrText>
          </w:r>
          <w:r>
            <w:fldChar w:fldCharType="separate"/>
          </w:r>
          <w:r>
            <w:rPr>
              <w:spacing w:val="-2"/>
            </w:rPr>
            <w:t>七、部门项目预算安排情况及绩效目标</w:t>
          </w:r>
          <w:r>
            <w:tab/>
          </w:r>
          <w:r>
            <w:rPr>
              <w:rFonts w:ascii="Times New Roman" w:hAnsi="Times New Roman" w:eastAsia="Times New Roman" w:cs="Times New Roman"/>
              <w:spacing w:val="17"/>
            </w:rPr>
            <w:t>38</w:t>
          </w:r>
          <w:r>
            <w:rPr>
              <w:rFonts w:ascii="Times New Roman" w:hAnsi="Times New Roman" w:eastAsia="Times New Roman" w:cs="Times New Roman"/>
              <w:spacing w:val="17"/>
            </w:rPr>
            <w:fldChar w:fldCharType="end"/>
          </w:r>
        </w:p>
        <w:p>
          <w:pPr>
            <w:pStyle w:val="2"/>
            <w:tabs>
              <w:tab w:val="right" w:leader="dot" w:pos="14550"/>
            </w:tabs>
            <w:spacing w:before="214" w:line="158" w:lineRule="auto"/>
            <w:ind w:firstLine="560" w:firstLineChars="200"/>
            <w:rPr>
              <w:rFonts w:ascii="Times New Roman" w:hAnsi="Times New Roman" w:eastAsia="Times New Roman" w:cs="Times New Roman"/>
            </w:rPr>
          </w:pPr>
          <w:r>
            <w:fldChar w:fldCharType="begin"/>
          </w:r>
          <w:r>
            <w:instrText xml:space="preserve"> HYPERLINK \l "bookmark17" </w:instrText>
          </w:r>
          <w:r>
            <w:fldChar w:fldCharType="separate"/>
          </w:r>
          <w:r>
            <w:rPr>
              <w:spacing w:val="-2"/>
            </w:rPr>
            <w:t>八、政府采购预算情况</w:t>
          </w:r>
          <w:r>
            <w:tab/>
          </w:r>
          <w:r>
            <w:rPr>
              <w:rFonts w:ascii="Times New Roman" w:hAnsi="Times New Roman" w:eastAsia="Times New Roman" w:cs="Times New Roman"/>
              <w:spacing w:val="11"/>
            </w:rPr>
            <w:t>135</w:t>
          </w:r>
          <w:r>
            <w:rPr>
              <w:rFonts w:ascii="Times New Roman" w:hAnsi="Times New Roman" w:eastAsia="Times New Roman" w:cs="Times New Roman"/>
              <w:spacing w:val="11"/>
            </w:rPr>
            <w:fldChar w:fldCharType="end"/>
          </w:r>
        </w:p>
        <w:p>
          <w:pPr>
            <w:pStyle w:val="2"/>
            <w:tabs>
              <w:tab w:val="right" w:leader="dot" w:pos="14550"/>
            </w:tabs>
            <w:spacing w:before="212" w:line="158" w:lineRule="auto"/>
            <w:ind w:left="6" w:firstLine="560" w:firstLineChars="200"/>
            <w:rPr>
              <w:rFonts w:ascii="Times New Roman" w:hAnsi="Times New Roman" w:eastAsia="Times New Roman" w:cs="Times New Roman"/>
            </w:rPr>
          </w:pPr>
          <w:r>
            <w:fldChar w:fldCharType="begin"/>
          </w:r>
          <w:r>
            <w:instrText xml:space="preserve"> HYPERLINK \l "bookmark18" </w:instrText>
          </w:r>
          <w:r>
            <w:fldChar w:fldCharType="separate"/>
          </w:r>
          <w:r>
            <w:rPr>
              <w:spacing w:val="-3"/>
            </w:rPr>
            <w:t>九、国有资产信息</w:t>
          </w:r>
          <w:r>
            <w:rPr>
              <w:spacing w:val="-24"/>
            </w:rPr>
            <w:t xml:space="preserve"> </w:t>
          </w:r>
          <w:r>
            <w:tab/>
          </w:r>
          <w:r>
            <w:rPr>
              <w:rFonts w:ascii="Times New Roman" w:hAnsi="Times New Roman" w:eastAsia="Times New Roman" w:cs="Times New Roman"/>
              <w:spacing w:val="11"/>
            </w:rPr>
            <w:t>151</w:t>
          </w:r>
          <w:r>
            <w:rPr>
              <w:rFonts w:ascii="Times New Roman" w:hAnsi="Times New Roman" w:eastAsia="Times New Roman" w:cs="Times New Roman"/>
              <w:spacing w:val="11"/>
            </w:rPr>
            <w:fldChar w:fldCharType="end"/>
          </w:r>
        </w:p>
        <w:p>
          <w:pPr>
            <w:pStyle w:val="2"/>
            <w:tabs>
              <w:tab w:val="right" w:leader="dot" w:pos="14550"/>
            </w:tabs>
            <w:spacing w:before="211" w:line="158" w:lineRule="auto"/>
            <w:ind w:left="9" w:firstLine="560" w:firstLineChars="200"/>
            <w:rPr>
              <w:rFonts w:ascii="Times New Roman" w:hAnsi="Times New Roman" w:eastAsia="Times New Roman" w:cs="Times New Roman"/>
            </w:rPr>
          </w:pPr>
          <w:r>
            <w:fldChar w:fldCharType="begin"/>
          </w:r>
          <w:r>
            <w:instrText xml:space="preserve"> HYPERLINK \l "bookmark19" </w:instrText>
          </w:r>
          <w:r>
            <w:fldChar w:fldCharType="separate"/>
          </w:r>
          <w:r>
            <w:rPr>
              <w:spacing w:val="-4"/>
            </w:rPr>
            <w:t>十、名词解释</w:t>
          </w:r>
          <w:r>
            <w:rPr>
              <w:spacing w:val="-24"/>
            </w:rPr>
            <w:t xml:space="preserve"> </w:t>
          </w:r>
          <w:r>
            <w:tab/>
          </w:r>
          <w:r>
            <w:rPr>
              <w:rFonts w:ascii="Times New Roman" w:hAnsi="Times New Roman" w:eastAsia="Times New Roman" w:cs="Times New Roman"/>
              <w:spacing w:val="11"/>
            </w:rPr>
            <w:t>152</w:t>
          </w:r>
          <w:r>
            <w:rPr>
              <w:rFonts w:ascii="Times New Roman" w:hAnsi="Times New Roman" w:eastAsia="Times New Roman" w:cs="Times New Roman"/>
              <w:spacing w:val="11"/>
            </w:rPr>
            <w:fldChar w:fldCharType="end"/>
          </w:r>
        </w:p>
        <w:p>
          <w:pPr>
            <w:pStyle w:val="2"/>
            <w:tabs>
              <w:tab w:val="right" w:leader="dot" w:pos="14550"/>
            </w:tabs>
            <w:spacing w:before="215" w:line="202" w:lineRule="auto"/>
            <w:ind w:left="9" w:firstLine="560" w:firstLineChars="200"/>
            <w:rPr>
              <w:rFonts w:ascii="Times New Roman" w:hAnsi="Times New Roman" w:eastAsia="Times New Roman" w:cs="Times New Roman"/>
            </w:rPr>
          </w:pPr>
          <w:r>
            <w:fldChar w:fldCharType="begin"/>
          </w:r>
          <w:r>
            <w:instrText xml:space="preserve"> HYPERLINK \l "bookmark20" </w:instrText>
          </w:r>
          <w:r>
            <w:fldChar w:fldCharType="separate"/>
          </w:r>
          <w:r>
            <w:rPr>
              <w:spacing w:val="-2"/>
            </w:rPr>
            <w:t>十一、其他需要说明的事项</w:t>
          </w:r>
          <w:r>
            <w:tab/>
          </w:r>
          <w:r>
            <w:rPr>
              <w:rFonts w:ascii="Times New Roman" w:hAnsi="Times New Roman" w:eastAsia="Times New Roman" w:cs="Times New Roman"/>
              <w:spacing w:val="11"/>
            </w:rPr>
            <w:t>153</w:t>
          </w:r>
          <w:r>
            <w:rPr>
              <w:rFonts w:ascii="Times New Roman" w:hAnsi="Times New Roman" w:eastAsia="Times New Roman" w:cs="Times New Roman"/>
              <w:spacing w:val="11"/>
            </w:rPr>
            <w:fldChar w:fldCharType="end"/>
          </w:r>
        </w:p>
        <w:p>
          <w:pPr>
            <w:spacing w:before="0" w:after="0" w:line="240" w:lineRule="auto"/>
            <w:ind w:firstLine="0"/>
            <w:jc w:val="left"/>
            <w:outlineLvl w:val="1"/>
            <w:rPr>
              <w:rFonts w:ascii="微软雅黑" w:hAnsi="微软雅黑" w:eastAsia="微软雅黑" w:cs="微软雅黑"/>
              <w:spacing w:val="-2"/>
              <w:sz w:val="28"/>
              <w:szCs w:val="28"/>
              <w:lang w:val="en-US" w:eastAsia="en-US" w:bidi="ar-SA"/>
            </w:rPr>
          </w:pPr>
        </w:p>
      </w:sdtContent>
    </w:sdt>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p>
      <w:pPr>
        <w:spacing w:before="0" w:after="0" w:line="240" w:lineRule="auto"/>
        <w:ind w:firstLine="0"/>
        <w:jc w:val="center"/>
        <w:outlineLvl w:val="1"/>
        <w:rPr>
          <w:rFonts w:ascii="方正小标宋_GBK" w:hAnsi="方正小标宋_GBK" w:eastAsia="方正小标宋_GBK" w:cs="方正小标宋_GBK"/>
          <w:color w:val="000000"/>
          <w:sz w:val="32"/>
        </w:rPr>
      </w:pPr>
    </w:p>
    <w:tbl>
      <w:tblPr>
        <w:tblStyle w:val="7"/>
        <w:tblW w:w="138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6"/>
        <w:gridCol w:w="4503"/>
        <w:gridCol w:w="1286"/>
        <w:gridCol w:w="4803"/>
        <w:gridCol w:w="2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88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334涞源县城市管理综合行政执法局</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五、单位资金</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bookmarkEnd w:id="0"/>
    </w:tbl>
    <w:p>
      <w:pPr>
        <w:sectPr>
          <w:footerReference r:id="rId3" w:type="default"/>
          <w:pgSz w:w="16840" w:h="11900" w:orient="landscape"/>
          <w:pgMar w:top="1020" w:right="1361" w:bottom="1020" w:left="1361" w:header="720" w:footer="720" w:gutter="0"/>
          <w:cols w:space="720" w:num="1"/>
        </w:sectPr>
      </w:pPr>
    </w:p>
    <w:tbl>
      <w:tblPr>
        <w:tblStyle w:val="7"/>
        <w:tblW w:w="143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0"/>
        <w:gridCol w:w="42"/>
        <w:gridCol w:w="322"/>
        <w:gridCol w:w="70"/>
        <w:gridCol w:w="618"/>
        <w:gridCol w:w="1522"/>
        <w:gridCol w:w="112"/>
        <w:gridCol w:w="914"/>
        <w:gridCol w:w="71"/>
        <w:gridCol w:w="69"/>
        <w:gridCol w:w="927"/>
        <w:gridCol w:w="340"/>
        <w:gridCol w:w="445"/>
        <w:gridCol w:w="345"/>
        <w:gridCol w:w="536"/>
        <w:gridCol w:w="204"/>
        <w:gridCol w:w="165"/>
        <w:gridCol w:w="1044"/>
        <w:gridCol w:w="177"/>
        <w:gridCol w:w="29"/>
        <w:gridCol w:w="906"/>
        <w:gridCol w:w="614"/>
        <w:gridCol w:w="292"/>
        <w:gridCol w:w="285"/>
        <w:gridCol w:w="603"/>
        <w:gridCol w:w="634"/>
        <w:gridCol w:w="385"/>
        <w:gridCol w:w="1"/>
        <w:gridCol w:w="139"/>
        <w:gridCol w:w="845"/>
        <w:gridCol w:w="1008"/>
        <w:gridCol w:w="84"/>
        <w:gridCol w:w="12"/>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2" w:type="dxa"/>
          <w:trHeight w:val="90" w:hRule="atLeast"/>
        </w:trPr>
        <w:tc>
          <w:tcPr>
            <w:tcW w:w="14224" w:type="dxa"/>
            <w:gridSpan w:val="3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10324" w:type="dxa"/>
            <w:gridSpan w:val="23"/>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6460"/>
              </w:tabs>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1908" w:type="dxa"/>
            <w:gridSpan w:val="5"/>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199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740"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功能分类科目</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7989" w:type="dxa"/>
            <w:gridSpan w:val="1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本年收入</w:t>
            </w:r>
          </w:p>
        </w:tc>
        <w:tc>
          <w:tcPr>
            <w:tcW w:w="10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92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财政拨款收入</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财政专户收入</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事业收入</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经营收入</w:t>
            </w: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上级补助收入</w:t>
            </w: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附属单位上缴收入</w:t>
            </w: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其他收入</w:t>
            </w:r>
          </w:p>
        </w:tc>
        <w:tc>
          <w:tcPr>
            <w:tcW w:w="10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8</w:t>
            </w: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9</w:t>
            </w: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w:t>
            </w: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11</w:t>
            </w: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2" w:type="dxa"/>
          <w:trHeight w:val="90" w:hRule="atLeast"/>
        </w:trPr>
        <w:tc>
          <w:tcPr>
            <w:tcW w:w="56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05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2688"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7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25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88"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0"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84"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0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568" w:hRule="atLeast"/>
        </w:trPr>
        <w:tc>
          <w:tcPr>
            <w:tcW w:w="14320" w:type="dxa"/>
            <w:gridSpan w:val="3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49" w:hRule="atLeast"/>
        </w:trPr>
        <w:tc>
          <w:tcPr>
            <w:tcW w:w="6893" w:type="dxa"/>
            <w:gridSpan w:val="15"/>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p>
        </w:tc>
        <w:tc>
          <w:tcPr>
            <w:tcW w:w="4953" w:type="dxa"/>
            <w:gridSpan w:val="11"/>
            <w:tcBorders>
              <w:top w:val="nil"/>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2474"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49" w:hRule="atLeast"/>
        </w:trPr>
        <w:tc>
          <w:tcPr>
            <w:tcW w:w="92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5969"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7427" w:type="dxa"/>
            <w:gridSpan w:val="1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49" w:hRule="atLeast"/>
        </w:trPr>
        <w:tc>
          <w:tcPr>
            <w:tcW w:w="92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284"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五、单位资金</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59"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6" w:type="dxa"/>
          <w:trHeight w:val="468" w:hRule="atLeast"/>
        </w:trPr>
        <w:tc>
          <w:tcPr>
            <w:tcW w:w="924" w:type="dxa"/>
            <w:gridSpan w:val="3"/>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4643" w:type="dxa"/>
            <w:gridSpan w:val="9"/>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4953" w:type="dxa"/>
            <w:gridSpan w:val="11"/>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474"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99" w:hRule="atLeast"/>
        </w:trPr>
        <w:tc>
          <w:tcPr>
            <w:tcW w:w="14308" w:type="dxa"/>
            <w:gridSpan w:val="3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395" w:hRule="atLeast"/>
        </w:trPr>
        <w:tc>
          <w:tcPr>
            <w:tcW w:w="10032" w:type="dxa"/>
            <w:gridSpan w:val="22"/>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5932"/>
              </w:tabs>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 xml:space="preserve">   </w:t>
            </w:r>
            <w:r>
              <w:rPr>
                <w:rFonts w:ascii="宋体" w:hAnsi="宋体" w:eastAsia="宋体" w:cs="宋体"/>
                <w:i w:val="0"/>
                <w:iCs w:val="0"/>
                <w:color w:val="000000"/>
                <w:kern w:val="0"/>
                <w:sz w:val="22"/>
                <w:szCs w:val="22"/>
                <w:u w:val="none"/>
                <w:lang w:val="en-US" w:eastAsia="zh-CN" w:bidi="ar"/>
              </w:rPr>
              <w:t>预算年度：2024</w:t>
            </w:r>
          </w:p>
        </w:tc>
        <w:tc>
          <w:tcPr>
            <w:tcW w:w="2339"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1937"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395" w:hRule="atLeast"/>
        </w:trPr>
        <w:tc>
          <w:tcPr>
            <w:tcW w:w="60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55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收入</w:t>
            </w:r>
          </w:p>
        </w:tc>
        <w:tc>
          <w:tcPr>
            <w:tcW w:w="10148" w:type="dxa"/>
            <w:gridSpan w:val="2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58" w:hRule="atLeast"/>
        </w:trPr>
        <w:tc>
          <w:tcPr>
            <w:tcW w:w="60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w:t>
            </w: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政府性基金预算财政拨款</w:t>
            </w: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5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35"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35"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三十一、人行科目</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35"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413"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68"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8" w:type="dxa"/>
          <w:trHeight w:val="545" w:hRule="atLeast"/>
        </w:trPr>
        <w:tc>
          <w:tcPr>
            <w:tcW w:w="602" w:type="dxa"/>
            <w:gridSpan w:val="2"/>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2532"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1026"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937" w:type="dxa"/>
            <w:gridSpan w:val="8"/>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1209"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1726"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339"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937"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356" w:type="dxa"/>
            <w:gridSpan w:val="3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609" w:type="dxa"/>
            <w:gridSpan w:val="24"/>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5812"/>
              </w:tabs>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162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2125"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23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2126"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5874"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2125" w:type="dxa"/>
            <w:gridSpan w:val="7"/>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2126" w:type="dxa"/>
            <w:gridSpan w:val="5"/>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2125" w:type="dxa"/>
            <w:gridSpan w:val="7"/>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3625.10</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1547.65</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1496.36</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33.57</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2080502</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事业单位离退休</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985"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城乡社区支出</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3587.45</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2077.45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城乡社区管理事务</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2120104</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城管执法</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1566.69</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1510.00</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1458.71</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2120501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城乡社区环境卫生</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94" w:type="dxa"/>
            <w:gridSpan w:val="4"/>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225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197" w:type="dxa"/>
            <w:gridSpan w:val="6"/>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126" w:type="dxa"/>
            <w:gridSpan w:val="5"/>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1622" w:type="dxa"/>
            <w:gridSpan w:val="3"/>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125" w:type="dxa"/>
            <w:gridSpan w:val="7"/>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p>
      <w:pPr>
        <w:spacing w:before="0" w:after="0"/>
        <w:ind w:firstLine="0"/>
        <w:jc w:val="center"/>
        <w:outlineLvl w:val="9"/>
        <w:rPr>
          <w:rFonts w:ascii="方正小标宋_GBK" w:hAnsi="方正小标宋_GBK" w:eastAsia="方正小标宋_GBK" w:cs="方正小标宋_GBK"/>
          <w:color w:val="000000"/>
          <w:sz w:val="52"/>
        </w:rPr>
      </w:pPr>
    </w:p>
    <w:tbl>
      <w:tblPr>
        <w:tblStyle w:val="7"/>
        <w:tblW w:w="143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9"/>
        <w:gridCol w:w="1124"/>
        <w:gridCol w:w="27"/>
        <w:gridCol w:w="1151"/>
        <w:gridCol w:w="690"/>
        <w:gridCol w:w="1536"/>
        <w:gridCol w:w="3235"/>
        <w:gridCol w:w="198"/>
        <w:gridCol w:w="2814"/>
        <w:gridCol w:w="2868"/>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70" w:hRule="atLeast"/>
        </w:trPr>
        <w:tc>
          <w:tcPr>
            <w:tcW w:w="14332"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8452" w:type="dxa"/>
            <w:gridSpan w:val="8"/>
            <w:tcBorders>
              <w:top w:val="nil"/>
              <w:left w:val="nil"/>
              <w:bottom w:val="single" w:color="auto" w:sz="4" w:space="0"/>
              <w:right w:val="nil"/>
            </w:tcBorders>
            <w:shd w:val="clear" w:color="auto" w:fill="auto"/>
            <w:noWrap/>
            <w:vAlign w:val="center"/>
          </w:tcPr>
          <w:p>
            <w:pPr>
              <w:keepNext w:val="0"/>
              <w:keepLines w:val="0"/>
              <w:widowControl/>
              <w:suppressLineNumbers w:val="0"/>
              <w:tabs>
                <w:tab w:val="left" w:pos="6232"/>
              </w:tabs>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r>
              <w:rPr>
                <w:rFonts w:hint="eastAsia" w:ascii="宋体" w:hAnsi="宋体" w:eastAsia="宋体" w:cs="宋体"/>
                <w:i w:val="0"/>
                <w:iCs w:val="0"/>
                <w:color w:val="000000"/>
                <w:kern w:val="0"/>
                <w:sz w:val="22"/>
                <w:szCs w:val="22"/>
                <w:u w:val="none"/>
                <w:lang w:val="en-US" w:eastAsia="zh-CN" w:bidi="ar"/>
              </w:rPr>
              <w:tab/>
            </w:r>
            <w:r>
              <w:rPr>
                <w:rFonts w:ascii="宋体" w:hAnsi="宋体" w:eastAsia="宋体" w:cs="宋体"/>
                <w:i w:val="0"/>
                <w:iCs w:val="0"/>
                <w:color w:val="000000"/>
                <w:kern w:val="0"/>
                <w:sz w:val="22"/>
                <w:szCs w:val="22"/>
                <w:u w:val="none"/>
                <w:lang w:val="en-US" w:eastAsia="zh-CN" w:bidi="ar"/>
              </w:rPr>
              <w:t>预算年度：2024</w:t>
            </w:r>
          </w:p>
        </w:tc>
        <w:tc>
          <w:tcPr>
            <w:tcW w:w="3012"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p>
        </w:tc>
        <w:tc>
          <w:tcPr>
            <w:tcW w:w="286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453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支出部门经济分类科目</w:t>
            </w:r>
          </w:p>
        </w:tc>
        <w:tc>
          <w:tcPr>
            <w:tcW w:w="911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1547.65</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1496.36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1475.04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1475.04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1279.38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1279.38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104.36</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104.36</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69.83</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69.83</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8.17</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职工基本医疗保险缴费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0.54</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4.08</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9.31</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30205</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0.86</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30206</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680" w:type="dxa"/>
            <w:tcBorders>
              <w:top w:val="single" w:color="auto" w:sz="4" w:space="0"/>
              <w:left w:val="single" w:color="auto" w:sz="4" w:space="0"/>
              <w:bottom w:val="single" w:color="auto" w:sz="4" w:space="0"/>
              <w:right w:val="single" w:color="auto" w:sz="4" w:space="0"/>
            </w:tcBorders>
            <w:shd w:val="clear" w:color="auto" w:fill="E9EFF6"/>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133"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3404" w:type="dxa"/>
            <w:gridSpan w:val="4"/>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3235" w:type="dxa"/>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3012" w:type="dxa"/>
            <w:gridSpan w:val="2"/>
            <w:tcBorders>
              <w:top w:val="single" w:color="auto" w:sz="4" w:space="0"/>
              <w:left w:val="single" w:color="auto" w:sz="4" w:space="0"/>
              <w:bottom w:val="single" w:color="auto" w:sz="4" w:space="0"/>
              <w:right w:val="single" w:color="auto"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21.32</w:t>
            </w:r>
          </w:p>
        </w:tc>
        <w:tc>
          <w:tcPr>
            <w:tcW w:w="2868"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347"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hint="default" w:ascii="normal" w:hAnsi="normal" w:eastAsia="normal" w:cs="normal"/>
                <w:i w:val="0"/>
                <w:iCs w:val="0"/>
                <w:color w:val="000000"/>
                <w:kern w:val="0"/>
                <w:sz w:val="27"/>
                <w:szCs w:val="27"/>
                <w:u w:val="none"/>
                <w:lang w:val="en-US" w:eastAsia="zh-CN" w:bidi="ar"/>
              </w:rPr>
            </w:pPr>
          </w:p>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681" w:type="dxa"/>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p>
        </w:tc>
        <w:tc>
          <w:tcPr>
            <w:tcW w:w="4969"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5697"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9"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230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4969"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569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89"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6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69"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697"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4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56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8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1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115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496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56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tbl>
      <w:tblPr>
        <w:tblStyle w:val="7"/>
        <w:tblW w:w="142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1638"/>
        <w:gridCol w:w="1638"/>
        <w:gridCol w:w="980"/>
        <w:gridCol w:w="2624"/>
        <w:gridCol w:w="64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29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4308"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43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0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4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4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tbl>
      <w:tblPr>
        <w:tblStyle w:val="7"/>
        <w:tblW w:w="1430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3003"/>
        <w:gridCol w:w="1914"/>
        <w:gridCol w:w="258"/>
        <w:gridCol w:w="2639"/>
        <w:gridCol w:w="157"/>
        <w:gridCol w:w="2556"/>
        <w:gridCol w:w="2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08"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normal" w:hAnsi="normal" w:eastAsia="normal" w:cs="normal"/>
                <w:i w:val="0"/>
                <w:iCs w:val="0"/>
                <w:color w:val="000000"/>
                <w:sz w:val="27"/>
                <w:szCs w:val="27"/>
                <w:u w:val="none"/>
              </w:rPr>
            </w:pPr>
            <w:r>
              <w:rPr>
                <w:rFonts w:hint="default" w:ascii="normal" w:hAnsi="normal" w:eastAsia="normal" w:cs="normal"/>
                <w:i w:val="0"/>
                <w:iCs w:val="0"/>
                <w:color w:val="000000"/>
                <w:kern w:val="0"/>
                <w:sz w:val="27"/>
                <w:szCs w:val="27"/>
                <w:u w:val="none"/>
                <w:lang w:val="en-US" w:eastAsia="zh-CN" w:bidi="ar"/>
              </w:rPr>
              <w:t>部门预算财政拨款“三公”经费支出表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782"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334涞源县城市管理综合行政执法局</w:t>
            </w:r>
          </w:p>
        </w:tc>
        <w:tc>
          <w:tcPr>
            <w:tcW w:w="2897" w:type="dxa"/>
            <w:gridSpan w:val="2"/>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预算年度：2024</w:t>
            </w:r>
          </w:p>
        </w:tc>
        <w:tc>
          <w:tcPr>
            <w:tcW w:w="5629" w:type="dxa"/>
            <w:gridSpan w:val="3"/>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30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w:t>
            </w:r>
          </w:p>
        </w:tc>
        <w:tc>
          <w:tcPr>
            <w:tcW w:w="104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0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一般公共预算财政拨款</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政府性基金财政拨款</w:t>
            </w: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hint="default" w:ascii="宋体" w:hAnsi="宋体" w:eastAsia="宋体" w:cs="宋体"/>
                <w:i w:val="0"/>
                <w:iCs w:val="0"/>
                <w:color w:val="000000"/>
                <w:kern w:val="0"/>
                <w:sz w:val="22"/>
                <w:szCs w:val="22"/>
                <w:u w:val="none"/>
                <w:lang w:val="en-US" w:eastAsia="zh-CN" w:bidi="ar"/>
              </w:rPr>
            </w:pPr>
            <w:r>
              <w:t>“三公”经费小计</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r>
              <w:t>13.40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r>
              <w:t>13.40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一、因公出国（境）费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其中：教学科研人员因公出国（境）费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其他因公出国（境）费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二、公务用车购置及运维费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r>
              <w:t>11.50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default" w:ascii="宋体" w:hAnsi="宋体" w:eastAsia="宋体" w:cs="宋体"/>
                <w:i w:val="0"/>
                <w:iCs w:val="0"/>
                <w:color w:val="000000"/>
                <w:kern w:val="0"/>
                <w:sz w:val="22"/>
                <w:szCs w:val="22"/>
                <w:u w:val="none"/>
                <w:lang w:val="en-US" w:eastAsia="zh-CN" w:bidi="ar"/>
              </w:rPr>
            </w:pPr>
            <w:r>
              <w:t>11.50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其中：公务用车购置费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公务用车运行维护费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r>
              <w:t>11.50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r>
              <w:t>11.50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三、公务接待费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r>
              <w:t>1.90</w:t>
            </w: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r>
              <w:t>1.90</w:t>
            </w: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四、会议费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其中：省属高校业务性会议费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 xml:space="preserve">          其他会议费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300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5"/>
              <w:ind w:firstLine="0" w:firstLineChars="0"/>
              <w:rPr>
                <w:rFonts w:ascii="宋体" w:hAnsi="宋体" w:eastAsia="宋体" w:cs="宋体"/>
                <w:i w:val="0"/>
                <w:iCs w:val="0"/>
                <w:color w:val="000000"/>
                <w:kern w:val="0"/>
                <w:sz w:val="22"/>
                <w:szCs w:val="22"/>
                <w:u w:val="none"/>
                <w:lang w:val="en-US" w:eastAsia="zh-CN" w:bidi="ar"/>
              </w:rPr>
            </w:pPr>
            <w:r>
              <w:t>五、培训费</w:t>
            </w:r>
          </w:p>
        </w:tc>
        <w:tc>
          <w:tcPr>
            <w:tcW w:w="21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7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ind w:firstLine="0" w:firstLineChars="0"/>
              <w:jc w:val="center"/>
              <w:rPr>
                <w:rFonts w:hint="eastAsia" w:ascii="宋体" w:hAnsi="宋体" w:eastAsia="宋体" w:cs="宋体"/>
                <w:i w:val="0"/>
                <w:iCs w:val="0"/>
                <w:color w:val="000000"/>
                <w:kern w:val="0"/>
                <w:sz w:val="22"/>
                <w:szCs w:val="22"/>
                <w:u w:val="none"/>
                <w:lang w:val="en-US" w:eastAsia="zh-CN" w:bidi="ar"/>
              </w:rPr>
            </w:pPr>
          </w:p>
        </w:tc>
        <w:tc>
          <w:tcPr>
            <w:tcW w:w="25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c>
          <w:tcPr>
            <w:tcW w:w="2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涞源县城市管理综合行政执法局202</w:t>
      </w:r>
      <w:r>
        <w:rPr>
          <w:rFonts w:hint="eastAsia" w:ascii="方正小标宋_GBK" w:hAnsi="方正小标宋_GBK" w:eastAsia="方正小标宋_GBK" w:cs="方正小标宋_GBK"/>
          <w:b w:val="0"/>
          <w:color w:val="000000"/>
          <w:sz w:val="44"/>
          <w:lang w:val="en-US" w:eastAsia="zh-CN"/>
        </w:rPr>
        <w:t>4</w:t>
      </w:r>
      <w:r>
        <w:rPr>
          <w:rFonts w:ascii="方正小标宋_GBK" w:hAnsi="方正小标宋_GBK" w:eastAsia="方正小标宋_GBK" w:cs="方正小标宋_GBK"/>
          <w:b w:val="0"/>
          <w:color w:val="000000"/>
          <w:sz w:val="44"/>
        </w:rPr>
        <w:t>年</w:t>
      </w:r>
      <w:r>
        <w:rPr>
          <w:rFonts w:hint="eastAsia" w:ascii="方正小标宋_GBK" w:hAnsi="方正小标宋_GBK" w:eastAsia="方正小标宋_GBK" w:cs="方正小标宋_GBK"/>
          <w:b w:val="0"/>
          <w:color w:val="000000"/>
          <w:sz w:val="44"/>
          <w:lang w:eastAsia="zh-CN"/>
        </w:rPr>
        <w:t>部门</w:t>
      </w:r>
      <w:r>
        <w:rPr>
          <w:rFonts w:ascii="方正小标宋_GBK" w:hAnsi="方正小标宋_GBK" w:eastAsia="方正小标宋_GBK" w:cs="方正小标宋_GBK"/>
          <w:b w:val="0"/>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rPr>
          <w:sz w:val="28"/>
          <w:szCs w:val="28"/>
        </w:rPr>
      </w:pPr>
      <w:r>
        <w:rPr>
          <w:rFonts w:hint="eastAsia" w:ascii="仿宋" w:hAnsi="仿宋" w:eastAsia="仿宋" w:cs="仿宋"/>
          <w:b w:val="0"/>
          <w:color w:val="000000"/>
          <w:sz w:val="28"/>
          <w:szCs w:val="28"/>
        </w:rPr>
        <w:t>按照《</w:t>
      </w:r>
      <w:r>
        <w:rPr>
          <w:rFonts w:hint="eastAsia" w:ascii="仿宋" w:hAnsi="仿宋" w:eastAsia="仿宋" w:cs="仿宋"/>
          <w:b w:val="0"/>
          <w:color w:val="000000"/>
          <w:sz w:val="28"/>
          <w:szCs w:val="28"/>
          <w:lang w:val="en-US" w:eastAsia="zh-CN"/>
        </w:rPr>
        <w:t>中华人民共和国</w:t>
      </w:r>
      <w:r>
        <w:rPr>
          <w:rFonts w:hint="eastAsia" w:ascii="仿宋" w:hAnsi="仿宋" w:eastAsia="仿宋" w:cs="仿宋"/>
          <w:b w:val="0"/>
          <w:color w:val="000000"/>
          <w:sz w:val="28"/>
          <w:szCs w:val="28"/>
        </w:rPr>
        <w:t>预算法》、《地方预决算公开操作规程》和《关于进一步推进预算公开工作的实施意见》规定，现</w:t>
      </w:r>
      <w:r>
        <w:rPr>
          <w:rFonts w:hint="eastAsia" w:ascii="仿宋" w:hAnsi="仿宋" w:eastAsia="仿宋" w:cs="仿宋"/>
          <w:b w:val="0"/>
          <w:color w:val="000000"/>
          <w:sz w:val="28"/>
          <w:szCs w:val="28"/>
          <w:lang w:val="en-US" w:eastAsia="zh-CN"/>
        </w:rPr>
        <w:t>将</w:t>
      </w:r>
      <w:r>
        <w:rPr>
          <w:rFonts w:hint="eastAsia" w:ascii="仿宋" w:hAnsi="仿宋" w:eastAsia="仿宋" w:cs="仿宋"/>
          <w:b w:val="0"/>
          <w:color w:val="000000"/>
          <w:sz w:val="28"/>
          <w:szCs w:val="28"/>
        </w:rPr>
        <w:t>涞源县城市管理综合行政执法局202</w:t>
      </w:r>
      <w:r>
        <w:rPr>
          <w:rFonts w:hint="eastAsia" w:ascii="仿宋" w:hAnsi="仿宋" w:eastAsia="仿宋" w:cs="仿宋"/>
          <w:b w:val="0"/>
          <w:color w:val="000000"/>
          <w:sz w:val="28"/>
          <w:szCs w:val="28"/>
          <w:lang w:val="en-US" w:eastAsia="zh-CN"/>
        </w:rPr>
        <w:t>4</w:t>
      </w:r>
      <w:r>
        <w:rPr>
          <w:rFonts w:hint="eastAsia" w:ascii="仿宋" w:hAnsi="仿宋" w:eastAsia="仿宋" w:cs="仿宋"/>
          <w:b w:val="0"/>
          <w:color w:val="000000"/>
          <w:sz w:val="28"/>
          <w:szCs w:val="28"/>
        </w:rPr>
        <w:t>年</w:t>
      </w:r>
      <w:r>
        <w:rPr>
          <w:rFonts w:hint="eastAsia" w:ascii="仿宋" w:hAnsi="仿宋" w:eastAsia="仿宋" w:cs="仿宋"/>
          <w:b w:val="0"/>
          <w:color w:val="000000"/>
          <w:sz w:val="28"/>
          <w:szCs w:val="28"/>
          <w:lang w:eastAsia="zh-CN"/>
        </w:rPr>
        <w:t>部门</w:t>
      </w:r>
      <w:r>
        <w:rPr>
          <w:rFonts w:hint="eastAsia" w:ascii="仿宋" w:hAnsi="仿宋" w:eastAsia="仿宋" w:cs="仿宋"/>
          <w:b w:val="0"/>
          <w:color w:val="000000"/>
          <w:sz w:val="28"/>
          <w:szCs w:val="28"/>
        </w:rPr>
        <w:t>预算公开如下：</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ascii="黑体" w:hAnsi="黑体" w:eastAsia="黑体" w:cs="黑体"/>
          <w:color w:val="000000"/>
          <w:sz w:val="28"/>
          <w:szCs w:val="28"/>
        </w:rPr>
        <w:t>一、</w:t>
      </w:r>
      <w:r>
        <w:rPr>
          <w:rFonts w:hint="eastAsia" w:ascii="黑体" w:hAnsi="黑体" w:eastAsia="黑体" w:cs="黑体"/>
          <w:color w:val="000000"/>
          <w:sz w:val="28"/>
          <w:szCs w:val="28"/>
          <w:lang w:eastAsia="zh-CN"/>
        </w:rPr>
        <w:t>部门</w:t>
      </w:r>
      <w:r>
        <w:rPr>
          <w:rFonts w:ascii="黑体" w:hAnsi="黑体" w:eastAsia="黑体" w:cs="黑体"/>
          <w:color w:val="000000"/>
          <w:sz w:val="28"/>
          <w:szCs w:val="28"/>
        </w:rPr>
        <w:t>职责及机构设置情况</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sz w:val="28"/>
          <w:szCs w:val="28"/>
        </w:rPr>
      </w:pPr>
      <w:r>
        <w:rPr>
          <w:rFonts w:hint="eastAsia" w:ascii="楷体" w:hAnsi="楷体" w:eastAsia="楷体" w:cs="楷体"/>
          <w:b/>
          <w:color w:val="000000"/>
          <w:sz w:val="28"/>
          <w:szCs w:val="28"/>
          <w:lang w:eastAsia="zh-CN"/>
        </w:rPr>
        <w:t>部门</w:t>
      </w:r>
      <w:r>
        <w:rPr>
          <w:rFonts w:hint="eastAsia" w:ascii="楷体" w:hAnsi="楷体" w:eastAsia="楷体" w:cs="楷体"/>
          <w:b/>
          <w:color w:val="000000"/>
          <w:sz w:val="28"/>
          <w:szCs w:val="28"/>
        </w:rPr>
        <w:t>职责：</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（一）宣传贯彻国家和省、市有关城市管理的政策和法规；拟订和实施县城市管理有关规定。</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（二）拟定和实施城市管理长期规划和年度计划；负责全县城市管理工作的业务指导、组织协调、监督检查和考核评价。</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（三）强化环卫市场化运行工作的督导与管理，检查落实“门前</w:t>
      </w:r>
      <w:r>
        <w:rPr>
          <w:rFonts w:hint="eastAsia" w:ascii="仿宋" w:hAnsi="仿宋" w:eastAsia="仿宋" w:cs="仿宋"/>
          <w:b w:val="0"/>
          <w:color w:val="000000"/>
          <w:sz w:val="28"/>
          <w:szCs w:val="28"/>
          <w:lang w:val="en-US" w:eastAsia="zh-CN" w:bidi="ar-SA"/>
        </w:rPr>
        <w:t>五</w:t>
      </w:r>
      <w:r>
        <w:rPr>
          <w:rFonts w:hint="eastAsia" w:ascii="仿宋" w:hAnsi="仿宋" w:eastAsia="仿宋" w:cs="仿宋"/>
          <w:b w:val="0"/>
          <w:color w:val="000000"/>
          <w:sz w:val="28"/>
          <w:szCs w:val="28"/>
          <w:lang w:val="en-US" w:eastAsia="uk-UA" w:bidi="ar-SA"/>
        </w:rPr>
        <w:t>包”等市容环境卫生责任制。</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（四）负责城市道路、桥梁照明、供水、排水、燃气、供热、污水和垃圾处理等市政公用设施运行管理、城市容貌和环境卫生管理、城市园林绿化管理等方面的全部工作。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（五）负责城市公共空间秩序管理方面的户外广告设置，门头牌匾外立面装修、“街道家具”管理工作。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（六）负责城市交通管理方面的便道车辆停放管理工作。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（七）负责城市环境保护管理方面的道路扬尘、露天烧烤整治工作。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（八）负责城市应急管理等方面的道路清融雪以及城市道路、桥梁、照明、等应急保障，供水、燃气、污水处理应急工作的指导工作。</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（九）受理市民和</w:t>
      </w:r>
      <w:r>
        <w:rPr>
          <w:rFonts w:hint="eastAsia" w:ascii="仿宋" w:hAnsi="仿宋" w:eastAsia="仿宋" w:cs="仿宋"/>
          <w:b w:val="0"/>
          <w:color w:val="000000"/>
          <w:sz w:val="28"/>
          <w:szCs w:val="28"/>
          <w:lang w:val="en-US" w:eastAsia="zh-CN" w:bidi="ar-SA"/>
        </w:rPr>
        <w:t>部门</w:t>
      </w:r>
      <w:r>
        <w:rPr>
          <w:rFonts w:hint="eastAsia" w:ascii="仿宋" w:hAnsi="仿宋" w:eastAsia="仿宋" w:cs="仿宋"/>
          <w:b w:val="0"/>
          <w:color w:val="000000"/>
          <w:sz w:val="28"/>
          <w:szCs w:val="28"/>
          <w:lang w:val="en-US" w:eastAsia="uk-UA" w:bidi="ar-SA"/>
        </w:rPr>
        <w:t>有关城市管理方面的投诉和举报，查处违反有关城市管理法规的行为。</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（十）承办各级人民政府决定调整的城市管理领域的其他行政处罚权。</w:t>
      </w:r>
    </w:p>
    <w:p>
      <w:pPr>
        <w:spacing w:before="0" w:after="0" w:line="240" w:lineRule="auto"/>
        <w:ind w:firstLine="640"/>
        <w:jc w:val="both"/>
        <w:outlineLvl w:val="9"/>
        <w:rPr>
          <w:sz w:val="28"/>
          <w:szCs w:val="28"/>
        </w:rPr>
      </w:pPr>
      <w:r>
        <w:rPr>
          <w:rFonts w:hint="eastAsia" w:ascii="楷体" w:hAnsi="楷体" w:eastAsia="楷体" w:cs="楷体"/>
          <w:b/>
          <w:color w:val="000000"/>
          <w:sz w:val="28"/>
          <w:szCs w:val="28"/>
          <w:lang w:eastAsia="zh-CN"/>
        </w:rPr>
        <w:t>机构设置：</w:t>
      </w:r>
    </w:p>
    <w:p>
      <w:pPr>
        <w:spacing w:before="0" w:after="0" w:line="240" w:lineRule="auto"/>
        <w:ind w:firstLine="0"/>
        <w:jc w:val="center"/>
        <w:outlineLvl w:val="9"/>
        <w:rPr>
          <w:sz w:val="28"/>
          <w:szCs w:val="28"/>
        </w:rPr>
      </w:pPr>
      <w:r>
        <w:rPr>
          <w:rFonts w:hint="eastAsia" w:ascii="方正小标宋_GBK" w:hAnsi="方正小标宋_GBK" w:eastAsia="方正小标宋_GBK" w:cs="方正小标宋_GBK"/>
          <w:color w:val="000000"/>
          <w:sz w:val="28"/>
          <w:szCs w:val="28"/>
          <w:lang w:eastAsia="zh-CN"/>
        </w:rPr>
        <w:t>部门</w:t>
      </w:r>
      <w:r>
        <w:rPr>
          <w:rFonts w:ascii="方正小标宋_GBK" w:hAnsi="方正小标宋_GBK" w:eastAsia="方正小标宋_GBK" w:cs="方正小标宋_GBK"/>
          <w:color w:val="000000"/>
          <w:sz w:val="28"/>
          <w:szCs w:val="28"/>
        </w:rPr>
        <w:t>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3355"/>
        <w:gridCol w:w="3515"/>
        <w:gridCol w:w="3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675" w:type="dxa"/>
            <w:vAlign w:val="center"/>
          </w:tcPr>
          <w:p>
            <w:pPr>
              <w:pStyle w:val="13"/>
            </w:pPr>
            <w:r>
              <w:rPr>
                <w:rFonts w:hint="eastAsia"/>
                <w:lang w:eastAsia="zh-CN"/>
              </w:rPr>
              <w:t>部门</w:t>
            </w:r>
            <w:r>
              <w:t>名称</w:t>
            </w:r>
          </w:p>
        </w:tc>
        <w:tc>
          <w:tcPr>
            <w:tcW w:w="3355" w:type="dxa"/>
            <w:vAlign w:val="center"/>
          </w:tcPr>
          <w:p>
            <w:pPr>
              <w:pStyle w:val="13"/>
            </w:pPr>
            <w:r>
              <w:rPr>
                <w:rFonts w:hint="eastAsia"/>
                <w:lang w:eastAsia="zh-CN"/>
              </w:rPr>
              <w:t>部门</w:t>
            </w:r>
            <w:r>
              <w:t>性质</w:t>
            </w:r>
          </w:p>
        </w:tc>
        <w:tc>
          <w:tcPr>
            <w:tcW w:w="3515" w:type="dxa"/>
            <w:vAlign w:val="center"/>
          </w:tcPr>
          <w:p>
            <w:pPr>
              <w:pStyle w:val="13"/>
            </w:pPr>
            <w:r>
              <w:rPr>
                <w:rFonts w:hint="eastAsia"/>
                <w:lang w:eastAsia="zh-CN"/>
              </w:rPr>
              <w:t>部门</w:t>
            </w:r>
            <w:r>
              <w:t>规格</w:t>
            </w:r>
          </w:p>
        </w:tc>
        <w:tc>
          <w:tcPr>
            <w:tcW w:w="3515"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3675" w:type="dxa"/>
            <w:vAlign w:val="center"/>
          </w:tcPr>
          <w:p>
            <w:pPr>
              <w:pStyle w:val="15"/>
            </w:pPr>
            <w:r>
              <w:t>涞源县城市管理综合行政执法局本级</w:t>
            </w:r>
          </w:p>
        </w:tc>
        <w:tc>
          <w:tcPr>
            <w:tcW w:w="3355" w:type="dxa"/>
            <w:vAlign w:val="center"/>
          </w:tcPr>
          <w:p>
            <w:pPr>
              <w:pStyle w:val="16"/>
            </w:pPr>
            <w:r>
              <w:t>行政</w:t>
            </w:r>
          </w:p>
        </w:tc>
        <w:tc>
          <w:tcPr>
            <w:tcW w:w="3515" w:type="dxa"/>
            <w:vAlign w:val="center"/>
          </w:tcPr>
          <w:p>
            <w:pPr>
              <w:pStyle w:val="16"/>
            </w:pPr>
            <w:r>
              <w:t>正科级</w:t>
            </w:r>
          </w:p>
        </w:tc>
        <w:tc>
          <w:tcPr>
            <w:tcW w:w="3515" w:type="dxa"/>
            <w:vAlign w:val="center"/>
          </w:tcPr>
          <w:p>
            <w:pPr>
              <w:pStyle w:val="16"/>
            </w:pPr>
            <w:r>
              <w:t>财政拨款</w:t>
            </w:r>
          </w:p>
        </w:tc>
      </w:tr>
    </w:tbl>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keepNext w:val="0"/>
        <w:keepLines w:val="0"/>
        <w:pageBreakBefore w:val="0"/>
        <w:widowControl/>
        <w:kinsoku/>
        <w:wordWrap/>
        <w:overflowPunct/>
        <w:topLinePunct w:val="0"/>
        <w:autoSpaceDE/>
        <w:autoSpaceDN/>
        <w:bidi w:val="0"/>
        <w:adjustRightInd/>
        <w:snapToGrid/>
        <w:spacing w:before="0" w:after="0" w:line="580" w:lineRule="exact"/>
        <w:ind w:firstLine="0"/>
        <w:jc w:val="center"/>
        <w:outlineLvl w:val="9"/>
      </w:pPr>
      <w:r>
        <w:rPr>
          <w:rFonts w:ascii="方正小标宋_GBK" w:hAnsi="方正小标宋_GBK" w:eastAsia="方正小标宋_GBK" w:cs="方正小标宋_GBK"/>
          <w:color w:val="000000"/>
          <w:sz w:val="52"/>
        </w:rPr>
        <w:t xml:space="preserve"> </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ascii="黑体" w:hAnsi="黑体" w:eastAsia="黑体" w:cs="黑体"/>
          <w:color w:val="000000"/>
          <w:sz w:val="28"/>
          <w:szCs w:val="28"/>
        </w:rPr>
        <w:t>二、</w:t>
      </w:r>
      <w:r>
        <w:rPr>
          <w:rFonts w:hint="eastAsia" w:ascii="黑体" w:hAnsi="黑体" w:eastAsia="黑体" w:cs="黑体"/>
          <w:color w:val="000000"/>
          <w:sz w:val="28"/>
          <w:szCs w:val="28"/>
          <w:lang w:eastAsia="zh-CN"/>
        </w:rPr>
        <w:t>部门</w:t>
      </w:r>
      <w:r>
        <w:rPr>
          <w:rFonts w:ascii="黑体" w:hAnsi="黑体" w:eastAsia="黑体" w:cs="黑体"/>
          <w:color w:val="000000"/>
          <w:sz w:val="28"/>
          <w:szCs w:val="28"/>
        </w:rPr>
        <w:t>预算安排的总体情况</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按照预算管理有关规定，目前部门预算的编制实行综合预算管理，即全部收入和支出都反映在预算中。涞源县城市管理综合行政执法局机关及所属事业单位的收支包含在部门预算中。</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b/>
          <w:color w:val="000000"/>
          <w:sz w:val="28"/>
          <w:szCs w:val="28"/>
          <w:lang w:eastAsia="zh-CN"/>
        </w:rPr>
      </w:pPr>
      <w:bookmarkStart w:id="1" w:name="bookmark12"/>
      <w:bookmarkEnd w:id="1"/>
      <w:r>
        <w:rPr>
          <w:rFonts w:hint="eastAsia" w:ascii="楷体" w:hAnsi="楷体" w:eastAsia="楷体" w:cs="楷体"/>
          <w:b/>
          <w:color w:val="000000"/>
          <w:sz w:val="28"/>
          <w:szCs w:val="28"/>
          <w:lang w:eastAsia="zh-CN"/>
        </w:rPr>
        <w:t>1、收入说明</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反映本部门当年全部收入。2024年预算收入3625.10万元，其中：一般公共预算收入3625.10万元，基金预算收入0.00万元，国有资本经营预算收入0.00万元，财政专户核拨收入0.00万元，单位资金收入0.00万元，上年结转结余0.00万元。</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b/>
          <w:color w:val="000000"/>
          <w:sz w:val="28"/>
          <w:szCs w:val="28"/>
          <w:lang w:eastAsia="zh-CN"/>
        </w:rPr>
      </w:pPr>
      <w:r>
        <w:rPr>
          <w:rFonts w:hint="eastAsia" w:ascii="楷体" w:hAnsi="楷体" w:eastAsia="楷体" w:cs="楷体"/>
          <w:b/>
          <w:color w:val="000000"/>
          <w:sz w:val="28"/>
          <w:szCs w:val="28"/>
          <w:lang w:eastAsia="zh-CN"/>
        </w:rPr>
        <w:t>2、支出说明</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收支预算总表支出栏、基本支出表、项目支出表按经济分类和支出功能分类科目编制，反映涞源县城市管理综合行政执法局年度部门预算中支出预算的总体情况。2024年支出预算3625.10万元，其中基本支出1547.65万元，包括人员经费1496.36万元和日常公用经费51.29万元；项目支出2077.45万元，主要为执法局数字化城管平台运行资金、执法局城乡环卫市场化特许经营资金等支出</w:t>
      </w:r>
      <w:r>
        <w:rPr>
          <w:rFonts w:hint="eastAsia" w:ascii="仿宋" w:hAnsi="仿宋" w:eastAsia="仿宋" w:cs="仿宋"/>
          <w:b w:val="0"/>
          <w:color w:val="000000"/>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b/>
          <w:color w:val="000000"/>
          <w:sz w:val="28"/>
          <w:szCs w:val="28"/>
          <w:lang w:eastAsia="zh-CN"/>
        </w:rPr>
      </w:pPr>
      <w:r>
        <w:rPr>
          <w:rFonts w:hint="eastAsia" w:ascii="楷体" w:hAnsi="楷体" w:eastAsia="楷体" w:cs="楷体"/>
          <w:b/>
          <w:color w:val="000000"/>
          <w:sz w:val="28"/>
          <w:szCs w:val="28"/>
          <w:lang w:eastAsia="zh-CN"/>
        </w:rPr>
        <w:t>3、比上年增减情况</w:t>
      </w:r>
    </w:p>
    <w:p>
      <w:pPr>
        <w:pStyle w:val="22"/>
        <w:keepNext w:val="0"/>
        <w:keepLines w:val="0"/>
        <w:pageBreakBefore w:val="0"/>
        <w:widowControl/>
        <w:kinsoku/>
        <w:wordWrap/>
        <w:overflowPunct/>
        <w:topLinePunct w:val="0"/>
        <w:autoSpaceDE/>
        <w:autoSpaceDN/>
        <w:bidi w:val="0"/>
        <w:adjustRightInd/>
        <w:snapToGrid/>
        <w:spacing w:line="580" w:lineRule="exact"/>
        <w:textAlignment w:val="auto"/>
        <w:rPr>
          <w:rFonts w:hint="eastAsia" w:eastAsia="方正仿宋_GBK"/>
          <w:lang w:eastAsia="zh-CN"/>
        </w:rPr>
      </w:pPr>
      <w:r>
        <w:rPr>
          <w:rFonts w:hint="eastAsia" w:ascii="仿宋" w:hAnsi="仿宋" w:eastAsia="仿宋" w:cs="仿宋"/>
          <w:b w:val="0"/>
          <w:color w:val="000000"/>
          <w:sz w:val="28"/>
          <w:szCs w:val="28"/>
          <w:lang w:val="en-US" w:eastAsia="uk-UA" w:bidi="ar-SA"/>
        </w:rPr>
        <w:t>2024年预算收支安排3625.10万元，较2023年预算增加135.36万元，其中：基本支出增加488.55万元，主要为增加人员经费支出项目支出减少353.19万元，主要为减少拖欠2019年城区增加洒水频次支出、拖欠旅发大会期间县城及美丽乡村垃圾清理费支出和执法局办公楼修缮费支出</w:t>
      </w:r>
      <w:r>
        <w:rPr>
          <w:rFonts w:hint="eastAsia" w:ascii="仿宋" w:hAnsi="仿宋" w:eastAsia="仿宋" w:cs="仿宋"/>
          <w:b w:val="0"/>
          <w:color w:val="000000"/>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654"/>
        <w:jc w:val="both"/>
        <w:textAlignment w:val="auto"/>
        <w:rPr>
          <w:rFonts w:ascii="黑体" w:hAnsi="黑体" w:eastAsia="黑体" w:cs="黑体"/>
          <w:color w:val="auto"/>
          <w:sz w:val="28"/>
          <w:szCs w:val="28"/>
        </w:rPr>
      </w:pPr>
      <w:r>
        <w:rPr>
          <w:rFonts w:ascii="黑体" w:hAnsi="黑体" w:eastAsia="黑体" w:cs="黑体"/>
          <w:color w:val="auto"/>
          <w:spacing w:val="8"/>
          <w:sz w:val="28"/>
          <w:szCs w:val="28"/>
        </w:rPr>
        <w:t>三、机关运行经费安排情况</w:t>
      </w:r>
    </w:p>
    <w:p>
      <w:pPr>
        <w:pStyle w:val="20"/>
        <w:keepNext w:val="0"/>
        <w:keepLines w:val="0"/>
        <w:pageBreakBefore w:val="0"/>
        <w:widowControl/>
        <w:kinsoku/>
        <w:wordWrap/>
        <w:overflowPunct/>
        <w:topLinePunct w:val="0"/>
        <w:autoSpaceDE/>
        <w:autoSpaceDN/>
        <w:bidi w:val="0"/>
        <w:adjustRightInd/>
        <w:snapToGrid/>
        <w:spacing w:line="580" w:lineRule="exact"/>
        <w:ind w:left="0" w:leftChars="0" w:firstLine="560" w:firstLineChars="200"/>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2024 年，我部门机关运行经费共计安排</w:t>
      </w:r>
      <w:r>
        <w:rPr>
          <w:rFonts w:hint="eastAsia" w:ascii="仿宋" w:hAnsi="仿宋" w:eastAsia="仿宋" w:cs="仿宋"/>
          <w:b w:val="0"/>
          <w:color w:val="000000"/>
          <w:sz w:val="28"/>
          <w:szCs w:val="28"/>
          <w:lang w:val="en-US" w:eastAsia="zh-CN" w:bidi="ar-SA"/>
        </w:rPr>
        <w:t>51.29</w:t>
      </w:r>
      <w:r>
        <w:rPr>
          <w:rFonts w:hint="eastAsia" w:ascii="仿宋" w:hAnsi="仿宋" w:eastAsia="仿宋" w:cs="仿宋"/>
          <w:b w:val="0"/>
          <w:color w:val="000000"/>
          <w:sz w:val="28"/>
          <w:szCs w:val="28"/>
          <w:lang w:val="en-US" w:eastAsia="uk-UA" w:bidi="ar-SA"/>
        </w:rPr>
        <w:t>万元，主要用于日常维修、办公用房水电费、办公用房取暖费、办公用房物业管理费等日常运行支出。</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667"/>
        <w:jc w:val="both"/>
        <w:textAlignment w:val="auto"/>
        <w:rPr>
          <w:rFonts w:ascii="黑体" w:hAnsi="黑体" w:eastAsia="黑体" w:cs="黑体"/>
          <w:spacing w:val="8"/>
          <w:sz w:val="28"/>
          <w:szCs w:val="28"/>
        </w:rPr>
      </w:pPr>
      <w:bookmarkStart w:id="2" w:name="bookmark13"/>
      <w:bookmarkEnd w:id="2"/>
      <w:r>
        <w:rPr>
          <w:rFonts w:ascii="黑体" w:hAnsi="黑体" w:eastAsia="黑体" w:cs="黑体"/>
          <w:spacing w:val="8"/>
          <w:sz w:val="28"/>
          <w:szCs w:val="28"/>
        </w:rPr>
        <w:t>财政拨款“三公”经费预算情况及增减变化原因</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 xml:space="preserve">2024 年，我部门财政拨款“ 三公” 经费预算安排 </w:t>
      </w:r>
      <w:r>
        <w:rPr>
          <w:rFonts w:hint="eastAsia" w:ascii="仿宋" w:hAnsi="仿宋" w:eastAsia="仿宋" w:cs="仿宋"/>
          <w:b w:val="0"/>
          <w:color w:val="000000"/>
          <w:sz w:val="28"/>
          <w:szCs w:val="28"/>
          <w:lang w:val="en-US" w:eastAsia="zh-CN" w:bidi="ar-SA"/>
        </w:rPr>
        <w:t>13.40</w:t>
      </w:r>
      <w:r>
        <w:rPr>
          <w:rFonts w:hint="eastAsia" w:ascii="仿宋" w:hAnsi="仿宋" w:eastAsia="仿宋" w:cs="仿宋"/>
          <w:b w:val="0"/>
          <w:color w:val="000000"/>
          <w:sz w:val="28"/>
          <w:szCs w:val="28"/>
          <w:lang w:val="en-US" w:eastAsia="uk-UA" w:bidi="ar-SA"/>
        </w:rPr>
        <w:t xml:space="preserve">万元，其中因公出国（境）费 </w:t>
      </w:r>
      <w:r>
        <w:rPr>
          <w:rFonts w:hint="eastAsia" w:ascii="仿宋" w:hAnsi="仿宋" w:eastAsia="仿宋" w:cs="仿宋"/>
          <w:b w:val="0"/>
          <w:color w:val="000000"/>
          <w:sz w:val="28"/>
          <w:szCs w:val="28"/>
          <w:lang w:val="en-US" w:eastAsia="zh-CN" w:bidi="ar-SA"/>
        </w:rPr>
        <w:t>0.00</w:t>
      </w:r>
      <w:r>
        <w:rPr>
          <w:rFonts w:hint="eastAsia" w:ascii="仿宋" w:hAnsi="仿宋" w:eastAsia="仿宋" w:cs="仿宋"/>
          <w:b w:val="0"/>
          <w:color w:val="000000"/>
          <w:sz w:val="28"/>
          <w:szCs w:val="28"/>
          <w:lang w:val="en-US" w:eastAsia="uk-UA" w:bidi="ar-SA"/>
        </w:rPr>
        <w:t xml:space="preserve">万元；公务用车购置及运 维费 </w:t>
      </w:r>
      <w:r>
        <w:rPr>
          <w:rFonts w:hint="eastAsia" w:ascii="仿宋" w:hAnsi="仿宋" w:eastAsia="仿宋" w:cs="仿宋"/>
          <w:b w:val="0"/>
          <w:color w:val="000000"/>
          <w:sz w:val="28"/>
          <w:szCs w:val="28"/>
          <w:lang w:val="en-US" w:eastAsia="zh-CN" w:bidi="ar-SA"/>
        </w:rPr>
        <w:t>11.5</w:t>
      </w:r>
      <w:r>
        <w:rPr>
          <w:rFonts w:hint="eastAsia" w:ascii="仿宋" w:hAnsi="仿宋" w:eastAsia="仿宋" w:cs="仿宋"/>
          <w:b w:val="0"/>
          <w:color w:val="000000"/>
          <w:sz w:val="28"/>
          <w:szCs w:val="28"/>
          <w:lang w:val="en-US" w:eastAsia="uk-UA" w:bidi="ar-SA"/>
        </w:rPr>
        <w:t xml:space="preserve"> 万元（其中：公务用车购置费为 0.00 万元，公务用车运维费</w:t>
      </w:r>
      <w:r>
        <w:rPr>
          <w:rFonts w:hint="eastAsia" w:ascii="仿宋" w:hAnsi="仿宋" w:eastAsia="仿宋" w:cs="仿宋"/>
          <w:b w:val="0"/>
          <w:color w:val="000000"/>
          <w:sz w:val="28"/>
          <w:szCs w:val="28"/>
          <w:lang w:val="en-US" w:eastAsia="zh-CN" w:bidi="ar-SA"/>
        </w:rPr>
        <w:t>11.50</w:t>
      </w:r>
      <w:r>
        <w:rPr>
          <w:rFonts w:hint="eastAsia" w:ascii="仿宋" w:hAnsi="仿宋" w:eastAsia="仿宋" w:cs="仿宋"/>
          <w:b w:val="0"/>
          <w:color w:val="000000"/>
          <w:sz w:val="28"/>
          <w:szCs w:val="28"/>
          <w:lang w:val="en-US" w:eastAsia="uk-UA" w:bidi="ar-SA"/>
        </w:rPr>
        <w:t xml:space="preserve"> 万元)；公务接待费 </w:t>
      </w:r>
      <w:r>
        <w:rPr>
          <w:rFonts w:hint="eastAsia" w:ascii="仿宋" w:hAnsi="仿宋" w:eastAsia="仿宋" w:cs="仿宋"/>
          <w:b w:val="0"/>
          <w:color w:val="000000"/>
          <w:sz w:val="28"/>
          <w:szCs w:val="28"/>
          <w:lang w:val="en-US" w:eastAsia="zh-CN" w:bidi="ar-SA"/>
        </w:rPr>
        <w:t>1.9</w:t>
      </w:r>
      <w:r>
        <w:rPr>
          <w:rFonts w:hint="eastAsia" w:ascii="仿宋" w:hAnsi="仿宋" w:eastAsia="仿宋" w:cs="仿宋"/>
          <w:b w:val="0"/>
          <w:color w:val="000000"/>
          <w:sz w:val="28"/>
          <w:szCs w:val="28"/>
          <w:lang w:val="en-US" w:eastAsia="uk-UA" w:bidi="ar-SA"/>
        </w:rPr>
        <w:t xml:space="preserve"> 万元。与 2023 年相比</w:t>
      </w:r>
      <w:r>
        <w:rPr>
          <w:rFonts w:hint="eastAsia" w:ascii="仿宋" w:hAnsi="仿宋" w:eastAsia="仿宋" w:cs="仿宋"/>
          <w:b w:val="0"/>
          <w:color w:val="000000"/>
          <w:sz w:val="28"/>
          <w:szCs w:val="28"/>
          <w:lang w:val="en-US" w:eastAsia="zh-CN" w:bidi="ar-SA"/>
        </w:rPr>
        <w:t>增加9.5</w:t>
      </w:r>
      <w:r>
        <w:rPr>
          <w:rFonts w:hint="eastAsia" w:ascii="仿宋" w:hAnsi="仿宋" w:eastAsia="仿宋" w:cs="仿宋"/>
          <w:b w:val="0"/>
          <w:color w:val="000000"/>
          <w:sz w:val="28"/>
          <w:szCs w:val="28"/>
          <w:lang w:val="en-US" w:eastAsia="uk-UA" w:bidi="ar-SA"/>
        </w:rPr>
        <w:t>万元，增减变化的主要原因是</w:t>
      </w:r>
      <w:r>
        <w:rPr>
          <w:rFonts w:hint="eastAsia" w:ascii="仿宋" w:hAnsi="仿宋" w:eastAsia="仿宋" w:cs="仿宋"/>
          <w:b w:val="0"/>
          <w:color w:val="000000"/>
          <w:sz w:val="28"/>
          <w:szCs w:val="28"/>
          <w:lang w:val="en-US" w:eastAsia="zh-CN" w:bidi="ar-SA"/>
        </w:rPr>
        <w:t>2023年</w:t>
      </w:r>
      <w:r>
        <w:rPr>
          <w:rFonts w:hint="eastAsia" w:ascii="仿宋" w:hAnsi="仿宋" w:eastAsia="仿宋" w:cs="仿宋"/>
          <w:b w:val="0"/>
          <w:color w:val="000000"/>
          <w:sz w:val="28"/>
          <w:szCs w:val="28"/>
          <w:lang w:val="en-US" w:eastAsia="uk-UA" w:bidi="ar-SA"/>
        </w:rPr>
        <w:t>公务用车运</w:t>
      </w:r>
      <w:r>
        <w:rPr>
          <w:rFonts w:hint="eastAsia" w:ascii="仿宋" w:hAnsi="仿宋" w:eastAsia="仿宋" w:cs="仿宋"/>
          <w:b w:val="0"/>
          <w:color w:val="000000"/>
          <w:sz w:val="28"/>
          <w:szCs w:val="28"/>
          <w:lang w:val="en-US" w:eastAsia="zh-CN" w:bidi="ar-SA"/>
        </w:rPr>
        <w:t>行</w:t>
      </w:r>
      <w:r>
        <w:rPr>
          <w:rFonts w:hint="eastAsia" w:ascii="仿宋" w:hAnsi="仿宋" w:eastAsia="仿宋" w:cs="仿宋"/>
          <w:b w:val="0"/>
          <w:color w:val="000000"/>
          <w:sz w:val="28"/>
          <w:szCs w:val="28"/>
          <w:lang w:val="en-US" w:eastAsia="uk-UA" w:bidi="ar-SA"/>
        </w:rPr>
        <w:t>维</w:t>
      </w:r>
      <w:r>
        <w:rPr>
          <w:rFonts w:hint="eastAsia" w:ascii="仿宋" w:hAnsi="仿宋" w:eastAsia="仿宋" w:cs="仿宋"/>
          <w:b w:val="0"/>
          <w:color w:val="000000"/>
          <w:sz w:val="28"/>
          <w:szCs w:val="28"/>
          <w:lang w:val="en-US" w:eastAsia="zh-CN" w:bidi="ar-SA"/>
        </w:rPr>
        <w:t>护</w:t>
      </w:r>
      <w:r>
        <w:rPr>
          <w:rFonts w:hint="eastAsia" w:ascii="仿宋" w:hAnsi="仿宋" w:eastAsia="仿宋" w:cs="仿宋"/>
          <w:b w:val="0"/>
          <w:color w:val="000000"/>
          <w:sz w:val="28"/>
          <w:szCs w:val="28"/>
          <w:lang w:val="en-US" w:eastAsia="uk-UA" w:bidi="ar-SA"/>
        </w:rPr>
        <w:t>费</w:t>
      </w:r>
      <w:r>
        <w:rPr>
          <w:rFonts w:hint="eastAsia" w:ascii="仿宋" w:hAnsi="仿宋" w:eastAsia="仿宋" w:cs="仿宋"/>
          <w:b w:val="0"/>
          <w:color w:val="000000"/>
          <w:sz w:val="28"/>
          <w:szCs w:val="28"/>
          <w:lang w:val="en-US" w:eastAsia="zh-CN" w:bidi="ar-SA"/>
        </w:rPr>
        <w:t>在涞源县住房和城乡建设局收支,2024年</w:t>
      </w:r>
      <w:r>
        <w:rPr>
          <w:rFonts w:hint="eastAsia" w:ascii="仿宋" w:hAnsi="仿宋" w:eastAsia="仿宋" w:cs="仿宋"/>
          <w:b w:val="0"/>
          <w:color w:val="000000"/>
          <w:sz w:val="28"/>
          <w:szCs w:val="28"/>
          <w:lang w:val="en-US" w:eastAsia="uk-UA" w:bidi="ar-SA"/>
        </w:rPr>
        <w:t>“ 三公”</w:t>
      </w:r>
      <w:r>
        <w:rPr>
          <w:rFonts w:hint="eastAsia" w:ascii="仿宋" w:hAnsi="仿宋" w:eastAsia="仿宋" w:cs="仿宋"/>
          <w:b w:val="0"/>
          <w:color w:val="000000"/>
          <w:sz w:val="28"/>
          <w:szCs w:val="28"/>
          <w:lang w:val="en-US" w:eastAsia="zh-CN" w:bidi="ar-SA"/>
        </w:rPr>
        <w:t>经费在我部门收支</w:t>
      </w:r>
      <w:r>
        <w:rPr>
          <w:rFonts w:hint="eastAsia" w:ascii="仿宋" w:hAnsi="仿宋" w:eastAsia="仿宋" w:cs="仿宋"/>
          <w:b w:val="0"/>
          <w:color w:val="000000"/>
          <w:sz w:val="28"/>
          <w:szCs w:val="28"/>
          <w:lang w:val="en-US" w:eastAsia="uk-UA" w:bidi="ar-SA"/>
        </w:rPr>
        <w:t>。</w:t>
      </w:r>
    </w:p>
    <w:p>
      <w:pPr>
        <w:keepNext w:val="0"/>
        <w:keepLines w:val="0"/>
        <w:pageBreakBefore w:val="0"/>
        <w:widowControl/>
        <w:kinsoku/>
        <w:wordWrap/>
        <w:overflowPunct/>
        <w:topLinePunct w:val="0"/>
        <w:autoSpaceDE/>
        <w:autoSpaceDN/>
        <w:bidi w:val="0"/>
        <w:adjustRightInd/>
        <w:snapToGrid/>
        <w:spacing w:line="580" w:lineRule="exact"/>
        <w:ind w:left="645"/>
        <w:jc w:val="both"/>
        <w:textAlignment w:val="auto"/>
        <w:rPr>
          <w:rFonts w:ascii="黑体" w:hAnsi="黑体" w:eastAsia="黑体" w:cs="黑体"/>
          <w:sz w:val="28"/>
          <w:szCs w:val="28"/>
        </w:rPr>
      </w:pPr>
      <w:r>
        <w:rPr>
          <w:rFonts w:ascii="黑体" w:hAnsi="黑体" w:eastAsia="黑体" w:cs="黑体"/>
          <w:spacing w:val="7"/>
          <w:sz w:val="28"/>
          <w:szCs w:val="28"/>
        </w:rPr>
        <w:t>五、部门整体绩效目标</w:t>
      </w:r>
    </w:p>
    <w:p>
      <w:pPr>
        <w:keepNext w:val="0"/>
        <w:keepLines w:val="0"/>
        <w:pageBreakBefore w:val="0"/>
        <w:widowControl/>
        <w:kinsoku/>
        <w:wordWrap/>
        <w:overflowPunct/>
        <w:topLinePunct w:val="0"/>
        <w:autoSpaceDE/>
        <w:autoSpaceDN/>
        <w:bidi w:val="0"/>
        <w:adjustRightInd/>
        <w:snapToGrid/>
        <w:spacing w:before="0" w:after="0" w:line="580" w:lineRule="exact"/>
        <w:ind w:firstLine="640"/>
        <w:jc w:val="both"/>
        <w:textAlignment w:val="auto"/>
        <w:outlineLvl w:val="9"/>
        <w:rPr>
          <w:rFonts w:hint="eastAsia" w:ascii="楷体" w:hAnsi="楷体" w:eastAsia="楷体" w:cs="楷体"/>
          <w:b/>
          <w:color w:val="000000"/>
          <w:sz w:val="28"/>
          <w:szCs w:val="28"/>
          <w:lang w:eastAsia="zh-CN"/>
        </w:rPr>
      </w:pPr>
      <w:r>
        <w:rPr>
          <w:rFonts w:hint="eastAsia" w:ascii="楷体" w:hAnsi="楷体" w:eastAsia="楷体" w:cs="楷体"/>
          <w:b/>
          <w:color w:val="000000"/>
          <w:sz w:val="28"/>
          <w:szCs w:val="28"/>
          <w:lang w:eastAsia="zh-CN"/>
        </w:rPr>
        <w:t>（</w:t>
      </w:r>
      <w:r>
        <w:rPr>
          <w:rFonts w:hint="eastAsia" w:ascii="楷体" w:hAnsi="楷体" w:eastAsia="楷体" w:cs="楷体"/>
          <w:b/>
          <w:color w:val="000000"/>
          <w:sz w:val="28"/>
          <w:szCs w:val="28"/>
          <w:lang w:val="en-US" w:eastAsia="zh-CN"/>
        </w:rPr>
        <w:t>一</w:t>
      </w:r>
      <w:r>
        <w:rPr>
          <w:rFonts w:hint="eastAsia" w:ascii="楷体" w:hAnsi="楷体" w:eastAsia="楷体" w:cs="楷体"/>
          <w:b/>
          <w:color w:val="000000"/>
          <w:sz w:val="28"/>
          <w:szCs w:val="28"/>
          <w:lang w:eastAsia="zh-CN"/>
        </w:rPr>
        <w:t>）总体绩效目标</w:t>
      </w:r>
    </w:p>
    <w:p>
      <w:pPr>
        <w:pStyle w:val="20"/>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202</w:t>
      </w:r>
      <w:r>
        <w:rPr>
          <w:rFonts w:hint="eastAsia" w:ascii="仿宋" w:hAnsi="仿宋" w:eastAsia="仿宋" w:cs="仿宋"/>
          <w:b w:val="0"/>
          <w:color w:val="000000"/>
          <w:sz w:val="28"/>
          <w:szCs w:val="28"/>
          <w:lang w:val="en-US" w:eastAsia="zh-CN" w:bidi="ar-SA"/>
        </w:rPr>
        <w:t>4</w:t>
      </w:r>
      <w:r>
        <w:rPr>
          <w:rFonts w:hint="eastAsia" w:ascii="仿宋" w:hAnsi="仿宋" w:eastAsia="仿宋" w:cs="仿宋"/>
          <w:b w:val="0"/>
          <w:color w:val="000000"/>
          <w:sz w:val="28"/>
          <w:szCs w:val="28"/>
          <w:lang w:val="en-US" w:eastAsia="uk-UA" w:bidi="ar-SA"/>
        </w:rPr>
        <w:t>年我局以提升城市品质为总目标，以落实民生需求为导向，以便民利民为宗旨，围绕重点民生问题，秉承整洁、有序、规范的城市管理理念，持之以恒破难题、补短板、强弱项，环境卫生工作要达到高质量，持续推进城区容貌秩序提档升级</w:t>
      </w:r>
      <w:r>
        <w:rPr>
          <w:rFonts w:hint="eastAsia" w:ascii="仿宋" w:hAnsi="仿宋" w:eastAsia="仿宋" w:cs="仿宋"/>
          <w:b w:val="0"/>
          <w:color w:val="000000"/>
          <w:sz w:val="28"/>
          <w:szCs w:val="28"/>
          <w:lang w:val="en-US" w:eastAsia="zh-CN" w:bidi="ar-SA"/>
        </w:rPr>
        <w:t>；</w:t>
      </w:r>
      <w:r>
        <w:rPr>
          <w:rFonts w:hint="eastAsia" w:ascii="仿宋" w:hAnsi="仿宋" w:eastAsia="仿宋" w:cs="仿宋"/>
          <w:b w:val="0"/>
          <w:color w:val="000000"/>
          <w:sz w:val="28"/>
          <w:szCs w:val="28"/>
          <w:lang w:val="en-US" w:eastAsia="uk-UA" w:bidi="ar-SA"/>
        </w:rPr>
        <w:t>坚持违法建设强压态式零容忍</w:t>
      </w:r>
      <w:r>
        <w:rPr>
          <w:rFonts w:hint="eastAsia" w:ascii="仿宋" w:hAnsi="仿宋" w:eastAsia="仿宋" w:cs="仿宋"/>
          <w:b w:val="0"/>
          <w:color w:val="000000"/>
          <w:sz w:val="28"/>
          <w:szCs w:val="28"/>
          <w:lang w:val="en-US" w:eastAsia="zh-CN" w:bidi="ar-SA"/>
        </w:rPr>
        <w:t>；</w:t>
      </w:r>
      <w:r>
        <w:rPr>
          <w:rFonts w:hint="eastAsia" w:ascii="仿宋" w:hAnsi="仿宋" w:eastAsia="仿宋" w:cs="仿宋"/>
          <w:b w:val="0"/>
          <w:color w:val="000000"/>
          <w:sz w:val="28"/>
          <w:szCs w:val="28"/>
          <w:lang w:val="en-US" w:eastAsia="uk-UA" w:bidi="ar-SA"/>
        </w:rPr>
        <w:t>深化大气污染防治工作“蓝天保卫战”</w:t>
      </w:r>
      <w:r>
        <w:rPr>
          <w:rFonts w:hint="eastAsia" w:ascii="仿宋" w:hAnsi="仿宋" w:eastAsia="仿宋" w:cs="仿宋"/>
          <w:b w:val="0"/>
          <w:color w:val="000000"/>
          <w:sz w:val="28"/>
          <w:szCs w:val="28"/>
          <w:lang w:val="en-US" w:eastAsia="zh-CN" w:bidi="ar-SA"/>
        </w:rPr>
        <w:t>；</w:t>
      </w:r>
      <w:r>
        <w:rPr>
          <w:rFonts w:hint="eastAsia" w:ascii="仿宋" w:hAnsi="仿宋" w:eastAsia="仿宋" w:cs="仿宋"/>
          <w:b w:val="0"/>
          <w:color w:val="000000"/>
          <w:sz w:val="28"/>
          <w:szCs w:val="28"/>
          <w:lang w:val="en-US" w:eastAsia="uk-UA" w:bidi="ar-SA"/>
        </w:rPr>
        <w:t>进一步加强数字化城管平台</w:t>
      </w:r>
      <w:r>
        <w:rPr>
          <w:rFonts w:hint="eastAsia" w:ascii="仿宋" w:hAnsi="仿宋" w:eastAsia="仿宋" w:cs="仿宋"/>
          <w:b w:val="0"/>
          <w:color w:val="000000"/>
          <w:sz w:val="28"/>
          <w:szCs w:val="28"/>
          <w:lang w:val="en-US" w:eastAsia="zh-CN" w:bidi="ar-SA"/>
        </w:rPr>
        <w:t>高效</w:t>
      </w:r>
      <w:r>
        <w:rPr>
          <w:rFonts w:hint="eastAsia" w:ascii="仿宋" w:hAnsi="仿宋" w:eastAsia="仿宋" w:cs="仿宋"/>
          <w:b w:val="0"/>
          <w:color w:val="000000"/>
          <w:sz w:val="28"/>
          <w:szCs w:val="28"/>
          <w:lang w:val="en-US" w:eastAsia="uk-UA" w:bidi="ar-SA"/>
        </w:rPr>
        <w:t>运行，提升城市综合管理效能</w:t>
      </w:r>
      <w:r>
        <w:rPr>
          <w:rFonts w:hint="eastAsia" w:ascii="仿宋" w:hAnsi="仿宋" w:eastAsia="仿宋" w:cs="仿宋"/>
          <w:b w:val="0"/>
          <w:color w:val="000000"/>
          <w:sz w:val="28"/>
          <w:szCs w:val="28"/>
          <w:lang w:val="en-US" w:eastAsia="zh-CN" w:bidi="ar-SA"/>
        </w:rPr>
        <w:t>；争取营造文明规范的便道停车“新环境”，打造整齐有序的城市停车“新形象”。为</w:t>
      </w:r>
      <w:r>
        <w:rPr>
          <w:rFonts w:hint="eastAsia" w:ascii="仿宋" w:hAnsi="仿宋" w:eastAsia="仿宋" w:cs="仿宋"/>
          <w:b w:val="0"/>
          <w:color w:val="000000"/>
          <w:sz w:val="28"/>
          <w:szCs w:val="28"/>
          <w:lang w:val="en-US" w:eastAsia="uk-UA" w:bidi="ar-SA"/>
        </w:rPr>
        <w:t>全力打造美丽城市</w:t>
      </w:r>
      <w:r>
        <w:rPr>
          <w:rFonts w:hint="eastAsia" w:ascii="仿宋" w:hAnsi="仿宋" w:eastAsia="仿宋" w:cs="仿宋"/>
          <w:b w:val="0"/>
          <w:color w:val="000000"/>
          <w:sz w:val="28"/>
          <w:szCs w:val="28"/>
          <w:lang w:val="en-US" w:eastAsia="zh-CN" w:bidi="ar-SA"/>
        </w:rPr>
        <w:t>、</w:t>
      </w:r>
      <w:r>
        <w:rPr>
          <w:rFonts w:hint="eastAsia" w:ascii="仿宋" w:hAnsi="仿宋" w:eastAsia="仿宋" w:cs="仿宋"/>
          <w:b w:val="0"/>
          <w:color w:val="000000"/>
          <w:sz w:val="28"/>
          <w:szCs w:val="28"/>
          <w:lang w:val="en-US" w:eastAsia="uk-UA" w:bidi="ar-SA"/>
        </w:rPr>
        <w:t>生态涞源</w:t>
      </w:r>
      <w:r>
        <w:rPr>
          <w:rFonts w:hint="eastAsia" w:ascii="仿宋" w:hAnsi="仿宋" w:eastAsia="仿宋" w:cs="仿宋"/>
          <w:b w:val="0"/>
          <w:color w:val="000000"/>
          <w:sz w:val="28"/>
          <w:szCs w:val="28"/>
          <w:lang w:val="en-US" w:eastAsia="zh-CN" w:bidi="ar-SA"/>
        </w:rPr>
        <w:t>保驾护航</w:t>
      </w:r>
      <w:r>
        <w:rPr>
          <w:rFonts w:hint="eastAsia" w:ascii="仿宋" w:hAnsi="仿宋" w:eastAsia="仿宋" w:cs="仿宋"/>
          <w:b w:val="0"/>
          <w:color w:val="000000"/>
          <w:sz w:val="28"/>
          <w:szCs w:val="28"/>
          <w:lang w:val="en-US" w:eastAsia="uk-UA" w:bidi="ar-SA"/>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baseline"/>
        <w:rPr>
          <w:rFonts w:hint="eastAsia" w:ascii="楷体" w:hAnsi="楷体" w:eastAsia="楷体" w:cs="楷体"/>
          <w:b/>
          <w:color w:val="000000"/>
          <w:kern w:val="0"/>
          <w:sz w:val="28"/>
          <w:szCs w:val="28"/>
          <w:lang w:val="en-US" w:eastAsia="zh-CN" w:bidi="ar-SA"/>
        </w:rPr>
      </w:pPr>
      <w:r>
        <w:rPr>
          <w:rFonts w:hint="eastAsia" w:ascii="楷体" w:hAnsi="楷体" w:eastAsia="楷体" w:cs="楷体"/>
          <w:b/>
          <w:color w:val="000000"/>
          <w:kern w:val="0"/>
          <w:sz w:val="28"/>
          <w:szCs w:val="28"/>
          <w:lang w:val="en-US" w:eastAsia="zh-CN" w:bidi="ar-SA"/>
        </w:rPr>
        <w:t>（二）分项绩效目标</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1、开展执法服务水平提升年活动，抓好法治培训工作。</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绩效目标:完善培训计划，加强执法行为规范化、文明化。落实执法案件程序合规，简易程序、一般程序内容要准确规范，不断提升文明执法、规范执法，达到依法行政。</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开展执法人员法制培训不少于</w:t>
      </w:r>
      <w:r>
        <w:rPr>
          <w:rFonts w:hint="eastAsia" w:ascii="仿宋" w:hAnsi="仿宋" w:eastAsia="仿宋" w:cs="仿宋"/>
          <w:b w:val="0"/>
          <w:color w:val="000000"/>
          <w:sz w:val="28"/>
          <w:szCs w:val="28"/>
          <w:lang w:val="en-US" w:eastAsia="uk-UA" w:bidi="ar-SA"/>
        </w:rPr>
        <w:t>4次</w:t>
      </w:r>
      <w:r>
        <w:rPr>
          <w:rFonts w:hint="eastAsia" w:ascii="仿宋" w:hAnsi="仿宋" w:eastAsia="仿宋" w:cs="仿宋"/>
          <w:b w:val="0"/>
          <w:color w:val="000000"/>
          <w:sz w:val="28"/>
          <w:szCs w:val="28"/>
          <w:lang w:val="en-US" w:eastAsia="zh-CN" w:bidi="ar-SA"/>
        </w:rPr>
        <w:t>。进一步规范执法行为，杜绝粗暴执法，执法队伍整体形象稳步提升。</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持续强化城区容貌秩序提档升级。</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绩效目标:抓实“门前</w:t>
      </w:r>
      <w:r>
        <w:rPr>
          <w:rFonts w:hint="eastAsia" w:ascii="仿宋" w:hAnsi="仿宋" w:eastAsia="仿宋" w:cs="仿宋"/>
          <w:b w:val="0"/>
          <w:color w:val="000000"/>
          <w:sz w:val="28"/>
          <w:szCs w:val="28"/>
          <w:lang w:val="en-US" w:eastAsia="zh-CN" w:bidi="ar-SA"/>
        </w:rPr>
        <w:t>五</w:t>
      </w:r>
      <w:r>
        <w:rPr>
          <w:rFonts w:hint="eastAsia" w:ascii="仿宋" w:hAnsi="仿宋" w:eastAsia="仿宋" w:cs="仿宋"/>
          <w:b w:val="0"/>
          <w:color w:val="000000"/>
          <w:sz w:val="28"/>
          <w:szCs w:val="28"/>
          <w:lang w:val="en-US" w:eastAsia="uk-UA" w:bidi="ar-SA"/>
        </w:rPr>
        <w:t>包”常态化责任制，持续强化游商浮贩疏导有序规范管理，重点突出学校周边的管控。沿街店面杜绝窗体广告乱贴乱画，遵循“突出特色，一店一牌”设置。</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市容市貌落实常态化管理与集中整治并重，开展市容市貌环境集中整治活动不少于2次。确保市容秩序规范有序，稳步提升。</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3、持续提升城区环境卫生洁净水平。</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绩效目标:进一步深化城区环境卫生网格精细化管理，开展环卫系统“走遍涞源、马路办公”、“洗城净城”、“夏季洁城”、等系列活动，加大城区环境卫生整治力度，</w:t>
      </w:r>
      <w:r>
        <w:rPr>
          <w:rFonts w:hint="eastAsia" w:ascii="仿宋" w:hAnsi="仿宋" w:eastAsia="仿宋" w:cs="仿宋"/>
          <w:b w:val="0"/>
          <w:color w:val="000000"/>
          <w:sz w:val="28"/>
          <w:szCs w:val="28"/>
          <w:lang w:val="en-US" w:eastAsia="zh-CN" w:bidi="ar-SA"/>
        </w:rPr>
        <w:t>上门回收沿街商铺生活垃圾，</w:t>
      </w:r>
      <w:r>
        <w:rPr>
          <w:rFonts w:hint="eastAsia" w:ascii="仿宋" w:hAnsi="仿宋" w:eastAsia="仿宋" w:cs="仿宋"/>
          <w:b w:val="0"/>
          <w:color w:val="000000"/>
          <w:sz w:val="28"/>
          <w:szCs w:val="28"/>
          <w:lang w:val="en-US" w:eastAsia="uk-UA" w:bidi="ar-SA"/>
        </w:rPr>
        <w:t>生活垃圾日产日清。实现全县城区道路清扫覆盖率和环卫作业机械化清扫率均达到100%。认真落实日考核、周汇总、月评分的考核管理机制，按照奖惩制度规定进行管理，切实做到县城区环境卫生无缝隙监管，有效提高环卫保洁质量。</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开展</w:t>
      </w:r>
      <w:r>
        <w:rPr>
          <w:rFonts w:hint="eastAsia" w:ascii="仿宋" w:hAnsi="仿宋" w:eastAsia="仿宋" w:cs="仿宋"/>
          <w:b w:val="0"/>
          <w:color w:val="000000"/>
          <w:sz w:val="28"/>
          <w:szCs w:val="28"/>
          <w:lang w:val="en-US" w:eastAsia="uk-UA" w:bidi="ar-SA"/>
        </w:rPr>
        <w:t>“洗城净城</w:t>
      </w:r>
      <w:r>
        <w:rPr>
          <w:rFonts w:hint="eastAsia" w:ascii="仿宋" w:hAnsi="仿宋" w:eastAsia="仿宋" w:cs="仿宋"/>
          <w:b w:val="0"/>
          <w:color w:val="000000"/>
          <w:sz w:val="28"/>
          <w:szCs w:val="28"/>
          <w:lang w:val="en-US" w:eastAsia="zh-CN" w:bidi="ar-SA"/>
        </w:rPr>
        <w:t>”和</w:t>
      </w:r>
      <w:r>
        <w:rPr>
          <w:rFonts w:hint="eastAsia" w:ascii="仿宋" w:hAnsi="仿宋" w:eastAsia="仿宋" w:cs="仿宋"/>
          <w:b w:val="0"/>
          <w:color w:val="000000"/>
          <w:sz w:val="28"/>
          <w:szCs w:val="28"/>
          <w:lang w:val="en-US" w:eastAsia="uk-UA" w:bidi="ar-SA"/>
        </w:rPr>
        <w:t>“夏季洁城”</w:t>
      </w:r>
      <w:r>
        <w:rPr>
          <w:rFonts w:hint="eastAsia" w:ascii="仿宋" w:hAnsi="仿宋" w:eastAsia="仿宋" w:cs="仿宋"/>
          <w:b w:val="0"/>
          <w:color w:val="000000"/>
          <w:sz w:val="28"/>
          <w:szCs w:val="28"/>
          <w:lang w:val="en-US" w:eastAsia="zh-CN" w:bidi="ar-SA"/>
        </w:rPr>
        <w:t>活动。环境卫生干净整洁生活垃圾日产日清。</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4、“一区三边”拆违持续加压。</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绩效目标:严格按照违法建设“零容忍”的总目标，保持强压态势，坚持“应拆尽拆，严控新增”。</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加大巡查力度，杜绝新增。</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5、持续开展大气污染防治工作。</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目标:非冰冻期城区主次干道实行“洗扫、洒水、冲洗、雾炮”四位一体的机械化作业，重污染天气响应期间，洒水作业频次由原来每日2次增加到7次。对渣土运输车辆安装GPS定位系统，规范管控。确保道路扬尘污染大幅度降低，抑尘效果明显提高。</w:t>
      </w:r>
      <w:r>
        <w:rPr>
          <w:rFonts w:hint="eastAsia" w:ascii="仿宋" w:hAnsi="仿宋" w:eastAsia="仿宋" w:cs="仿宋"/>
          <w:b w:val="0"/>
          <w:color w:val="000000"/>
          <w:sz w:val="28"/>
          <w:szCs w:val="28"/>
          <w:lang w:val="en-US" w:eastAsia="zh-CN" w:bidi="ar-SA"/>
        </w:rPr>
        <w:t>沿街饭店、烧烤商铺按规定安装油烟净化设备，进一步提升空气净化质量。</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洒水频次每日不少于7次。确保降低扬尘污染，抑尘效果提升明显。沿街饭店、烧烤商铺油烟净化设备安装率达100%。</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6、加强数字化城管平台高效运行，提升城市综合管理效能。</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uk-UA" w:bidi="ar-SA"/>
        </w:rPr>
      </w:pPr>
      <w:r>
        <w:rPr>
          <w:rFonts w:hint="eastAsia" w:ascii="仿宋" w:hAnsi="仿宋" w:eastAsia="仿宋" w:cs="仿宋"/>
          <w:b w:val="0"/>
          <w:color w:val="000000"/>
          <w:sz w:val="28"/>
          <w:szCs w:val="28"/>
          <w:lang w:val="en-US" w:eastAsia="uk-UA" w:bidi="ar-SA"/>
        </w:rPr>
        <w:t>绩效目标:持续发挥数字化城管平台指挥、调度、监督作用，充分运用12319热线平台和网格化巡查主动发现问题，提升相关处置单位的响应</w:t>
      </w:r>
      <w:r>
        <w:rPr>
          <w:rFonts w:hint="eastAsia" w:ascii="仿宋" w:hAnsi="仿宋" w:eastAsia="仿宋" w:cs="仿宋"/>
          <w:b w:val="0"/>
          <w:color w:val="000000"/>
          <w:sz w:val="28"/>
          <w:szCs w:val="28"/>
          <w:lang w:val="en-US" w:eastAsia="zh-CN" w:bidi="ar-SA"/>
        </w:rPr>
        <w:t>率</w:t>
      </w:r>
      <w:r>
        <w:rPr>
          <w:rFonts w:hint="eastAsia" w:ascii="仿宋" w:hAnsi="仿宋" w:eastAsia="仿宋" w:cs="仿宋"/>
          <w:b w:val="0"/>
          <w:color w:val="000000"/>
          <w:sz w:val="28"/>
          <w:szCs w:val="28"/>
          <w:lang w:val="en-US" w:eastAsia="uk-UA" w:bidi="ar-SA"/>
        </w:rPr>
        <w:t>和处置率。</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绩效指标:</w:t>
      </w:r>
      <w:r>
        <w:rPr>
          <w:rFonts w:hint="eastAsia" w:ascii="仿宋" w:hAnsi="仿宋" w:eastAsia="仿宋" w:cs="仿宋"/>
          <w:b w:val="0"/>
          <w:color w:val="000000"/>
          <w:sz w:val="28"/>
          <w:szCs w:val="28"/>
          <w:lang w:val="en-US" w:eastAsia="zh-CN" w:bidi="ar-SA"/>
        </w:rPr>
        <w:t>依托网络科技支撑，城管平台高效运行。进一步提升城市管理工作效率和水平。</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zh-CN" w:bidi="ar-SA"/>
        </w:rPr>
        <w:t>人行道违法停车规范管理。</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eastAsia"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uk-UA" w:bidi="ar-SA"/>
        </w:rPr>
        <w:t>绩效目标</w:t>
      </w:r>
      <w:r>
        <w:rPr>
          <w:rFonts w:hint="eastAsia" w:ascii="仿宋" w:hAnsi="仿宋" w:eastAsia="仿宋" w:cs="仿宋"/>
          <w:b w:val="0"/>
          <w:color w:val="000000"/>
          <w:sz w:val="28"/>
          <w:szCs w:val="28"/>
          <w:lang w:val="en-US" w:eastAsia="zh-CN" w:bidi="ar-SA"/>
        </w:rPr>
        <w:t>：按照“方便于民、规范管理”的工作原则，合理处理从严管理和文明引导的关系，依托“交管12123”平台，</w:t>
      </w:r>
      <w:r>
        <w:rPr>
          <w:rFonts w:hint="eastAsia" w:ascii="仿宋" w:hAnsi="仿宋" w:eastAsia="仿宋" w:cs="仿宋"/>
          <w:b w:val="0"/>
          <w:color w:val="000000"/>
          <w:sz w:val="28"/>
          <w:szCs w:val="28"/>
          <w:lang w:val="en-US" w:eastAsia="uk-UA" w:bidi="ar-SA"/>
        </w:rPr>
        <w:t>实行教育与处罚并重，达到停放整齐规范</w:t>
      </w:r>
      <w:r>
        <w:rPr>
          <w:rFonts w:hint="eastAsia" w:ascii="仿宋" w:hAnsi="仿宋" w:eastAsia="仿宋" w:cs="仿宋"/>
          <w:b w:val="0"/>
          <w:color w:val="000000"/>
          <w:sz w:val="28"/>
          <w:szCs w:val="28"/>
          <w:lang w:val="en-US" w:eastAsia="zh-CN" w:bidi="ar-SA"/>
        </w:rPr>
        <w:t>，机动车、非机动车按照标线朝向停车，不得压线、越线。营造文明规范的停车环境，打造整齐有序的城市停车“新形象”。</w:t>
      </w:r>
    </w:p>
    <w:p>
      <w:pPr>
        <w:pStyle w:val="20"/>
        <w:keepNext w:val="0"/>
        <w:keepLines w:val="0"/>
        <w:pageBreakBefore w:val="0"/>
        <w:widowControl/>
        <w:kinsoku/>
        <w:wordWrap/>
        <w:overflowPunct/>
        <w:topLinePunct w:val="0"/>
        <w:autoSpaceDE/>
        <w:autoSpaceDN/>
        <w:bidi w:val="0"/>
        <w:adjustRightInd/>
        <w:snapToGrid/>
        <w:spacing w:line="580" w:lineRule="exact"/>
        <w:jc w:val="both"/>
        <w:rPr>
          <w:rFonts w:hint="default" w:ascii="仿宋" w:hAnsi="仿宋" w:eastAsia="仿宋" w:cs="仿宋"/>
          <w:b w:val="0"/>
          <w:color w:val="000000"/>
          <w:sz w:val="28"/>
          <w:szCs w:val="28"/>
          <w:lang w:val="en-US" w:eastAsia="zh-CN" w:bidi="ar-SA"/>
        </w:rPr>
      </w:pPr>
      <w:r>
        <w:rPr>
          <w:rFonts w:hint="eastAsia" w:ascii="仿宋" w:hAnsi="仿宋" w:eastAsia="仿宋" w:cs="仿宋"/>
          <w:b w:val="0"/>
          <w:color w:val="000000"/>
          <w:sz w:val="28"/>
          <w:szCs w:val="28"/>
          <w:lang w:val="en-US" w:eastAsia="zh-CN" w:bidi="ar-SA"/>
        </w:rPr>
        <w:t>绩效指标：施划机动车停车位不少于5000个，非机动车停车位不少于800个。规范停车秩序，便道以上停车规范整齐。</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562" w:firstLineChars="200"/>
        <w:jc w:val="both"/>
        <w:textAlignment w:val="baseline"/>
        <w:rPr>
          <w:rFonts w:hint="eastAsia" w:ascii="楷体" w:hAnsi="楷体" w:eastAsia="楷体" w:cs="楷体"/>
          <w:b/>
          <w:color w:val="000000"/>
          <w:kern w:val="0"/>
          <w:sz w:val="28"/>
          <w:szCs w:val="28"/>
          <w:lang w:val="en-US" w:eastAsia="zh-CN" w:bidi="ar-SA"/>
        </w:rPr>
      </w:pPr>
      <w:r>
        <w:rPr>
          <w:rFonts w:hint="eastAsia" w:ascii="楷体" w:hAnsi="楷体" w:eastAsia="楷体" w:cs="楷体"/>
          <w:b/>
          <w:color w:val="000000"/>
          <w:kern w:val="0"/>
          <w:sz w:val="28"/>
          <w:szCs w:val="28"/>
          <w:lang w:val="en-US" w:eastAsia="zh-CN" w:bidi="ar-SA"/>
        </w:rPr>
        <w:t>（三）工作保障措施</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rPr>
          <w:rFonts w:hint="eastAsia" w:ascii="仿宋" w:hAnsi="仿宋" w:eastAsia="仿宋" w:cs="仿宋"/>
          <w:b w:val="0"/>
          <w:color w:val="000000"/>
          <w:sz w:val="28"/>
          <w:szCs w:val="28"/>
          <w:lang w:val="en-US" w:eastAsia="uk-UA" w:bidi="ar-SA"/>
        </w:rPr>
      </w:pPr>
      <w:r>
        <w:rPr>
          <w:rFonts w:hint="eastAsia" w:ascii="黑体" w:hAnsi="黑体" w:eastAsia="黑体"/>
          <w:sz w:val="28"/>
          <w:szCs w:val="28"/>
        </w:rPr>
        <w:t>1、完善制度建设。</w:t>
      </w:r>
      <w:r>
        <w:rPr>
          <w:rFonts w:hint="eastAsia" w:ascii="仿宋" w:hAnsi="仿宋" w:eastAsia="仿宋" w:cs="仿宋"/>
          <w:b w:val="0"/>
          <w:color w:val="000000"/>
          <w:sz w:val="28"/>
          <w:szCs w:val="28"/>
          <w:lang w:val="en-US" w:eastAsia="uk-UA" w:bidi="ar-SA"/>
        </w:rPr>
        <w:t>制定完善预算绩效管理制度、资金管理办法、工作保障制度等，为全年预算绩效目标的实现奠定制度基础。</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rPr>
          <w:rFonts w:hint="eastAsia" w:ascii="仿宋" w:hAnsi="仿宋" w:eastAsia="仿宋" w:cs="仿宋"/>
          <w:b w:val="0"/>
          <w:color w:val="000000"/>
          <w:sz w:val="28"/>
          <w:szCs w:val="28"/>
          <w:lang w:val="en-US" w:eastAsia="uk-UA" w:bidi="ar-SA"/>
        </w:rPr>
      </w:pPr>
      <w:r>
        <w:rPr>
          <w:rFonts w:hint="eastAsia" w:ascii="黑体" w:hAnsi="黑体" w:eastAsia="黑体"/>
          <w:sz w:val="28"/>
          <w:szCs w:val="28"/>
        </w:rPr>
        <w:t>2、加强支出管理。</w:t>
      </w:r>
      <w:r>
        <w:rPr>
          <w:rFonts w:hint="eastAsia" w:ascii="仿宋" w:hAnsi="仿宋" w:eastAsia="仿宋" w:cs="仿宋"/>
          <w:b w:val="0"/>
          <w:color w:val="000000"/>
          <w:sz w:val="28"/>
          <w:szCs w:val="28"/>
          <w:lang w:val="en-US" w:eastAsia="uk-UA" w:bidi="ar-SA"/>
        </w:rPr>
        <w:t>通过优化支出结构、编细编实预算、加快履行政府采购手续、尽快启动项目、严格落实审批、审核程序、及时支付资金、6月底前细化代编预算、按规定及时下达资金等多种措施，确保支出进度达标。</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rPr>
          <w:rFonts w:hint="eastAsia" w:ascii="仿宋" w:hAnsi="仿宋" w:eastAsia="仿宋" w:cs="仿宋"/>
          <w:b w:val="0"/>
          <w:color w:val="000000"/>
          <w:sz w:val="28"/>
          <w:szCs w:val="28"/>
          <w:lang w:val="en-US" w:eastAsia="uk-UA" w:bidi="ar-SA"/>
        </w:rPr>
      </w:pPr>
      <w:r>
        <w:rPr>
          <w:rFonts w:hint="eastAsia" w:ascii="黑体" w:hAnsi="黑体" w:eastAsia="黑体"/>
          <w:sz w:val="28"/>
          <w:szCs w:val="28"/>
        </w:rPr>
        <w:t>3、加强绩效运行监控。</w:t>
      </w:r>
      <w:r>
        <w:rPr>
          <w:rFonts w:hint="eastAsia" w:ascii="仿宋" w:hAnsi="仿宋" w:eastAsia="仿宋" w:cs="仿宋"/>
          <w:b w:val="0"/>
          <w:color w:val="000000"/>
          <w:sz w:val="28"/>
          <w:szCs w:val="28"/>
          <w:lang w:val="en-US" w:eastAsia="uk-UA" w:bidi="ar-SA"/>
        </w:rPr>
        <w:t>按要求开展绩效运行监控，层层明确责任，砸死责任，事先做好重大事故预案评估及各类预案有效的相应措施、确实做到发现问题要及时，上报并解决问题要迅速，确保绩效目标如期保质实现。</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rPr>
          <w:rFonts w:ascii="仿宋_GB2312" w:eastAsia="仿宋_GB2312"/>
          <w:sz w:val="28"/>
          <w:szCs w:val="28"/>
        </w:rPr>
      </w:pPr>
      <w:r>
        <w:rPr>
          <w:rFonts w:hint="eastAsia" w:ascii="黑体" w:hAnsi="黑体" w:eastAsia="黑体"/>
          <w:sz w:val="28"/>
          <w:szCs w:val="28"/>
        </w:rPr>
        <w:t>4、做好绩效自评。</w:t>
      </w:r>
      <w:r>
        <w:rPr>
          <w:rFonts w:hint="eastAsia" w:ascii="仿宋" w:hAnsi="仿宋" w:eastAsia="仿宋" w:cs="仿宋"/>
          <w:b w:val="0"/>
          <w:color w:val="000000"/>
          <w:sz w:val="28"/>
          <w:szCs w:val="28"/>
          <w:lang w:val="en-US" w:eastAsia="uk-UA" w:bidi="ar-SA"/>
        </w:rPr>
        <w:t>按要求开展上年度部门预算绩效自评和重点评价工作，对评价中发现的问题及时整改，调整优化支出结构提高财政资金使用效益。</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rPr>
          <w:rFonts w:ascii="仿宋_GB2312" w:eastAsia="仿宋_GB2312"/>
          <w:sz w:val="28"/>
          <w:szCs w:val="28"/>
        </w:rPr>
      </w:pPr>
      <w:r>
        <w:rPr>
          <w:rFonts w:hint="eastAsia" w:ascii="黑体" w:hAnsi="黑体" w:eastAsia="黑体"/>
          <w:sz w:val="28"/>
          <w:szCs w:val="28"/>
        </w:rPr>
        <w:t>5、规范财务资产管理。</w:t>
      </w:r>
      <w:r>
        <w:rPr>
          <w:rFonts w:hint="eastAsia" w:ascii="仿宋" w:hAnsi="仿宋" w:eastAsia="仿宋" w:cs="仿宋"/>
          <w:b w:val="0"/>
          <w:color w:val="000000"/>
          <w:sz w:val="28"/>
          <w:szCs w:val="28"/>
          <w:lang w:val="en-US" w:eastAsia="uk-UA" w:bidi="ar-SA"/>
        </w:rPr>
        <w:t>完善财务管理制度，严格审批、审核程序加强固定资产登记、使用和报废处置管理，做到支出合理，物尽其用。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color w:val="000000"/>
          <w:sz w:val="28"/>
          <w:szCs w:val="28"/>
          <w:lang w:val="en-US" w:eastAsia="uk-UA" w:bidi="ar-SA"/>
        </w:rPr>
      </w:pPr>
      <w:r>
        <w:rPr>
          <w:rFonts w:hint="eastAsia" w:ascii="黑体" w:hAnsi="黑体" w:eastAsia="黑体"/>
          <w:sz w:val="28"/>
          <w:szCs w:val="28"/>
        </w:rPr>
        <w:t>6、加强内部监督。</w:t>
      </w:r>
      <w:r>
        <w:rPr>
          <w:rFonts w:hint="eastAsia" w:ascii="仿宋" w:hAnsi="仿宋" w:eastAsia="仿宋" w:cs="仿宋"/>
          <w:b w:val="0"/>
          <w:color w:val="000000"/>
          <w:sz w:val="28"/>
          <w:szCs w:val="28"/>
          <w:lang w:val="en-US" w:eastAsia="uk-UA" w:bidi="ar-SA"/>
        </w:rPr>
        <w:t>加强内部监督制度建设，对绩效运行情况、重大支出决策、资产处置及其他重要业务事项的决策和执行进行督导，对会计资料进行内部审计，并配合做好审计、财政监督等外部监督工作，确保财政资金安全有效。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color w:val="000000"/>
          <w:sz w:val="28"/>
          <w:szCs w:val="28"/>
          <w:lang w:val="en-US" w:eastAsia="uk-UA" w:bidi="ar-SA"/>
        </w:rPr>
      </w:pPr>
      <w:r>
        <w:rPr>
          <w:rFonts w:hint="eastAsia" w:ascii="黑体" w:hAnsi="黑体" w:eastAsia="黑体"/>
          <w:sz w:val="28"/>
          <w:szCs w:val="28"/>
        </w:rPr>
        <w:t>7、加强宣传培训调研等。</w:t>
      </w:r>
      <w:r>
        <w:rPr>
          <w:rFonts w:hint="eastAsia" w:ascii="仿宋" w:hAnsi="仿宋" w:eastAsia="仿宋" w:cs="仿宋"/>
          <w:b w:val="0"/>
          <w:color w:val="000000"/>
          <w:sz w:val="28"/>
          <w:szCs w:val="28"/>
          <w:lang w:val="en-US" w:eastAsia="uk-UA" w:bidi="ar-SA"/>
        </w:rPr>
        <w:t>加强人员培训，提高本部门职工业务素质;加强调研，提出优化财政资金配置、提高资金使用效益的意见建议;加大宣传力度，强化预算绩效管理意识，促进预算绩效管理水平进一步提升。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line="580" w:lineRule="exact"/>
        <w:ind w:firstLine="560" w:firstLineChars="200"/>
        <w:jc w:val="both"/>
        <w:textAlignment w:val="auto"/>
        <w:rPr>
          <w:rFonts w:hint="eastAsia" w:eastAsia="宋体"/>
          <w:spacing w:val="-2"/>
          <w:lang w:val="en-US" w:eastAsia="zh-CN"/>
        </w:rPr>
      </w:pPr>
      <w:r>
        <w:rPr>
          <w:rFonts w:hint="eastAsia" w:ascii="黑体" w:hAnsi="黑体" w:eastAsia="黑体"/>
          <w:sz w:val="28"/>
          <w:szCs w:val="28"/>
          <w:lang w:val="en-US" w:eastAsia="zh-CN"/>
        </w:rPr>
        <w:t>六、</w:t>
      </w:r>
      <w:r>
        <w:rPr>
          <w:rFonts w:hint="eastAsia" w:ascii="黑体" w:hAnsi="黑体" w:eastAsia="黑体"/>
          <w:sz w:val="28"/>
          <w:szCs w:val="28"/>
        </w:rPr>
        <w:t>部门主管专项资金预算安排情况及绩效目标</w:t>
      </w:r>
      <w:bookmarkStart w:id="3" w:name="bookmark16"/>
      <w:bookmarkEnd w:id="3"/>
      <w:r>
        <w:rPr>
          <w:rFonts w:hint="eastAsia" w:ascii="黑体" w:hAnsi="黑体" w:eastAsia="黑体"/>
          <w:sz w:val="28"/>
          <w:szCs w:val="28"/>
          <w:lang w:eastAsia="zh-CN"/>
        </w:rPr>
        <w:t>。</w:t>
      </w:r>
      <w:r>
        <w:rPr>
          <w:rFonts w:hint="eastAsia" w:eastAsia="宋体"/>
          <w:spacing w:val="-2"/>
          <w:lang w:val="en-US" w:eastAsia="zh-CN"/>
        </w:rPr>
        <w:t>无。</w:t>
      </w: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9"/>
          <w:position w:val="23"/>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596" w:firstLineChars="200"/>
        <w:jc w:val="both"/>
        <w:textAlignment w:val="auto"/>
        <w:rPr>
          <w:rFonts w:ascii="黑体" w:hAnsi="黑体" w:eastAsia="黑体" w:cs="黑体"/>
          <w:spacing w:val="8"/>
          <w:sz w:val="28"/>
          <w:szCs w:val="28"/>
        </w:rPr>
      </w:pPr>
      <w:r>
        <w:rPr>
          <w:rFonts w:ascii="黑体" w:hAnsi="黑体" w:eastAsia="黑体" w:cs="黑体"/>
          <w:spacing w:val="9"/>
          <w:position w:val="23"/>
          <w:sz w:val="28"/>
          <w:szCs w:val="28"/>
        </w:rPr>
        <w:t>七、部门项目预算安排情况及绩效目标</w:t>
      </w:r>
    </w:p>
    <w:p>
      <w:pPr>
        <w:spacing w:line="580" w:lineRule="exact"/>
        <w:rPr>
          <w:rFonts w:eastAsia="方正仿宋_GBK"/>
          <w:sz w:val="28"/>
          <w:szCs w:val="28"/>
        </w:rPr>
      </w:pPr>
      <w:r>
        <w:rPr>
          <w:rFonts w:hint="eastAsia" w:eastAsia="方正仿宋_GBK"/>
          <w:sz w:val="28"/>
          <w:szCs w:val="28"/>
        </w:rPr>
        <w:t>1.</w:t>
      </w:r>
      <w:r>
        <w:rPr>
          <w:rFonts w:eastAsia="方正仿宋_GBK"/>
          <w:sz w:val="28"/>
          <w:szCs w:val="28"/>
        </w:rPr>
        <w:t xml:space="preserve"> </w:t>
      </w:r>
      <w:r>
        <w:rPr>
          <w:rFonts w:hint="eastAsia" w:eastAsia="方正仿宋_GBK"/>
          <w:sz w:val="28"/>
          <w:szCs w:val="28"/>
        </w:rPr>
        <w:t>执法局数字化城管平台运行费</w:t>
      </w:r>
      <w:r>
        <w:rPr>
          <w:rFonts w:eastAsia="方正仿宋_GBK"/>
          <w:sz w:val="28"/>
          <w:szCs w:val="28"/>
        </w:rPr>
        <w:t>项目绩效目标表</w:t>
      </w:r>
    </w:p>
    <w:p>
      <w:pPr>
        <w:spacing w:line="580" w:lineRule="exact"/>
        <w:jc w:val="center"/>
        <w:rPr>
          <w:rFonts w:eastAsia="方正仿宋_GBK"/>
          <w:sz w:val="28"/>
          <w:szCs w:val="28"/>
        </w:rPr>
      </w:pPr>
      <w:r>
        <w:rPr>
          <w:rFonts w:hint="eastAsia" w:eastAsia="宋体"/>
          <w:lang w:val="en-US" w:eastAsia="zh-CN"/>
        </w:rPr>
        <w:t xml:space="preserve">                                                                                                                                                                                                       </w:t>
      </w:r>
      <w:r>
        <w:t>单位：万元</w:t>
      </w:r>
    </w:p>
    <w:tbl>
      <w:tblPr>
        <w:tblStyle w:val="7"/>
        <w:tblW w:w="14057" w:type="dxa"/>
        <w:jc w:val="center"/>
        <w:tblLayout w:type="fixed"/>
        <w:tblCellMar>
          <w:top w:w="15" w:type="dxa"/>
          <w:left w:w="15" w:type="dxa"/>
          <w:bottom w:w="15" w:type="dxa"/>
          <w:right w:w="15" w:type="dxa"/>
        </w:tblCellMar>
      </w:tblPr>
      <w:tblGrid>
        <w:gridCol w:w="2693"/>
        <w:gridCol w:w="2634"/>
        <w:gridCol w:w="1372"/>
        <w:gridCol w:w="1188"/>
        <w:gridCol w:w="1079"/>
        <w:gridCol w:w="1586"/>
        <w:gridCol w:w="1151"/>
        <w:gridCol w:w="2354"/>
      </w:tblGrid>
      <w:tr>
        <w:tblPrEx>
          <w:tblCellMar>
            <w:top w:w="15" w:type="dxa"/>
            <w:left w:w="15" w:type="dxa"/>
            <w:bottom w:w="15" w:type="dxa"/>
            <w:right w:w="15" w:type="dxa"/>
          </w:tblCellMar>
        </w:tblPrEx>
        <w:trPr>
          <w:trHeight w:val="802"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项目名称</w:t>
            </w:r>
          </w:p>
        </w:tc>
        <w:tc>
          <w:tcPr>
            <w:tcW w:w="61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方正仿宋_GBK"/>
                <w:b/>
                <w:color w:val="000000"/>
                <w:sz w:val="20"/>
                <w:szCs w:val="20"/>
                <w:lang w:val="en-US" w:eastAsia="zh-CN"/>
              </w:rPr>
            </w:pPr>
            <w:r>
              <w:rPr>
                <w:rFonts w:hint="eastAsia" w:eastAsia="方正仿宋_GBK"/>
                <w:b/>
                <w:color w:val="000000"/>
                <w:sz w:val="20"/>
                <w:szCs w:val="20"/>
              </w:rPr>
              <w:t>执法局数字化城管平台运行费</w:t>
            </w:r>
          </w:p>
        </w:tc>
      </w:tr>
      <w:tr>
        <w:tblPrEx>
          <w:tblCellMar>
            <w:top w:w="15" w:type="dxa"/>
            <w:left w:w="15" w:type="dxa"/>
            <w:bottom w:w="15" w:type="dxa"/>
            <w:right w:w="15" w:type="dxa"/>
          </w:tblCellMar>
        </w:tblPrEx>
        <w:trPr>
          <w:trHeight w:val="1443"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预算数</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20"/>
                <w:szCs w:val="20"/>
                <w:lang w:val="en-US" w:eastAsia="zh-CN"/>
              </w:rPr>
            </w:pPr>
            <w:r>
              <w:rPr>
                <w:rFonts w:hint="eastAsia" w:eastAsia="方正仿宋_GBK"/>
                <w:b/>
                <w:color w:val="000000"/>
                <w:sz w:val="20"/>
                <w:szCs w:val="20"/>
                <w:lang w:val="en-US" w:eastAsia="zh-CN"/>
              </w:rPr>
              <w:t>22.69</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其中：财政资金</w:t>
            </w:r>
          </w:p>
        </w:tc>
        <w:tc>
          <w:tcPr>
            <w:tcW w:w="10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20"/>
                <w:szCs w:val="20"/>
                <w:lang w:val="en-US" w:eastAsia="zh-CN"/>
              </w:rPr>
            </w:pPr>
            <w:r>
              <w:rPr>
                <w:rFonts w:hint="eastAsia" w:eastAsia="方正仿宋_GBK"/>
                <w:b/>
                <w:color w:val="000000"/>
                <w:sz w:val="20"/>
                <w:szCs w:val="20"/>
                <w:lang w:val="en-US" w:eastAsia="zh-CN"/>
              </w:rPr>
              <w:t>22.69</w:t>
            </w:r>
          </w:p>
        </w:tc>
        <w:tc>
          <w:tcPr>
            <w:tcW w:w="15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其他资金</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73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364"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150"/>
              </w:tabs>
              <w:spacing w:line="240" w:lineRule="auto"/>
              <w:jc w:val="left"/>
              <w:rPr>
                <w:rFonts w:hint="eastAsia" w:eastAsia="方正仿宋_GBK"/>
                <w:color w:val="000000"/>
                <w:sz w:val="20"/>
                <w:szCs w:val="20"/>
                <w:lang w:eastAsia="zh-CN"/>
              </w:rPr>
            </w:pPr>
            <w:r>
              <w:rPr>
                <w:rFonts w:hint="eastAsia" w:eastAsia="方正仿宋_GBK"/>
                <w:color w:val="000000"/>
                <w:sz w:val="18"/>
                <w:szCs w:val="18"/>
                <w:lang w:eastAsia="zh-CN"/>
              </w:rPr>
              <w:t>用于本年数字化城管平台系统网络运行费和执法手持智能终端业务通讯费。具体做好网络监控成像，和智能终端发现及时上传。</w:t>
            </w:r>
          </w:p>
        </w:tc>
      </w:tr>
      <w:tr>
        <w:tblPrEx>
          <w:tblCellMar>
            <w:top w:w="15" w:type="dxa"/>
            <w:left w:w="15" w:type="dxa"/>
            <w:bottom w:w="15" w:type="dxa"/>
            <w:right w:w="15" w:type="dxa"/>
          </w:tblCellMar>
        </w:tblPrEx>
        <w:trPr>
          <w:trHeight w:val="802"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3月底</w:t>
            </w:r>
          </w:p>
        </w:tc>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6月底</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10月底</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12月底</w:t>
            </w:r>
          </w:p>
        </w:tc>
      </w:tr>
      <w:tr>
        <w:tblPrEx>
          <w:tblCellMar>
            <w:top w:w="15" w:type="dxa"/>
            <w:left w:w="15" w:type="dxa"/>
            <w:bottom w:w="15" w:type="dxa"/>
            <w:right w:w="15" w:type="dxa"/>
          </w:tblCellMar>
        </w:tblPrEx>
        <w:trPr>
          <w:trHeight w:val="480"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0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r>
              <w:rPr>
                <w:rFonts w:hint="eastAsia" w:eastAsia="方正仿宋_GBK"/>
                <w:b/>
                <w:color w:val="000000"/>
                <w:sz w:val="18"/>
                <w:szCs w:val="18"/>
                <w:lang w:val="en-US" w:eastAsia="zh-CN"/>
              </w:rPr>
              <w:t>25</w:t>
            </w:r>
          </w:p>
        </w:tc>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50</w:t>
            </w:r>
          </w:p>
        </w:tc>
        <w:tc>
          <w:tcPr>
            <w:tcW w:w="26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75</w:t>
            </w:r>
          </w:p>
        </w:tc>
        <w:tc>
          <w:tcPr>
            <w:tcW w:w="35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r>
      <w:tr>
        <w:tblPrEx>
          <w:tblCellMar>
            <w:top w:w="15" w:type="dxa"/>
            <w:left w:w="15" w:type="dxa"/>
            <w:bottom w:w="15" w:type="dxa"/>
            <w:right w:w="15" w:type="dxa"/>
          </w:tblCellMar>
        </w:tblPrEx>
        <w:trPr>
          <w:trHeight w:val="802"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目标1</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通过数字化城管平台正常运行，实现违法违规行为发现及时、上传及时、处置及时。</w:t>
            </w:r>
          </w:p>
        </w:tc>
      </w:tr>
      <w:tr>
        <w:tblPrEx>
          <w:tblCellMar>
            <w:top w:w="15" w:type="dxa"/>
            <w:left w:w="15" w:type="dxa"/>
            <w:bottom w:w="15" w:type="dxa"/>
            <w:right w:w="15" w:type="dxa"/>
          </w:tblCellMar>
        </w:tblPrEx>
        <w:trPr>
          <w:trHeight w:val="802"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目标2</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营造良好的市容秩序。</w:t>
            </w:r>
          </w:p>
        </w:tc>
      </w:tr>
      <w:tr>
        <w:tblPrEx>
          <w:tblCellMar>
            <w:top w:w="15" w:type="dxa"/>
            <w:left w:w="15" w:type="dxa"/>
            <w:bottom w:w="15" w:type="dxa"/>
            <w:right w:w="15" w:type="dxa"/>
          </w:tblCellMar>
        </w:tblPrEx>
        <w:trPr>
          <w:trHeight w:val="802"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目标3</w:t>
            </w:r>
          </w:p>
        </w:tc>
        <w:tc>
          <w:tcPr>
            <w:tcW w:w="873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r>
              <w:rPr>
                <w:rFonts w:hint="eastAsia" w:eastAsia="方正仿宋_GBK"/>
                <w:color w:val="000000"/>
                <w:sz w:val="18"/>
                <w:szCs w:val="18"/>
              </w:rPr>
              <w:t>为城市管理提供科学支撑。</w:t>
            </w:r>
          </w:p>
        </w:tc>
      </w:tr>
      <w:tr>
        <w:tblPrEx>
          <w:tblCellMar>
            <w:top w:w="15" w:type="dxa"/>
            <w:left w:w="15" w:type="dxa"/>
            <w:bottom w:w="15" w:type="dxa"/>
            <w:right w:w="15" w:type="dxa"/>
          </w:tblCellMar>
        </w:tblPrEx>
        <w:trPr>
          <w:trHeight w:val="480"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26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二级指标</w:t>
            </w:r>
          </w:p>
        </w:tc>
        <w:tc>
          <w:tcPr>
            <w:tcW w:w="13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三级指标</w:t>
            </w:r>
          </w:p>
        </w:tc>
        <w:tc>
          <w:tcPr>
            <w:tcW w:w="385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绩效指标描述</w:t>
            </w:r>
          </w:p>
        </w:tc>
        <w:tc>
          <w:tcPr>
            <w:tcW w:w="1151"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w:t>
            </w:r>
          </w:p>
        </w:tc>
        <w:tc>
          <w:tcPr>
            <w:tcW w:w="23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指标值确定依据</w:t>
            </w:r>
          </w:p>
        </w:tc>
      </w:tr>
      <w:tr>
        <w:tblPrEx>
          <w:tblCellMar>
            <w:top w:w="15" w:type="dxa"/>
            <w:left w:w="15" w:type="dxa"/>
            <w:bottom w:w="15" w:type="dxa"/>
            <w:right w:w="15" w:type="dxa"/>
          </w:tblCellMar>
        </w:tblPrEx>
        <w:trPr>
          <w:trHeight w:val="42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3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85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151" w:type="dxa"/>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2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426"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26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数量指标</w:t>
            </w:r>
          </w:p>
        </w:tc>
        <w:tc>
          <w:tcPr>
            <w:tcW w:w="137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光纤条数</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100M光纤数量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448"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10M光纤数量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20条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426"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4M光纤条数</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1条</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735"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4" w:type="dxa"/>
            <w:vMerge w:val="continue"/>
            <w:tcBorders>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智能终端个数</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智能终端个数</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20个</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费用清单</w:t>
            </w:r>
          </w:p>
        </w:tc>
      </w:tr>
      <w:tr>
        <w:tblPrEx>
          <w:tblCellMar>
            <w:top w:w="15" w:type="dxa"/>
            <w:left w:w="15" w:type="dxa"/>
            <w:bottom w:w="15" w:type="dxa"/>
            <w:right w:w="15" w:type="dxa"/>
          </w:tblCellMar>
        </w:tblPrEx>
        <w:trPr>
          <w:trHeight w:val="59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质量指标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网络通畅率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确保所有服务网络通畅</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网络通畅率</w:t>
            </w:r>
          </w:p>
        </w:tc>
      </w:tr>
      <w:tr>
        <w:tblPrEx>
          <w:tblCellMar>
            <w:top w:w="15" w:type="dxa"/>
            <w:left w:w="15" w:type="dxa"/>
            <w:bottom w:w="15" w:type="dxa"/>
            <w:right w:w="15" w:type="dxa"/>
          </w:tblCellMar>
        </w:tblPrEx>
        <w:trPr>
          <w:trHeight w:val="66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时效指标</w:t>
            </w:r>
          </w:p>
        </w:tc>
        <w:tc>
          <w:tcPr>
            <w:tcW w:w="137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default" w:eastAsia="方正仿宋_GBK"/>
                <w:color w:val="000000"/>
                <w:kern w:val="0"/>
                <w:sz w:val="18"/>
                <w:szCs w:val="18"/>
                <w:lang w:val="en-US" w:eastAsia="zh-CN"/>
              </w:rPr>
              <w:t>支付</w:t>
            </w:r>
            <w:r>
              <w:rPr>
                <w:rFonts w:hint="eastAsia" w:eastAsia="方正仿宋_GBK"/>
                <w:color w:val="000000"/>
                <w:kern w:val="0"/>
                <w:sz w:val="18"/>
                <w:szCs w:val="18"/>
                <w:lang w:val="en-US" w:eastAsia="zh-CN"/>
              </w:rPr>
              <w:t>及时</w:t>
            </w:r>
            <w:r>
              <w:rPr>
                <w:rFonts w:hint="default" w:eastAsia="方正仿宋_GBK"/>
                <w:color w:val="000000"/>
                <w:kern w:val="0"/>
                <w:sz w:val="18"/>
                <w:szCs w:val="18"/>
                <w:lang w:val="en-US" w:eastAsia="zh-CN"/>
              </w:rPr>
              <w:t>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eastAsia="方正仿宋_GBK"/>
                <w:color w:val="000000"/>
                <w:kern w:val="0"/>
                <w:sz w:val="18"/>
                <w:szCs w:val="18"/>
                <w:lang w:val="en-US" w:eastAsia="zh-CN"/>
              </w:rPr>
            </w:pPr>
            <w:r>
              <w:rPr>
                <w:rFonts w:hint="eastAsia" w:eastAsia="方正仿宋_GBK"/>
                <w:color w:val="000000"/>
                <w:kern w:val="0"/>
                <w:sz w:val="18"/>
                <w:szCs w:val="18"/>
                <w:lang w:val="en-US" w:eastAsia="zh-CN"/>
              </w:rPr>
              <w:t>按计划支付完成率</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工作方案</w:t>
            </w:r>
          </w:p>
        </w:tc>
      </w:tr>
      <w:tr>
        <w:tblPrEx>
          <w:tblCellMar>
            <w:top w:w="15" w:type="dxa"/>
            <w:left w:w="15" w:type="dxa"/>
            <w:bottom w:w="15" w:type="dxa"/>
            <w:right w:w="15" w:type="dxa"/>
          </w:tblCellMar>
        </w:tblPrEx>
        <w:trPr>
          <w:trHeight w:val="735" w:hRule="atLeast"/>
          <w:jc w:val="center"/>
        </w:trPr>
        <w:tc>
          <w:tcPr>
            <w:tcW w:w="269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263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成本指标</w:t>
            </w:r>
          </w:p>
        </w:tc>
        <w:tc>
          <w:tcPr>
            <w:tcW w:w="1372"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预算</w:t>
            </w:r>
            <w:r>
              <w:rPr>
                <w:rFonts w:hint="default" w:eastAsia="方正仿宋_GBK"/>
                <w:color w:val="000000"/>
                <w:kern w:val="0"/>
                <w:sz w:val="18"/>
                <w:szCs w:val="18"/>
                <w:lang w:val="en-US" w:eastAsia="zh-CN"/>
              </w:rPr>
              <w:t>成本控制率</w:t>
            </w:r>
          </w:p>
        </w:tc>
        <w:tc>
          <w:tcPr>
            <w:tcW w:w="3853"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实际支付/预算资金*100%</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≤100%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合同</w:t>
            </w:r>
          </w:p>
        </w:tc>
      </w:tr>
      <w:tr>
        <w:tblPrEx>
          <w:tblCellMar>
            <w:top w:w="15" w:type="dxa"/>
            <w:left w:w="15" w:type="dxa"/>
            <w:bottom w:w="15" w:type="dxa"/>
            <w:right w:w="15" w:type="dxa"/>
          </w:tblCellMar>
        </w:tblPrEx>
        <w:trPr>
          <w:trHeight w:val="477" w:hRule="atLeast"/>
          <w:jc w:val="center"/>
        </w:trPr>
        <w:tc>
          <w:tcPr>
            <w:tcW w:w="269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2634" w:type="dxa"/>
            <w:tcBorders>
              <w:top w:val="single" w:color="auto"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经济效益指标</w:t>
            </w:r>
          </w:p>
        </w:tc>
        <w:tc>
          <w:tcPr>
            <w:tcW w:w="137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735"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社会效益指标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市容秩序改善</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通过先进的数字化管理，县城区市容秩序改善</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提升</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工作方案</w:t>
            </w:r>
          </w:p>
        </w:tc>
      </w:tr>
      <w:tr>
        <w:tblPrEx>
          <w:tblCellMar>
            <w:top w:w="15" w:type="dxa"/>
            <w:left w:w="15" w:type="dxa"/>
            <w:bottom w:w="15" w:type="dxa"/>
            <w:right w:w="15" w:type="dxa"/>
          </w:tblCellMar>
        </w:tblPrEx>
        <w:trPr>
          <w:trHeight w:val="476"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生态效益指标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447"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可持续性影响</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p>
        </w:tc>
      </w:tr>
      <w:tr>
        <w:tblPrEx>
          <w:tblCellMar>
            <w:top w:w="15" w:type="dxa"/>
            <w:left w:w="15" w:type="dxa"/>
            <w:bottom w:w="15" w:type="dxa"/>
            <w:right w:w="15" w:type="dxa"/>
          </w:tblCellMar>
        </w:tblPrEx>
        <w:trPr>
          <w:trHeight w:val="764"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2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服务对象满意度指标</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群众满意度指标</w:t>
            </w:r>
          </w:p>
        </w:tc>
        <w:tc>
          <w:tcPr>
            <w:tcW w:w="38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群众对执法事项处置办结率服务满意指标</w:t>
            </w:r>
          </w:p>
        </w:tc>
        <w:tc>
          <w:tcPr>
            <w:tcW w:w="11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≥90%</w:t>
            </w:r>
          </w:p>
        </w:tc>
        <w:tc>
          <w:tcPr>
            <w:tcW w:w="2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eastAsia="方正仿宋_GBK"/>
                <w:color w:val="000000"/>
                <w:kern w:val="0"/>
                <w:sz w:val="18"/>
                <w:szCs w:val="18"/>
                <w:lang w:val="en-US" w:eastAsia="zh-CN"/>
              </w:rPr>
            </w:pPr>
            <w:r>
              <w:rPr>
                <w:rFonts w:hint="eastAsia" w:eastAsia="方正仿宋_GBK"/>
                <w:color w:val="000000"/>
                <w:kern w:val="0"/>
                <w:sz w:val="18"/>
                <w:szCs w:val="18"/>
                <w:lang w:val="en-US" w:eastAsia="zh-CN"/>
              </w:rPr>
              <w:t>调查问卷</w:t>
            </w:r>
          </w:p>
        </w:tc>
      </w:tr>
    </w:tbl>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p>
    <w:p>
      <w:pPr>
        <w:spacing w:line="580" w:lineRule="exact"/>
        <w:rPr>
          <w:rFonts w:hint="eastAsia" w:eastAsia="方正仿宋_GBK"/>
          <w:sz w:val="28"/>
          <w:szCs w:val="28"/>
          <w:lang w:val="en-US" w:eastAsia="zh-CN"/>
        </w:rPr>
      </w:pPr>
      <w:bookmarkStart w:id="4" w:name="_GoBack"/>
      <w:bookmarkEnd w:id="4"/>
    </w:p>
    <w:p>
      <w:pPr>
        <w:numPr>
          <w:ilvl w:val="0"/>
          <w:numId w:val="2"/>
        </w:numPr>
        <w:spacing w:line="580" w:lineRule="exact"/>
        <w:rPr>
          <w:rFonts w:eastAsia="方正仿宋_GBK"/>
          <w:sz w:val="28"/>
          <w:szCs w:val="28"/>
        </w:rPr>
      </w:pPr>
      <w:r>
        <w:rPr>
          <w:rFonts w:hint="eastAsia" w:eastAsia="方正仿宋_GBK"/>
          <w:sz w:val="28"/>
          <w:szCs w:val="28"/>
        </w:rPr>
        <w:t>执法局城乡环卫市场化特许经营经费</w:t>
      </w:r>
      <w:r>
        <w:rPr>
          <w:rFonts w:eastAsia="方正仿宋_GBK"/>
          <w:sz w:val="28"/>
          <w:szCs w:val="28"/>
        </w:rPr>
        <w:t>项目绩效目标表</w:t>
      </w:r>
    </w:p>
    <w:p>
      <w:pPr>
        <w:numPr>
          <w:ilvl w:val="0"/>
          <w:numId w:val="0"/>
        </w:numPr>
        <w:tabs>
          <w:tab w:val="left" w:pos="12628"/>
        </w:tabs>
        <w:spacing w:line="580" w:lineRule="exact"/>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059" w:type="dxa"/>
        <w:jc w:val="center"/>
        <w:tblLayout w:type="fixed"/>
        <w:tblCellMar>
          <w:top w:w="15" w:type="dxa"/>
          <w:left w:w="15" w:type="dxa"/>
          <w:bottom w:w="15" w:type="dxa"/>
          <w:right w:w="15" w:type="dxa"/>
        </w:tblCellMar>
      </w:tblPr>
      <w:tblGrid>
        <w:gridCol w:w="2693"/>
        <w:gridCol w:w="1797"/>
        <w:gridCol w:w="836"/>
        <w:gridCol w:w="1373"/>
        <w:gridCol w:w="1092"/>
        <w:gridCol w:w="1514"/>
        <w:gridCol w:w="1163"/>
        <w:gridCol w:w="87"/>
        <w:gridCol w:w="1151"/>
        <w:gridCol w:w="2353"/>
      </w:tblGrid>
      <w:tr>
        <w:tblPrEx>
          <w:tblCellMar>
            <w:top w:w="15" w:type="dxa"/>
            <w:left w:w="15" w:type="dxa"/>
            <w:bottom w:w="15" w:type="dxa"/>
            <w:right w:w="15" w:type="dxa"/>
          </w:tblCellMar>
        </w:tblPrEx>
        <w:trPr>
          <w:trHeight w:val="729"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268"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b/>
                <w:color w:val="000000"/>
                <w:sz w:val="20"/>
                <w:szCs w:val="20"/>
                <w:lang w:val="en-US" w:eastAsia="zh-CN"/>
              </w:rPr>
            </w:pPr>
            <w:r>
              <w:rPr>
                <w:rFonts w:hint="eastAsia" w:ascii="宋体" w:hAnsi="宋体" w:eastAsia="宋体" w:cs="宋体"/>
                <w:b/>
                <w:bCs/>
                <w:i w:val="0"/>
                <w:iCs w:val="0"/>
                <w:color w:val="000000"/>
                <w:kern w:val="0"/>
                <w:sz w:val="20"/>
                <w:szCs w:val="20"/>
                <w:u w:val="none"/>
                <w:lang w:val="en-US" w:eastAsia="zh-CN" w:bidi="ar"/>
              </w:rPr>
              <w:t>执法局城乡环卫市场化特许经营经费</w:t>
            </w:r>
          </w:p>
        </w:tc>
      </w:tr>
      <w:tr>
        <w:tblPrEx>
          <w:tblCellMar>
            <w:top w:w="15" w:type="dxa"/>
            <w:left w:w="15" w:type="dxa"/>
            <w:bottom w:w="15" w:type="dxa"/>
            <w:right w:w="15" w:type="dxa"/>
          </w:tblCellMar>
        </w:tblPrEx>
        <w:trPr>
          <w:trHeight w:val="1377"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7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2020.76</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5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2020.76</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55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366"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eastAsia="方正仿宋_GBK"/>
                <w:color w:val="000000"/>
                <w:sz w:val="20"/>
                <w:szCs w:val="20"/>
                <w:lang w:eastAsia="zh-CN"/>
              </w:rPr>
            </w:pPr>
            <w:r>
              <w:rPr>
                <w:rFonts w:hint="eastAsia" w:ascii="宋体" w:hAnsi="宋体" w:eastAsia="宋体" w:cs="宋体"/>
                <w:i w:val="0"/>
                <w:iCs w:val="0"/>
                <w:color w:val="000000"/>
                <w:kern w:val="0"/>
                <w:sz w:val="20"/>
                <w:szCs w:val="20"/>
                <w:u w:val="none"/>
                <w:lang w:val="en-US" w:eastAsia="zh-CN" w:bidi="ar"/>
              </w:rPr>
              <w:t>用于县城区主次干道的清扫保洁作业费用。具体包括路段的机械化洗扫、洒水、垃圾清运和14小时全时段保洁作业。</w:t>
            </w:r>
          </w:p>
        </w:tc>
      </w:tr>
      <w:tr>
        <w:tblPrEx>
          <w:tblCellMar>
            <w:top w:w="15" w:type="dxa"/>
            <w:left w:w="15" w:type="dxa"/>
            <w:bottom w:w="15" w:type="dxa"/>
            <w:right w:w="15" w:type="dxa"/>
          </w:tblCellMar>
        </w:tblPrEx>
        <w:trPr>
          <w:trHeight w:val="729"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405"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06"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18"/>
                <w:szCs w:val="18"/>
                <w:lang w:val="en-US" w:eastAsia="zh-CN"/>
              </w:rPr>
            </w:pPr>
            <w:r>
              <w:rPr>
                <w:rFonts w:hint="eastAsia" w:ascii="宋体" w:hAnsi="宋体" w:eastAsia="宋体" w:cs="宋体"/>
                <w:b/>
                <w:bCs/>
                <w:i w:val="0"/>
                <w:iCs w:val="0"/>
                <w:color w:val="000000"/>
                <w:kern w:val="0"/>
                <w:sz w:val="20"/>
                <w:szCs w:val="20"/>
                <w:u w:val="none"/>
                <w:lang w:val="en-US" w:eastAsia="zh-CN" w:bidi="ar"/>
              </w:rPr>
              <w:t>25</w:t>
            </w:r>
          </w:p>
        </w:tc>
        <w:tc>
          <w:tcPr>
            <w:tcW w:w="109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267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3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r>
      <w:tr>
        <w:tblPrEx>
          <w:tblCellMar>
            <w:top w:w="15" w:type="dxa"/>
            <w:left w:w="15" w:type="dxa"/>
            <w:bottom w:w="15" w:type="dxa"/>
            <w:right w:w="15" w:type="dxa"/>
          </w:tblCellMar>
        </w:tblPrEx>
        <w:trPr>
          <w:trHeight w:val="729"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目标1</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县城区主次干道落实机械化洒水、洗扫</w:t>
            </w:r>
            <w:r>
              <w:rPr>
                <w:rFonts w:hint="eastAsia" w:ascii="宋体" w:hAnsi="宋体" w:cs="宋体"/>
                <w:i w:val="0"/>
                <w:iCs w:val="0"/>
                <w:color w:val="000000"/>
                <w:kern w:val="0"/>
                <w:sz w:val="20"/>
                <w:szCs w:val="20"/>
                <w:u w:val="none"/>
                <w:lang w:val="en-US" w:eastAsia="zh-CN" w:bidi="ar"/>
              </w:rPr>
              <w:t>。</w:t>
            </w:r>
          </w:p>
        </w:tc>
      </w:tr>
      <w:tr>
        <w:tblPrEx>
          <w:tblCellMar>
            <w:top w:w="15" w:type="dxa"/>
            <w:left w:w="15" w:type="dxa"/>
            <w:bottom w:w="15" w:type="dxa"/>
            <w:right w:w="15" w:type="dxa"/>
          </w:tblCellMar>
        </w:tblPrEx>
        <w:trPr>
          <w:trHeight w:val="729"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目标2</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实施环卫工人14小时清扫保洁，保持路段卫生干净整洁，</w:t>
            </w:r>
          </w:p>
        </w:tc>
      </w:tr>
      <w:tr>
        <w:tblPrEx>
          <w:tblCellMar>
            <w:top w:w="15" w:type="dxa"/>
            <w:left w:w="15" w:type="dxa"/>
            <w:bottom w:w="15" w:type="dxa"/>
            <w:right w:w="15" w:type="dxa"/>
          </w:tblCellMar>
        </w:tblPrEx>
        <w:trPr>
          <w:trHeight w:val="729"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目标3</w:t>
            </w:r>
          </w:p>
        </w:tc>
        <w:tc>
          <w:tcPr>
            <w:tcW w:w="873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垃圾日产日清。</w:t>
            </w:r>
          </w:p>
        </w:tc>
      </w:tr>
      <w:tr>
        <w:tblPrEx>
          <w:tblCellMar>
            <w:top w:w="15" w:type="dxa"/>
            <w:left w:w="15" w:type="dxa"/>
            <w:bottom w:w="15" w:type="dxa"/>
            <w:right w:w="15" w:type="dxa"/>
          </w:tblCellMar>
        </w:tblPrEx>
        <w:trPr>
          <w:trHeight w:val="405"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263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二级指标</w:t>
            </w:r>
          </w:p>
        </w:tc>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三级指标</w:t>
            </w:r>
          </w:p>
        </w:tc>
        <w:tc>
          <w:tcPr>
            <w:tcW w:w="3856"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绩效指标描述</w:t>
            </w:r>
          </w:p>
        </w:tc>
        <w:tc>
          <w:tcPr>
            <w:tcW w:w="1151"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w:t>
            </w:r>
          </w:p>
        </w:tc>
        <w:tc>
          <w:tcPr>
            <w:tcW w:w="2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指标值确定依据</w:t>
            </w:r>
          </w:p>
        </w:tc>
      </w:tr>
      <w:tr>
        <w:tblPrEx>
          <w:tblCellMar>
            <w:top w:w="15" w:type="dxa"/>
            <w:left w:w="15" w:type="dxa"/>
            <w:bottom w:w="15" w:type="dxa"/>
            <w:right w:w="15" w:type="dxa"/>
          </w:tblCellMar>
        </w:tblPrEx>
        <w:trPr>
          <w:trHeight w:val="350"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856"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151" w:type="dxa"/>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2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303" w:hRule="atLeast"/>
          <w:jc w:val="center"/>
        </w:trPr>
        <w:tc>
          <w:tcPr>
            <w:tcW w:w="2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2633"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137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出动车辆</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每天作业出动车辆数量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r>
              <w:rPr>
                <w:rFonts w:hint="eastAsia" w:ascii="宋体" w:hAnsi="宋体" w:cs="宋体"/>
                <w:i w:val="0"/>
                <w:iCs w:val="0"/>
                <w:color w:val="000000"/>
                <w:kern w:val="0"/>
                <w:sz w:val="20"/>
                <w:szCs w:val="20"/>
                <w:u w:val="none"/>
                <w:lang w:val="en-US" w:eastAsia="zh-CN" w:bidi="ar"/>
              </w:rPr>
              <w:t>辆</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303" w:hRule="atLeast"/>
          <w:jc w:val="center"/>
        </w:trPr>
        <w:tc>
          <w:tcPr>
            <w:tcW w:w="2693"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2633" w:type="dxa"/>
            <w:gridSpan w:val="2"/>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3"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出动人员</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每天作业出动环卫人员数量</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r>
              <w:rPr>
                <w:rFonts w:hint="eastAsia" w:ascii="宋体" w:hAnsi="宋体" w:cs="宋体"/>
                <w:i w:val="0"/>
                <w:iCs w:val="0"/>
                <w:color w:val="000000"/>
                <w:kern w:val="0"/>
                <w:sz w:val="20"/>
                <w:szCs w:val="20"/>
                <w:u w:val="none"/>
                <w:lang w:val="en-US" w:eastAsia="zh-CN" w:bidi="ar"/>
              </w:rPr>
              <w:t>人</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54"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质量达标率</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垃圾日产日清，落实机械化洗扫率</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91" w:hRule="atLeast"/>
          <w:jc w:val="center"/>
        </w:trPr>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137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支付</w:t>
            </w:r>
            <w:r>
              <w:rPr>
                <w:rFonts w:hint="eastAsia" w:ascii="宋体" w:hAnsi="宋体" w:eastAsia="宋体" w:cs="宋体"/>
                <w:i w:val="0"/>
                <w:iCs w:val="0"/>
                <w:color w:val="000000"/>
                <w:kern w:val="0"/>
                <w:sz w:val="20"/>
                <w:szCs w:val="20"/>
                <w:u w:val="none"/>
                <w:lang w:val="en-US" w:eastAsia="zh-CN" w:bidi="ar"/>
              </w:rPr>
              <w:t>及时</w:t>
            </w:r>
            <w:r>
              <w:rPr>
                <w:rFonts w:hint="default" w:ascii="宋体" w:hAnsi="宋体" w:eastAsia="宋体" w:cs="宋体"/>
                <w:i w:val="0"/>
                <w:iCs w:val="0"/>
                <w:color w:val="000000"/>
                <w:kern w:val="0"/>
                <w:sz w:val="20"/>
                <w:szCs w:val="20"/>
                <w:u w:val="none"/>
                <w:lang w:val="en-US" w:eastAsia="zh-CN" w:bidi="ar"/>
              </w:rPr>
              <w:t>率</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每月月底之前支付完成率</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591" w:hRule="atLeast"/>
          <w:jc w:val="center"/>
        </w:trPr>
        <w:tc>
          <w:tcPr>
            <w:tcW w:w="269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2633"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1373"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成本控制率</w:t>
            </w:r>
          </w:p>
        </w:tc>
        <w:tc>
          <w:tcPr>
            <w:tcW w:w="3856" w:type="dxa"/>
            <w:gridSpan w:val="4"/>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特许经营合同</w:t>
            </w:r>
          </w:p>
        </w:tc>
      </w:tr>
      <w:tr>
        <w:tblPrEx>
          <w:tblCellMar>
            <w:top w:w="15" w:type="dxa"/>
            <w:left w:w="15" w:type="dxa"/>
            <w:bottom w:w="15" w:type="dxa"/>
            <w:right w:w="15" w:type="dxa"/>
          </w:tblCellMar>
        </w:tblPrEx>
        <w:trPr>
          <w:trHeight w:val="472" w:hRule="atLeast"/>
          <w:jc w:val="center"/>
        </w:trPr>
        <w:tc>
          <w:tcPr>
            <w:tcW w:w="2693"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2633" w:type="dxa"/>
            <w:gridSpan w:val="2"/>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经济效益指标</w:t>
            </w:r>
          </w:p>
        </w:tc>
        <w:tc>
          <w:tcPr>
            <w:tcW w:w="1373"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70"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环境改善影响</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城区道路环境带给县城区环境和居民生活环境品质影响</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提升</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工作方案</w:t>
            </w:r>
          </w:p>
        </w:tc>
      </w:tr>
      <w:tr>
        <w:tblPrEx>
          <w:tblCellMar>
            <w:top w:w="15" w:type="dxa"/>
            <w:left w:w="15" w:type="dxa"/>
            <w:bottom w:w="15" w:type="dxa"/>
            <w:right w:w="15" w:type="dxa"/>
          </w:tblCellMar>
        </w:tblPrEx>
        <w:trPr>
          <w:trHeight w:val="471"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生态效益指标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00" w:hRule="atLeast"/>
          <w:jc w:val="center"/>
        </w:trPr>
        <w:tc>
          <w:tcPr>
            <w:tcW w:w="2693"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可持续性影响</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571" w:hRule="atLeast"/>
          <w:jc w:val="center"/>
        </w:trPr>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26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市民满意度</w:t>
            </w:r>
          </w:p>
        </w:tc>
        <w:tc>
          <w:tcPr>
            <w:tcW w:w="385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群众对环境卫生干净整洁满意度</w:t>
            </w:r>
          </w:p>
        </w:tc>
        <w:tc>
          <w:tcPr>
            <w:tcW w:w="115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问卷调查</w:t>
            </w:r>
          </w:p>
        </w:tc>
      </w:tr>
    </w:tbl>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spacing w:line="580" w:lineRule="exact"/>
        <w:ind w:left="640" w:hanging="560" w:hangingChars="200"/>
        <w:rPr>
          <w:rFonts w:hint="eastAsia" w:eastAsia="方正仿宋_GBK"/>
          <w:sz w:val="28"/>
          <w:szCs w:val="28"/>
          <w:lang w:val="en-US" w:eastAsia="zh-CN"/>
        </w:rPr>
      </w:pPr>
    </w:p>
    <w:p>
      <w:pPr>
        <w:numPr>
          <w:ilvl w:val="0"/>
          <w:numId w:val="0"/>
        </w:numPr>
        <w:spacing w:line="580" w:lineRule="exact"/>
        <w:ind w:leftChars="0"/>
        <w:rPr>
          <w:rFonts w:eastAsia="方正仿宋_GBK"/>
          <w:sz w:val="28"/>
          <w:szCs w:val="28"/>
        </w:rPr>
      </w:pPr>
    </w:p>
    <w:p>
      <w:pPr>
        <w:numPr>
          <w:ilvl w:val="0"/>
          <w:numId w:val="0"/>
        </w:numPr>
        <w:spacing w:line="580" w:lineRule="exact"/>
        <w:ind w:leftChars="0"/>
        <w:rPr>
          <w:rFonts w:eastAsia="方正仿宋_GBK"/>
          <w:sz w:val="28"/>
          <w:szCs w:val="28"/>
        </w:r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执法局2024年执法局违法停车系统维护绩效目标表</w:t>
      </w:r>
    </w:p>
    <w:p>
      <w:pPr>
        <w:numPr>
          <w:ilvl w:val="0"/>
          <w:numId w:val="0"/>
        </w:numPr>
        <w:tabs>
          <w:tab w:val="left" w:pos="12244"/>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88" w:type="dxa"/>
        <w:jc w:val="center"/>
        <w:tblLayout w:type="fixed"/>
        <w:tblCellMar>
          <w:top w:w="15" w:type="dxa"/>
          <w:left w:w="15" w:type="dxa"/>
          <w:bottom w:w="15" w:type="dxa"/>
          <w:right w:w="15" w:type="dxa"/>
        </w:tblCellMar>
      </w:tblPr>
      <w:tblGrid>
        <w:gridCol w:w="2767"/>
        <w:gridCol w:w="1844"/>
        <w:gridCol w:w="2269"/>
        <w:gridCol w:w="1221"/>
        <w:gridCol w:w="1453"/>
        <w:gridCol w:w="1194"/>
        <w:gridCol w:w="1915"/>
        <w:gridCol w:w="1525"/>
      </w:tblGrid>
      <w:tr>
        <w:tblPrEx>
          <w:tblCellMar>
            <w:top w:w="15" w:type="dxa"/>
            <w:left w:w="15" w:type="dxa"/>
            <w:bottom w:w="15" w:type="dxa"/>
            <w:right w:w="15" w:type="dxa"/>
          </w:tblCellMar>
        </w:tblPrEx>
        <w:trPr>
          <w:trHeight w:val="921"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08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eastAsia="方正仿宋_GBK"/>
                <w:sz w:val="18"/>
                <w:szCs w:val="18"/>
                <w:lang w:val="en-US" w:eastAsia="zh-CN"/>
              </w:rPr>
              <w:t>人行道以上机动车违停手持终端设备及软件所需资金</w:t>
            </w:r>
          </w:p>
        </w:tc>
      </w:tr>
      <w:tr>
        <w:tblPrEx>
          <w:tblCellMar>
            <w:top w:w="15" w:type="dxa"/>
            <w:left w:w="15" w:type="dxa"/>
            <w:bottom w:w="15" w:type="dxa"/>
            <w:right w:w="15" w:type="dxa"/>
          </w:tblCellMar>
        </w:tblPrEx>
        <w:trPr>
          <w:trHeight w:val="1434"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7.00</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7.00</w:t>
            </w:r>
          </w:p>
        </w:tc>
        <w:tc>
          <w:tcPr>
            <w:tcW w:w="119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577"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42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eastAsia="宋体"/>
                <w:color w:val="000000"/>
                <w:sz w:val="20"/>
                <w:szCs w:val="20"/>
                <w:lang w:val="en-US" w:eastAsia="zh-CN"/>
              </w:rPr>
            </w:pPr>
            <w:r>
              <w:t>确保2024年违法停车系统正常运行</w:t>
            </w:r>
            <w:r>
              <w:rPr>
                <w:rFonts w:hint="eastAsia" w:eastAsia="宋体"/>
                <w:lang w:eastAsia="zh-CN"/>
              </w:rPr>
              <w:t>。</w:t>
            </w:r>
          </w:p>
        </w:tc>
      </w:tr>
      <w:tr>
        <w:tblPrEx>
          <w:tblCellMar>
            <w:top w:w="15" w:type="dxa"/>
            <w:left w:w="15" w:type="dxa"/>
            <w:bottom w:w="15" w:type="dxa"/>
            <w:right w:w="15" w:type="dxa"/>
          </w:tblCellMar>
        </w:tblPrEx>
        <w:trPr>
          <w:trHeight w:val="100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577"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11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2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p>
        </w:tc>
        <w:tc>
          <w:tcPr>
            <w:tcW w:w="264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c>
          <w:tcPr>
            <w:tcW w:w="34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100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ascii="宋体" w:hAnsi="宋体" w:cs="宋体"/>
                <w:i w:val="0"/>
                <w:iCs w:val="0"/>
                <w:color w:val="000000"/>
                <w:kern w:val="0"/>
                <w:sz w:val="20"/>
                <w:szCs w:val="20"/>
                <w:u w:val="none"/>
                <w:lang w:val="en-US" w:eastAsia="zh-CN" w:bidi="ar"/>
              </w:rPr>
              <w:t>加强系统运维和数据检测。</w:t>
            </w:r>
          </w:p>
        </w:tc>
      </w:tr>
      <w:tr>
        <w:tblPrEx>
          <w:tblCellMar>
            <w:top w:w="15" w:type="dxa"/>
            <w:left w:w="15" w:type="dxa"/>
            <w:bottom w:w="15" w:type="dxa"/>
            <w:right w:w="15" w:type="dxa"/>
          </w:tblCellMar>
        </w:tblPrEx>
        <w:trPr>
          <w:trHeight w:val="1009"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保障综合应用平台和互联网平台间内外网数据交换率。</w:t>
            </w:r>
          </w:p>
        </w:tc>
      </w:tr>
      <w:tr>
        <w:tblPrEx>
          <w:tblCellMar>
            <w:top w:w="15" w:type="dxa"/>
            <w:left w:w="15" w:type="dxa"/>
            <w:bottom w:w="15" w:type="dxa"/>
            <w:right w:w="15" w:type="dxa"/>
          </w:tblCellMar>
        </w:tblPrEx>
        <w:trPr>
          <w:trHeight w:val="1009"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577"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r>
              <w:rPr>
                <w:rFonts w:hint="eastAsia" w:eastAsia="方正仿宋_GBK"/>
                <w:color w:val="000000"/>
                <w:sz w:val="18"/>
                <w:szCs w:val="18"/>
                <w:lang w:val="en-US" w:eastAsia="zh-CN"/>
              </w:rPr>
              <w:t>确保互联网平台信息推送任务运行稳定，确保违停提醒手机短信发送及时高效。</w:t>
            </w:r>
          </w:p>
        </w:tc>
      </w:tr>
      <w:tr>
        <w:tblPrEx>
          <w:tblCellMar>
            <w:top w:w="15" w:type="dxa"/>
            <w:left w:w="15" w:type="dxa"/>
            <w:bottom w:w="15" w:type="dxa"/>
            <w:right w:w="15" w:type="dxa"/>
          </w:tblCellMar>
        </w:tblPrEx>
        <w:trPr>
          <w:trHeight w:val="577"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86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915"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5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504"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5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569" w:hRule="atLeast"/>
          <w:jc w:val="center"/>
        </w:trPr>
        <w:tc>
          <w:tcPr>
            <w:tcW w:w="27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配置手持终端数量</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根据实际配备数量10部。</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10部</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69" w:hRule="atLeast"/>
          <w:jc w:val="center"/>
        </w:trPr>
        <w:tc>
          <w:tcPr>
            <w:tcW w:w="2767"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升级软件数量</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涉及软件套数</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1套</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69" w:hRule="atLeast"/>
          <w:jc w:val="center"/>
        </w:trPr>
        <w:tc>
          <w:tcPr>
            <w:tcW w:w="2767" w:type="dxa"/>
            <w:vMerge w:val="continue"/>
            <w:tcBorders>
              <w:left w:val="single" w:color="000000" w:sz="4" w:space="0"/>
              <w:right w:val="single" w:color="000000" w:sz="4" w:space="0"/>
            </w:tcBorders>
            <w:vAlign w:val="center"/>
          </w:tcPr>
          <w:p>
            <w:pPr>
              <w:widowControl/>
              <w:jc w:val="center"/>
              <w:textAlignment w:val="center"/>
              <w:rPr>
                <w:rFonts w:eastAsia="方正仿宋_GBK"/>
                <w:b/>
                <w:color w:val="000000"/>
                <w:kern w:val="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2269"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平台服务费</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平台数量</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1个</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732"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质量合格率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畅通率、升级率达标，</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100%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824" w:hRule="atLeast"/>
          <w:jc w:val="center"/>
        </w:trPr>
        <w:tc>
          <w:tcPr>
            <w:tcW w:w="27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69"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配备及升级完成时间</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6月</w:t>
            </w:r>
            <w:r>
              <w:rPr>
                <w:rFonts w:hint="eastAsia" w:ascii="宋体" w:hAnsi="宋体" w:cs="宋体"/>
                <w:i w:val="0"/>
                <w:iCs w:val="0"/>
                <w:color w:val="000000"/>
                <w:kern w:val="0"/>
                <w:sz w:val="20"/>
                <w:szCs w:val="20"/>
                <w:u w:val="none"/>
                <w:lang w:val="en-US" w:eastAsia="zh-CN" w:bidi="ar"/>
              </w:rPr>
              <w:t>23日</w:t>
            </w:r>
            <w:r>
              <w:rPr>
                <w:rFonts w:hint="eastAsia" w:ascii="宋体" w:hAnsi="宋体" w:eastAsia="宋体" w:cs="宋体"/>
                <w:i w:val="0"/>
                <w:iCs w:val="0"/>
                <w:color w:val="000000"/>
                <w:kern w:val="0"/>
                <w:sz w:val="20"/>
                <w:szCs w:val="20"/>
                <w:u w:val="none"/>
                <w:lang w:val="en-US" w:eastAsia="zh-CN" w:bidi="ar"/>
              </w:rPr>
              <w:t>前完成</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6月23日前</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824" w:hRule="atLeast"/>
          <w:jc w:val="center"/>
        </w:trPr>
        <w:tc>
          <w:tcPr>
            <w:tcW w:w="2767"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84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69"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86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66" w:hRule="atLeast"/>
          <w:jc w:val="center"/>
        </w:trPr>
        <w:tc>
          <w:tcPr>
            <w:tcW w:w="276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844" w:type="dxa"/>
            <w:tcBorders>
              <w:top w:val="single" w:color="auto"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69" w:type="dxa"/>
            <w:tcBorders>
              <w:top w:val="single" w:color="auto"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796"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提升人行道以上机动车管理规范率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提升人行道以上机动车管理规范率，进一步规范市容秩序。</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提升</w:t>
            </w: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65"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915"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704" w:hRule="atLeast"/>
          <w:jc w:val="center"/>
        </w:trPr>
        <w:tc>
          <w:tcPr>
            <w:tcW w:w="2767"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color w:val="000000"/>
                <w:sz w:val="18"/>
                <w:szCs w:val="18"/>
                <w:lang w:val="en-US" w:eastAsia="zh-CN"/>
              </w:rPr>
            </w:pPr>
          </w:p>
        </w:tc>
        <w:tc>
          <w:tcPr>
            <w:tcW w:w="152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808" w:hRule="atLeast"/>
          <w:jc w:val="center"/>
        </w:trPr>
        <w:tc>
          <w:tcPr>
            <w:tcW w:w="27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8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6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城乡居民满意度指标</w:t>
            </w:r>
          </w:p>
        </w:tc>
        <w:tc>
          <w:tcPr>
            <w:tcW w:w="386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城乡居民满意度指标</w:t>
            </w:r>
          </w:p>
        </w:tc>
        <w:tc>
          <w:tcPr>
            <w:tcW w:w="1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1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问卷调查</w:t>
            </w:r>
          </w:p>
        </w:tc>
      </w:tr>
    </w:tbl>
    <w:p>
      <w:pPr>
        <w:keepNext w:val="0"/>
        <w:keepLines w:val="0"/>
        <w:pageBreakBefore w:val="0"/>
        <w:widowControl/>
        <w:numPr>
          <w:ilvl w:val="0"/>
          <w:numId w:val="0"/>
        </w:numPr>
        <w:kinsoku/>
        <w:wordWrap/>
        <w:overflowPunct/>
        <w:topLinePunct w:val="0"/>
        <w:autoSpaceDE/>
        <w:autoSpaceDN/>
        <w:bidi w:val="0"/>
        <w:adjustRightInd/>
        <w:snapToGrid/>
        <w:spacing w:line="224" w:lineRule="auto"/>
        <w:jc w:val="both"/>
        <w:textAlignment w:val="auto"/>
        <w:rPr>
          <w:rFonts w:ascii="黑体" w:hAnsi="黑体" w:eastAsia="黑体" w:cs="黑体"/>
          <w:spacing w:val="8"/>
          <w:sz w:val="31"/>
          <w:szCs w:val="31"/>
        </w:rPr>
        <w:sectPr>
          <w:footerReference r:id="rId4" w:type="default"/>
          <w:pgSz w:w="16841" w:h="11900"/>
          <w:pgMar w:top="1011" w:right="1032" w:bottom="939" w:left="1025" w:header="0" w:footer="725" w:gutter="0"/>
          <w:cols w:space="720" w:num="1"/>
        </w:sect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执法局关于购置制式电瓶车项目的</w:t>
      </w:r>
      <w:r>
        <w:rPr>
          <w:rFonts w:eastAsia="方正仿宋_GBK"/>
          <w:sz w:val="28"/>
          <w:szCs w:val="28"/>
        </w:rPr>
        <w:t>绩效目标表</w:t>
      </w:r>
    </w:p>
    <w:p>
      <w:pPr>
        <w:numPr>
          <w:ilvl w:val="0"/>
          <w:numId w:val="0"/>
        </w:numPr>
        <w:tabs>
          <w:tab w:val="left" w:pos="12452"/>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65" w:type="dxa"/>
        <w:jc w:val="center"/>
        <w:tblLayout w:type="fixed"/>
        <w:tblCellMar>
          <w:top w:w="15" w:type="dxa"/>
          <w:left w:w="15" w:type="dxa"/>
          <w:bottom w:w="15" w:type="dxa"/>
          <w:right w:w="15" w:type="dxa"/>
        </w:tblCellMar>
      </w:tblPr>
      <w:tblGrid>
        <w:gridCol w:w="2702"/>
        <w:gridCol w:w="1801"/>
        <w:gridCol w:w="2215"/>
        <w:gridCol w:w="1193"/>
        <w:gridCol w:w="1420"/>
        <w:gridCol w:w="1166"/>
        <w:gridCol w:w="1870"/>
        <w:gridCol w:w="1798"/>
      </w:tblGrid>
      <w:tr>
        <w:tblPrEx>
          <w:tblCellMar>
            <w:top w:w="15" w:type="dxa"/>
            <w:left w:w="15" w:type="dxa"/>
            <w:bottom w:w="15" w:type="dxa"/>
            <w:right w:w="15" w:type="dxa"/>
          </w:tblCellMar>
        </w:tblPrEx>
        <w:trPr>
          <w:trHeight w:val="82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25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i w:val="0"/>
                <w:iCs w:val="0"/>
                <w:color w:val="000000"/>
                <w:kern w:val="0"/>
                <w:sz w:val="20"/>
                <w:szCs w:val="20"/>
                <w:u w:val="none"/>
                <w:lang w:val="en-US" w:eastAsia="zh-CN" w:bidi="ar"/>
              </w:rPr>
              <w:t>购置制式电瓶车项目所需资金</w:t>
            </w:r>
          </w:p>
        </w:tc>
      </w:tr>
      <w:tr>
        <w:tblPrEx>
          <w:tblCellMar>
            <w:top w:w="15" w:type="dxa"/>
            <w:left w:w="15" w:type="dxa"/>
            <w:bottom w:w="15" w:type="dxa"/>
            <w:right w:w="15" w:type="dxa"/>
          </w:tblCellMar>
        </w:tblPrEx>
        <w:trPr>
          <w:trHeight w:val="1515"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9</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473"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463"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20"/>
                <w:szCs w:val="20"/>
                <w:lang w:val="en-US" w:eastAsia="zh-CN"/>
              </w:rPr>
            </w:pPr>
            <w:r>
              <w:rPr>
                <w:rFonts w:hint="eastAsia" w:ascii="宋体" w:hAnsi="宋体" w:cs="宋体"/>
                <w:i w:val="0"/>
                <w:iCs w:val="0"/>
                <w:color w:val="000000"/>
                <w:kern w:val="0"/>
                <w:sz w:val="20"/>
                <w:szCs w:val="20"/>
                <w:u w:val="none"/>
                <w:lang w:val="en-US" w:eastAsia="zh-CN" w:bidi="ar"/>
              </w:rPr>
              <w:t>用于执法局购置制式电瓶车项目资金</w:t>
            </w:r>
          </w:p>
        </w:tc>
      </w:tr>
      <w:tr>
        <w:tblPrEx>
          <w:tblCellMar>
            <w:top w:w="15" w:type="dxa"/>
            <w:left w:w="15" w:type="dxa"/>
            <w:bottom w:w="15" w:type="dxa"/>
            <w:right w:w="15" w:type="dxa"/>
          </w:tblCellMar>
        </w:tblPrEx>
        <w:trPr>
          <w:trHeight w:val="821"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473"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4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1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100</w:t>
            </w:r>
          </w:p>
        </w:tc>
        <w:tc>
          <w:tcPr>
            <w:tcW w:w="25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c>
          <w:tcPr>
            <w:tcW w:w="36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821"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便于执法局静态停车管理灵活机动。</w:t>
            </w:r>
          </w:p>
        </w:tc>
      </w:tr>
      <w:tr>
        <w:tblPrEx>
          <w:tblCellMar>
            <w:top w:w="15" w:type="dxa"/>
            <w:left w:w="15" w:type="dxa"/>
            <w:bottom w:w="15" w:type="dxa"/>
            <w:right w:w="15" w:type="dxa"/>
          </w:tblCellMar>
        </w:tblPrEx>
        <w:trPr>
          <w:trHeight w:val="821"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eastAsia="方正仿宋_GBK"/>
                <w:color w:val="000000"/>
                <w:sz w:val="18"/>
                <w:szCs w:val="18"/>
                <w:lang w:val="en-US" w:eastAsia="zh-CN"/>
              </w:rPr>
              <w:t>人行道以上停车秩序规范有序</w:t>
            </w:r>
          </w:p>
        </w:tc>
      </w:tr>
      <w:tr>
        <w:tblPrEx>
          <w:tblCellMar>
            <w:top w:w="15" w:type="dxa"/>
            <w:left w:w="15" w:type="dxa"/>
            <w:bottom w:w="15" w:type="dxa"/>
            <w:right w:w="15" w:type="dxa"/>
          </w:tblCellMar>
        </w:tblPrEx>
        <w:trPr>
          <w:trHeight w:val="821"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66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473"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8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1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77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870"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7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414"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7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633" w:hRule="atLeast"/>
          <w:jc w:val="center"/>
        </w:trPr>
        <w:tc>
          <w:tcPr>
            <w:tcW w:w="27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15"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购置制式电瓶车数量</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需购置制式电瓶车20辆</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20辆</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97"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质量合格率</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购置的制式电瓶车符合工作需求</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2" w:hRule="atLeast"/>
          <w:jc w:val="center"/>
        </w:trPr>
        <w:tc>
          <w:tcPr>
            <w:tcW w:w="27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1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购置完成时限</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2024年4月之前</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2" w:hRule="atLeast"/>
          <w:jc w:val="center"/>
        </w:trPr>
        <w:tc>
          <w:tcPr>
            <w:tcW w:w="2702"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801"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15"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779"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≤100%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44" w:hRule="atLeast"/>
          <w:jc w:val="center"/>
        </w:trPr>
        <w:tc>
          <w:tcPr>
            <w:tcW w:w="270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801" w:type="dxa"/>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1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650"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营造良好的市容</w:t>
            </w:r>
            <w:r>
              <w:rPr>
                <w:rFonts w:hint="eastAsia" w:ascii="宋体" w:hAnsi="宋体" w:cs="宋体"/>
                <w:i w:val="0"/>
                <w:iCs w:val="0"/>
                <w:color w:val="000000"/>
                <w:kern w:val="0"/>
                <w:sz w:val="20"/>
                <w:szCs w:val="20"/>
                <w:u w:val="none"/>
                <w:lang w:val="en-US" w:eastAsia="zh-CN" w:bidi="ar"/>
              </w:rPr>
              <w:t>秩序</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营造良好的市容</w:t>
            </w:r>
            <w:r>
              <w:rPr>
                <w:rFonts w:hint="eastAsia" w:ascii="宋体" w:hAnsi="宋体" w:cs="宋体"/>
                <w:i w:val="0"/>
                <w:iCs w:val="0"/>
                <w:color w:val="000000"/>
                <w:kern w:val="0"/>
                <w:sz w:val="20"/>
                <w:szCs w:val="20"/>
                <w:u w:val="none"/>
                <w:lang w:val="en-US" w:eastAsia="zh-CN" w:bidi="ar"/>
              </w:rPr>
              <w:t>秩序</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提升</w:t>
            </w: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kern w:val="2"/>
                <w:sz w:val="18"/>
                <w:szCs w:val="18"/>
                <w:lang w:val="en-US" w:eastAsia="zh-CN" w:bidi="ar-SA"/>
              </w:rPr>
            </w:pPr>
            <w:r>
              <w:rPr>
                <w:rFonts w:hint="eastAsia" w:ascii="宋体" w:hAnsi="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543"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eastAsia="方正仿宋_GBK"/>
                <w:color w:val="000000"/>
                <w:sz w:val="18"/>
                <w:szCs w:val="18"/>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color w:val="000000"/>
                <w:sz w:val="18"/>
                <w:szCs w:val="18"/>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575" w:hRule="atLeast"/>
          <w:jc w:val="center"/>
        </w:trPr>
        <w:tc>
          <w:tcPr>
            <w:tcW w:w="2702"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eastAsia="方正仿宋_GBK"/>
                <w:color w:val="000000"/>
                <w:sz w:val="18"/>
                <w:szCs w:val="18"/>
                <w:lang w:val="en-US" w:eastAsia="zh-CN"/>
              </w:rPr>
            </w:pPr>
          </w:p>
        </w:tc>
        <w:tc>
          <w:tcPr>
            <w:tcW w:w="1798" w:type="dxa"/>
            <w:tcBorders>
              <w:top w:val="single" w:color="000000" w:sz="4" w:space="0"/>
              <w:left w:val="single" w:color="000000" w:sz="4" w:space="0"/>
              <w:bottom w:val="single" w:color="000000" w:sz="4" w:space="0"/>
              <w:right w:val="single" w:color="000000" w:sz="4" w:space="0"/>
            </w:tcBorders>
            <w:vAlign w:val="center"/>
          </w:tcPr>
          <w:p>
            <w:pPr>
              <w:rPr>
                <w:rFonts w:eastAsia="方正仿宋_GBK"/>
                <w:color w:val="000000"/>
                <w:sz w:val="18"/>
                <w:szCs w:val="18"/>
              </w:rPr>
            </w:pPr>
          </w:p>
        </w:tc>
      </w:tr>
      <w:tr>
        <w:tblPrEx>
          <w:tblCellMar>
            <w:top w:w="15" w:type="dxa"/>
            <w:left w:w="15" w:type="dxa"/>
            <w:bottom w:w="15" w:type="dxa"/>
            <w:right w:w="15" w:type="dxa"/>
          </w:tblCellMar>
        </w:tblPrEx>
        <w:trPr>
          <w:trHeight w:val="661" w:hRule="atLeast"/>
          <w:jc w:val="center"/>
        </w:trPr>
        <w:tc>
          <w:tcPr>
            <w:tcW w:w="2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8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cs="宋体"/>
                <w:i w:val="0"/>
                <w:iCs w:val="0"/>
                <w:color w:val="000000"/>
                <w:kern w:val="0"/>
                <w:sz w:val="20"/>
                <w:szCs w:val="20"/>
                <w:u w:val="none"/>
                <w:lang w:val="en-US" w:eastAsia="zh-CN" w:bidi="ar"/>
              </w:rPr>
              <w:t>城乡居民满意度指标</w:t>
            </w:r>
          </w:p>
        </w:tc>
        <w:tc>
          <w:tcPr>
            <w:tcW w:w="377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color w:val="000000"/>
                <w:sz w:val="18"/>
                <w:szCs w:val="18"/>
              </w:rPr>
            </w:pPr>
            <w:r>
              <w:rPr>
                <w:rFonts w:hint="eastAsia" w:ascii="宋体" w:hAnsi="宋体" w:cs="宋体"/>
                <w:i w:val="0"/>
                <w:iCs w:val="0"/>
                <w:color w:val="000000"/>
                <w:kern w:val="0"/>
                <w:sz w:val="20"/>
                <w:szCs w:val="20"/>
                <w:u w:val="none"/>
                <w:lang w:val="en-US" w:eastAsia="zh-CN" w:bidi="ar"/>
              </w:rPr>
              <w:t>城乡居民满意度指标</w:t>
            </w:r>
          </w:p>
        </w:tc>
        <w:tc>
          <w:tcPr>
            <w:tcW w:w="1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≥90%</w:t>
            </w:r>
          </w:p>
        </w:tc>
        <w:tc>
          <w:tcPr>
            <w:tcW w:w="17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问卷调查</w:t>
            </w:r>
          </w:p>
        </w:tc>
      </w:tr>
    </w:tbl>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spacing w:line="580" w:lineRule="exact"/>
        <w:ind w:left="320" w:hanging="280" w:hangingChars="100"/>
        <w:rPr>
          <w:rFonts w:hint="eastAsia" w:eastAsia="方正仿宋_GBK"/>
          <w:sz w:val="28"/>
          <w:szCs w:val="28"/>
          <w:lang w:val="en-US" w:eastAsia="zh-CN"/>
        </w:rPr>
      </w:pPr>
    </w:p>
    <w:p>
      <w:pPr>
        <w:numPr>
          <w:ilvl w:val="0"/>
          <w:numId w:val="2"/>
        </w:numPr>
        <w:spacing w:line="580" w:lineRule="exact"/>
        <w:ind w:left="0" w:leftChars="0" w:firstLine="0" w:firstLineChars="0"/>
        <w:rPr>
          <w:rFonts w:eastAsia="方正仿宋_GBK"/>
          <w:sz w:val="28"/>
          <w:szCs w:val="28"/>
        </w:rPr>
      </w:pPr>
      <w:r>
        <w:rPr>
          <w:rFonts w:hint="eastAsia" w:eastAsia="方正仿宋_GBK"/>
          <w:sz w:val="28"/>
          <w:szCs w:val="28"/>
          <w:lang w:val="en-US" w:eastAsia="zh-CN"/>
        </w:rPr>
        <w:t>执法局购买执法人员制式服装、装具费</w:t>
      </w:r>
      <w:r>
        <w:rPr>
          <w:rFonts w:eastAsia="方正仿宋_GBK"/>
          <w:sz w:val="28"/>
          <w:szCs w:val="28"/>
        </w:rPr>
        <w:t>项目绩效目标表</w:t>
      </w:r>
    </w:p>
    <w:p>
      <w:pPr>
        <w:numPr>
          <w:ilvl w:val="0"/>
          <w:numId w:val="0"/>
        </w:numPr>
        <w:tabs>
          <w:tab w:val="left" w:pos="12368"/>
        </w:tabs>
        <w:spacing w:line="580" w:lineRule="exact"/>
        <w:ind w:leftChars="0"/>
        <w:rPr>
          <w:rFonts w:hint="eastAsia" w:eastAsia="方正仿宋_GBK"/>
          <w:sz w:val="28"/>
          <w:szCs w:val="28"/>
          <w:lang w:eastAsia="zh-CN"/>
        </w:rPr>
      </w:pPr>
      <w:r>
        <w:rPr>
          <w:rFonts w:hint="eastAsia" w:eastAsia="方正仿宋_GBK"/>
          <w:sz w:val="28"/>
          <w:szCs w:val="28"/>
          <w:lang w:eastAsia="zh-CN"/>
        </w:rPr>
        <w:tab/>
      </w:r>
      <w:r>
        <w:t>单位：万元</w:t>
      </w:r>
    </w:p>
    <w:tbl>
      <w:tblPr>
        <w:tblStyle w:val="7"/>
        <w:tblW w:w="14187" w:type="dxa"/>
        <w:jc w:val="center"/>
        <w:tblLayout w:type="fixed"/>
        <w:tblCellMar>
          <w:top w:w="15" w:type="dxa"/>
          <w:left w:w="15" w:type="dxa"/>
          <w:bottom w:w="15" w:type="dxa"/>
          <w:right w:w="15" w:type="dxa"/>
        </w:tblCellMar>
      </w:tblPr>
      <w:tblGrid>
        <w:gridCol w:w="2678"/>
        <w:gridCol w:w="1784"/>
        <w:gridCol w:w="2200"/>
        <w:gridCol w:w="1179"/>
        <w:gridCol w:w="1405"/>
        <w:gridCol w:w="1154"/>
        <w:gridCol w:w="1853"/>
        <w:gridCol w:w="1934"/>
      </w:tblGrid>
      <w:tr>
        <w:tblPrEx>
          <w:tblCellMar>
            <w:top w:w="15" w:type="dxa"/>
            <w:left w:w="15" w:type="dxa"/>
            <w:bottom w:w="15" w:type="dxa"/>
            <w:right w:w="15" w:type="dxa"/>
          </w:tblCellMar>
        </w:tblPrEx>
        <w:trPr>
          <w:trHeight w:val="1044" w:hRule="atLeast"/>
          <w:jc w:val="center"/>
        </w:trPr>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项目编码</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项目名称</w:t>
            </w:r>
          </w:p>
        </w:tc>
        <w:tc>
          <w:tcPr>
            <w:tcW w:w="634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eastAsia="方正仿宋_GBK"/>
                <w:sz w:val="18"/>
                <w:szCs w:val="18"/>
                <w:lang w:val="en-US" w:eastAsia="zh-CN"/>
              </w:rPr>
              <w:t>购买执法人员制式服装、装具费</w:t>
            </w: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20"/>
                <w:szCs w:val="20"/>
              </w:rPr>
            </w:pPr>
            <w:r>
              <w:rPr>
                <w:rFonts w:eastAsia="方正仿宋_GBK"/>
                <w:b/>
                <w:color w:val="000000"/>
                <w:kern w:val="0"/>
                <w:sz w:val="20"/>
                <w:szCs w:val="20"/>
              </w:rPr>
              <w:t>预算规模及资金用途</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预算数</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r>
              <w:rPr>
                <w:rFonts w:hint="eastAsia" w:ascii="宋体" w:hAnsi="宋体" w:cs="宋体"/>
                <w:b/>
                <w:bCs/>
                <w:i w:val="0"/>
                <w:iCs w:val="0"/>
                <w:color w:val="000000"/>
                <w:kern w:val="0"/>
                <w:sz w:val="20"/>
                <w:szCs w:val="20"/>
                <w:u w:val="none"/>
                <w:lang w:val="en-US" w:eastAsia="zh-CN" w:bidi="ar"/>
              </w:rPr>
              <w:t>10</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其中：财政资金</w:t>
            </w:r>
          </w:p>
        </w:tc>
        <w:tc>
          <w:tcPr>
            <w:tcW w:w="14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rPr>
            </w:pPr>
            <w:r>
              <w:rPr>
                <w:rFonts w:hint="eastAsia" w:ascii="宋体" w:hAnsi="宋体" w:cs="宋体"/>
                <w:b/>
                <w:bCs/>
                <w:i w:val="0"/>
                <w:iCs w:val="0"/>
                <w:color w:val="000000"/>
                <w:kern w:val="0"/>
                <w:sz w:val="20"/>
                <w:szCs w:val="20"/>
                <w:u w:val="none"/>
                <w:lang w:val="en-US" w:eastAsia="zh-CN" w:bidi="ar"/>
              </w:rPr>
              <w:t>10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20"/>
                <w:szCs w:val="20"/>
              </w:rPr>
            </w:pPr>
            <w:r>
              <w:rPr>
                <w:rFonts w:hint="eastAsia" w:ascii="宋体" w:hAnsi="宋体" w:eastAsia="宋体" w:cs="宋体"/>
                <w:b/>
                <w:bCs/>
                <w:i w:val="0"/>
                <w:iCs w:val="0"/>
                <w:color w:val="000000"/>
                <w:kern w:val="0"/>
                <w:sz w:val="20"/>
                <w:szCs w:val="20"/>
                <w:u w:val="none"/>
                <w:lang w:val="en-US" w:eastAsia="zh-CN" w:bidi="ar"/>
              </w:rPr>
              <w:t>其他资金</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b/>
                <w:color w:val="000000"/>
                <w:sz w:val="20"/>
                <w:szCs w:val="20"/>
                <w:lang w:val="en-US" w:eastAsia="zh-CN"/>
              </w:rPr>
            </w:pP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20"/>
                <w:szCs w:val="20"/>
              </w:rPr>
            </w:pPr>
          </w:p>
        </w:tc>
        <w:tc>
          <w:tcPr>
            <w:tcW w:w="1150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20"/>
                <w:szCs w:val="20"/>
                <w:lang w:val="en-US" w:eastAsia="zh-CN"/>
              </w:rPr>
            </w:pPr>
            <w:r>
              <w:rPr>
                <w:rFonts w:hint="eastAsia" w:ascii="宋体" w:hAnsi="宋体" w:cs="宋体"/>
                <w:i w:val="0"/>
                <w:iCs w:val="0"/>
                <w:color w:val="000000"/>
                <w:kern w:val="0"/>
                <w:sz w:val="20"/>
                <w:szCs w:val="20"/>
                <w:u w:val="none"/>
                <w:lang w:val="en-US" w:eastAsia="zh-CN" w:bidi="ar"/>
              </w:rPr>
              <w:t>用于从交通、卫健部门转到我单位从事城市管理工作的45人的执法制式服装、装具费用。</w:t>
            </w: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资金支出计划（%）</w:t>
            </w: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3月底</w:t>
            </w: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6月底</w:t>
            </w: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10月底</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12月底</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3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b/>
                <w:color w:val="000000"/>
                <w:sz w:val="18"/>
                <w:szCs w:val="18"/>
                <w:lang w:val="en-US" w:eastAsia="zh-CN"/>
              </w:rPr>
            </w:pPr>
          </w:p>
        </w:tc>
        <w:tc>
          <w:tcPr>
            <w:tcW w:w="11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eastAsia="方正仿宋_GBK"/>
                <w:color w:val="000000"/>
                <w:sz w:val="18"/>
                <w:szCs w:val="18"/>
                <w:lang w:val="en-US" w:eastAsia="zh-CN"/>
              </w:rPr>
            </w:pPr>
          </w:p>
        </w:tc>
        <w:tc>
          <w:tcPr>
            <w:tcW w:w="255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378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绩效目标</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目标1</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eastAsia="zh-CN"/>
              </w:rPr>
            </w:pPr>
            <w:r>
              <w:rPr>
                <w:rFonts w:hint="eastAsia" w:ascii="宋体" w:hAnsi="宋体" w:cs="宋体"/>
                <w:i w:val="0"/>
                <w:iCs w:val="0"/>
                <w:color w:val="000000"/>
                <w:kern w:val="0"/>
                <w:sz w:val="20"/>
                <w:szCs w:val="20"/>
                <w:u w:val="none"/>
                <w:lang w:val="en-US" w:eastAsia="zh-CN" w:bidi="ar"/>
              </w:rPr>
              <w:t>购买制式服装，</w:t>
            </w:r>
            <w:r>
              <w:rPr>
                <w:rFonts w:hint="eastAsia" w:ascii="宋体" w:hAnsi="宋体" w:eastAsia="宋体" w:cs="宋体"/>
                <w:i w:val="0"/>
                <w:iCs w:val="0"/>
                <w:color w:val="000000"/>
                <w:kern w:val="0"/>
                <w:sz w:val="20"/>
                <w:szCs w:val="20"/>
                <w:u w:val="none"/>
                <w:lang w:val="en-US" w:eastAsia="zh-CN" w:bidi="ar"/>
              </w:rPr>
              <w:t>严格落实着装上岗，着装统一、规范执法。不断树立良好的执法形象。</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目标2</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eastAsia="方正仿宋_GBK"/>
                <w:color w:val="000000"/>
                <w:sz w:val="18"/>
                <w:szCs w:val="18"/>
                <w:lang w:val="en-US"/>
              </w:rPr>
            </w:pPr>
            <w:r>
              <w:rPr>
                <w:rFonts w:hint="eastAsia" w:ascii="宋体" w:hAnsi="宋体" w:eastAsia="宋体" w:cs="宋体"/>
                <w:i w:val="0"/>
                <w:iCs w:val="0"/>
                <w:color w:val="000000"/>
                <w:kern w:val="0"/>
                <w:sz w:val="20"/>
                <w:szCs w:val="20"/>
                <w:u w:val="none"/>
                <w:lang w:val="en-US" w:eastAsia="zh-CN" w:bidi="ar"/>
              </w:rPr>
              <w:t>达到进一步规范执法行为</w:t>
            </w:r>
            <w:r>
              <w:rPr>
                <w:rFonts w:hint="eastAsia" w:ascii="宋体" w:hAnsi="宋体" w:cs="宋体"/>
                <w:i w:val="0"/>
                <w:iCs w:val="0"/>
                <w:color w:val="000000"/>
                <w:kern w:val="0"/>
                <w:sz w:val="20"/>
                <w:szCs w:val="20"/>
                <w:u w:val="none"/>
                <w:lang w:val="en-US" w:eastAsia="zh-CN" w:bidi="ar"/>
              </w:rPr>
              <w:t>的目的。</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eastAsia="方正仿宋_GBK"/>
                <w:b/>
                <w:color w:val="000000"/>
                <w:sz w:val="18"/>
                <w:szCs w:val="18"/>
              </w:rPr>
            </w:pPr>
            <w:r>
              <w:rPr>
                <w:rFonts w:hint="eastAsia" w:ascii="宋体" w:hAnsi="宋体" w:eastAsia="宋体" w:cs="宋体"/>
                <w:b/>
                <w:bCs/>
                <w:i w:val="0"/>
                <w:iCs w:val="0"/>
                <w:color w:val="000000"/>
                <w:kern w:val="0"/>
                <w:sz w:val="20"/>
                <w:szCs w:val="20"/>
                <w:u w:val="none"/>
                <w:lang w:val="en-US" w:eastAsia="zh-CN" w:bidi="ar"/>
              </w:rPr>
              <w:t>目标3</w:t>
            </w:r>
          </w:p>
        </w:tc>
        <w:tc>
          <w:tcPr>
            <w:tcW w:w="9725"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eastAsia="方正仿宋_GBK"/>
                <w:color w:val="000000"/>
                <w:sz w:val="18"/>
                <w:szCs w:val="18"/>
                <w:lang w:val="en-US" w:eastAsia="zh-CN"/>
              </w:rPr>
            </w:pP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一级指标</w:t>
            </w:r>
          </w:p>
        </w:tc>
        <w:tc>
          <w:tcPr>
            <w:tcW w:w="178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二级指标</w:t>
            </w:r>
          </w:p>
        </w:tc>
        <w:tc>
          <w:tcPr>
            <w:tcW w:w="2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三级指标</w:t>
            </w:r>
          </w:p>
        </w:tc>
        <w:tc>
          <w:tcPr>
            <w:tcW w:w="373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绩效指标描述</w:t>
            </w:r>
          </w:p>
        </w:tc>
        <w:tc>
          <w:tcPr>
            <w:tcW w:w="1853" w:type="dxa"/>
            <w:vMerge w:val="restart"/>
            <w:tcBorders>
              <w:top w:val="single" w:color="000000" w:sz="4" w:space="0"/>
              <w:left w:val="single" w:color="000000" w:sz="4" w:space="0"/>
              <w:bottom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w:t>
            </w:r>
          </w:p>
        </w:tc>
        <w:tc>
          <w:tcPr>
            <w:tcW w:w="19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b/>
                <w:color w:val="000000"/>
                <w:sz w:val="18"/>
                <w:szCs w:val="18"/>
              </w:rPr>
            </w:pPr>
            <w:r>
              <w:rPr>
                <w:rFonts w:hint="eastAsia" w:ascii="黑体" w:hAnsi="宋体" w:eastAsia="黑体" w:cs="黑体"/>
                <w:b/>
                <w:bCs/>
                <w:i w:val="0"/>
                <w:iCs w:val="0"/>
                <w:color w:val="000000"/>
                <w:kern w:val="0"/>
                <w:sz w:val="20"/>
                <w:szCs w:val="20"/>
                <w:u w:val="none"/>
                <w:lang w:val="en-US" w:eastAsia="zh-CN" w:bidi="ar"/>
              </w:rPr>
              <w:t>指标值确定依据</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2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0" w:type="auto"/>
            <w:vMerge w:val="continue"/>
            <w:tcBorders>
              <w:top w:val="single" w:color="000000" w:sz="4" w:space="0"/>
              <w:left w:val="single" w:color="000000" w:sz="4" w:space="0"/>
              <w:bottom w:val="single" w:color="000000" w:sz="4" w:space="0"/>
            </w:tcBorders>
            <w:vAlign w:val="center"/>
          </w:tcPr>
          <w:p>
            <w:pPr>
              <w:jc w:val="center"/>
              <w:rPr>
                <w:rFonts w:eastAsia="方正仿宋_GBK"/>
                <w:b/>
                <w:color w:val="000000"/>
                <w:sz w:val="18"/>
                <w:szCs w:val="18"/>
              </w:rPr>
            </w:pPr>
          </w:p>
        </w:tc>
        <w:tc>
          <w:tcPr>
            <w:tcW w:w="19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r>
      <w:tr>
        <w:tblPrEx>
          <w:tblCellMar>
            <w:top w:w="15" w:type="dxa"/>
            <w:left w:w="15" w:type="dxa"/>
            <w:bottom w:w="15" w:type="dxa"/>
            <w:right w:w="15" w:type="dxa"/>
          </w:tblCellMar>
        </w:tblPrEx>
        <w:trPr>
          <w:trHeight w:val="1044" w:hRule="atLeast"/>
          <w:jc w:val="center"/>
        </w:trPr>
        <w:tc>
          <w:tcPr>
            <w:tcW w:w="26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产出指标</w:t>
            </w:r>
          </w:p>
        </w:tc>
        <w:tc>
          <w:tcPr>
            <w:tcW w:w="178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数量指标</w:t>
            </w:r>
          </w:p>
        </w:tc>
        <w:tc>
          <w:tcPr>
            <w:tcW w:w="2200"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购买服装、装具数量</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执法人员根据文件配备标准，需购买数量</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45套</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质量指标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质量合格率</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购买的服装、装具全部达标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74" w:hRule="atLeast"/>
          <w:jc w:val="center"/>
        </w:trPr>
        <w:tc>
          <w:tcPr>
            <w:tcW w:w="26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时效指标</w:t>
            </w:r>
          </w:p>
        </w:tc>
        <w:tc>
          <w:tcPr>
            <w:tcW w:w="22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服装、装具到位时间</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6月底前</w:t>
            </w:r>
            <w:r>
              <w:rPr>
                <w:rFonts w:hint="eastAsia" w:ascii="宋体" w:hAnsi="宋体" w:cs="宋体"/>
                <w:i w:val="0"/>
                <w:iCs w:val="0"/>
                <w:color w:val="000000"/>
                <w:kern w:val="0"/>
                <w:sz w:val="20"/>
                <w:szCs w:val="20"/>
                <w:u w:val="none"/>
                <w:lang w:val="en-US" w:eastAsia="zh-CN" w:bidi="ar"/>
              </w:rPr>
              <w:t>到位</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6月底前</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方正仿宋_GBK"/>
                <w:b/>
                <w:color w:val="000000"/>
                <w:sz w:val="18"/>
                <w:szCs w:val="18"/>
              </w:rPr>
            </w:pPr>
          </w:p>
        </w:tc>
        <w:tc>
          <w:tcPr>
            <w:tcW w:w="1784" w:type="dxa"/>
            <w:tcBorders>
              <w:top w:val="single" w:color="auto"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成本指标</w:t>
            </w:r>
          </w:p>
        </w:tc>
        <w:tc>
          <w:tcPr>
            <w:tcW w:w="2200" w:type="dxa"/>
            <w:tcBorders>
              <w:top w:val="single" w:color="auto" w:sz="4" w:space="0"/>
              <w:left w:val="single" w:color="000000"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r>
              <w:rPr>
                <w:rFonts w:hint="default" w:ascii="宋体" w:hAnsi="宋体" w:eastAsia="宋体" w:cs="宋体"/>
                <w:i w:val="0"/>
                <w:iCs w:val="0"/>
                <w:color w:val="000000"/>
                <w:kern w:val="0"/>
                <w:sz w:val="20"/>
                <w:szCs w:val="20"/>
                <w:u w:val="none"/>
                <w:lang w:val="en-US" w:eastAsia="zh-CN" w:bidi="ar"/>
              </w:rPr>
              <w:t>成本控制</w:t>
            </w:r>
          </w:p>
        </w:tc>
        <w:tc>
          <w:tcPr>
            <w:tcW w:w="3738" w:type="dxa"/>
            <w:gridSpan w:val="3"/>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实际支付/预算资金*100%</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效果指标</w:t>
            </w:r>
          </w:p>
        </w:tc>
        <w:tc>
          <w:tcPr>
            <w:tcW w:w="1784" w:type="dxa"/>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经济效益指标</w:t>
            </w:r>
          </w:p>
        </w:tc>
        <w:tc>
          <w:tcPr>
            <w:tcW w:w="22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1474"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社会效益指标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规范执法行为</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文明规范、着装统一，执法形象，达到进一步规范执法行为的目的。</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进一步规范</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工作计划</w:t>
            </w:r>
          </w:p>
        </w:tc>
      </w:tr>
      <w:tr>
        <w:tblPrEx>
          <w:tblCellMar>
            <w:top w:w="15" w:type="dxa"/>
            <w:left w:w="15" w:type="dxa"/>
            <w:bottom w:w="15" w:type="dxa"/>
            <w:right w:w="15" w:type="dxa"/>
          </w:tblCellMar>
        </w:tblPrEx>
        <w:trPr>
          <w:trHeight w:val="616"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生态效益指标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616" w:hRule="atLeast"/>
          <w:jc w:val="center"/>
        </w:trPr>
        <w:tc>
          <w:tcPr>
            <w:tcW w:w="2678" w:type="dxa"/>
            <w:vMerge w:val="continue"/>
            <w:tcBorders>
              <w:left w:val="single" w:color="000000" w:sz="4" w:space="0"/>
              <w:right w:val="single" w:color="000000" w:sz="4" w:space="0"/>
            </w:tcBorders>
            <w:vAlign w:val="center"/>
          </w:tcPr>
          <w:p>
            <w:pPr>
              <w:jc w:val="center"/>
              <w:rPr>
                <w:rFonts w:eastAsia="方正仿宋_GBK"/>
                <w:b/>
                <w:color w:val="000000"/>
                <w:sz w:val="18"/>
                <w:szCs w:val="18"/>
              </w:rPr>
            </w:pP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kern w:val="0"/>
                <w:sz w:val="18"/>
                <w:szCs w:val="18"/>
              </w:rPr>
            </w:pPr>
            <w:r>
              <w:rPr>
                <w:rFonts w:hint="eastAsia" w:ascii="宋体" w:hAnsi="宋体" w:eastAsia="宋体" w:cs="宋体"/>
                <w:i w:val="0"/>
                <w:iCs w:val="0"/>
                <w:color w:val="000000"/>
                <w:kern w:val="0"/>
                <w:sz w:val="20"/>
                <w:szCs w:val="20"/>
                <w:u w:val="none"/>
                <w:lang w:val="en-US" w:eastAsia="zh-CN" w:bidi="ar"/>
              </w:rPr>
              <w:t>可持续性影响</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CellMar>
            <w:top w:w="15" w:type="dxa"/>
            <w:left w:w="15" w:type="dxa"/>
            <w:bottom w:w="15" w:type="dxa"/>
            <w:right w:w="15" w:type="dxa"/>
          </w:tblCellMar>
        </w:tblPrEx>
        <w:trPr>
          <w:trHeight w:val="1094" w:hRule="atLeast"/>
          <w:jc w:val="center"/>
        </w:trPr>
        <w:tc>
          <w:tcPr>
            <w:tcW w:w="26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方正仿宋_GBK"/>
                <w:b/>
                <w:color w:val="000000"/>
                <w:sz w:val="18"/>
                <w:szCs w:val="18"/>
              </w:rPr>
            </w:pPr>
            <w:r>
              <w:rPr>
                <w:rFonts w:eastAsia="方正仿宋_GBK"/>
                <w:b/>
                <w:color w:val="000000"/>
                <w:kern w:val="0"/>
                <w:sz w:val="18"/>
                <w:szCs w:val="18"/>
              </w:rPr>
              <w:t>满意度指标</w:t>
            </w:r>
          </w:p>
        </w:tc>
        <w:tc>
          <w:tcPr>
            <w:tcW w:w="17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eastAsia="方正仿宋_GBK"/>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执法人员满意度指标</w:t>
            </w:r>
          </w:p>
        </w:tc>
        <w:tc>
          <w:tcPr>
            <w:tcW w:w="373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执法人员满意度指标</w:t>
            </w:r>
          </w:p>
        </w:tc>
        <w:tc>
          <w:tcPr>
            <w:tcW w:w="1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问卷调查</w:t>
            </w:r>
          </w:p>
        </w:tc>
      </w:tr>
    </w:tbl>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rPr>
          <w:rFonts w:hint="eastAsia" w:ascii="方正仿宋_GBK" w:hAnsi="方正仿宋_GBK" w:eastAsia="方正仿宋_GBK" w:cs="方正仿宋_GBK"/>
          <w:color w:val="000000"/>
          <w:sz w:val="28"/>
          <w:lang w:val="en-US" w:eastAsia="zh-CN"/>
        </w:r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2024年人员工资绩效目标表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13063024P00001610001E</w:t>
            </w:r>
          </w:p>
        </w:tc>
        <w:tc>
          <w:tcPr>
            <w:tcW w:w="2835" w:type="dxa"/>
            <w:vAlign w:val="center"/>
          </w:tcPr>
          <w:p>
            <w:pPr>
              <w:pStyle w:val="13"/>
            </w:pPr>
            <w:r>
              <w:t>项目名称</w:t>
            </w:r>
          </w:p>
        </w:tc>
        <w:tc>
          <w:tcPr>
            <w:tcW w:w="6094" w:type="dxa"/>
            <w:gridSpan w:val="3"/>
            <w:vAlign w:val="center"/>
          </w:tcPr>
          <w:p>
            <w:pPr>
              <w:pStyle w:val="15"/>
            </w:pPr>
            <w:r>
              <w:t>2024年人员工资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8.00</w:t>
            </w:r>
          </w:p>
        </w:tc>
        <w:tc>
          <w:tcPr>
            <w:tcW w:w="2835" w:type="dxa"/>
            <w:vAlign w:val="center"/>
          </w:tcPr>
          <w:p>
            <w:pPr>
              <w:pStyle w:val="13"/>
            </w:pPr>
            <w:r>
              <w:t>其中：财政    资金</w:t>
            </w:r>
          </w:p>
        </w:tc>
        <w:tc>
          <w:tcPr>
            <w:tcW w:w="2551" w:type="dxa"/>
            <w:vAlign w:val="center"/>
          </w:tcPr>
          <w:p>
            <w:pPr>
              <w:pStyle w:val="15"/>
            </w:pPr>
            <w:r>
              <w:t>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用于2024年人员部分津贴补贴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工作热情高，完成任务好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1"/>
        <w:gridCol w:w="2111"/>
        <w:gridCol w:w="2111"/>
        <w:gridCol w:w="4222"/>
        <w:gridCol w:w="2111"/>
        <w:gridCol w:w="21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tblHeader/>
          <w:jc w:val="center"/>
        </w:trPr>
        <w:tc>
          <w:tcPr>
            <w:tcW w:w="2111" w:type="dxa"/>
            <w:vAlign w:val="center"/>
          </w:tcPr>
          <w:p>
            <w:pPr>
              <w:pStyle w:val="13"/>
            </w:pPr>
            <w:r>
              <w:t>一级指标</w:t>
            </w:r>
          </w:p>
        </w:tc>
        <w:tc>
          <w:tcPr>
            <w:tcW w:w="2111" w:type="dxa"/>
            <w:vAlign w:val="center"/>
          </w:tcPr>
          <w:p>
            <w:pPr>
              <w:pStyle w:val="13"/>
            </w:pPr>
            <w:r>
              <w:t>二级指标</w:t>
            </w:r>
          </w:p>
        </w:tc>
        <w:tc>
          <w:tcPr>
            <w:tcW w:w="2111" w:type="dxa"/>
            <w:vAlign w:val="center"/>
          </w:tcPr>
          <w:p>
            <w:pPr>
              <w:pStyle w:val="13"/>
            </w:pPr>
            <w:r>
              <w:t>三级指标</w:t>
            </w:r>
          </w:p>
        </w:tc>
        <w:tc>
          <w:tcPr>
            <w:tcW w:w="4222" w:type="dxa"/>
            <w:vAlign w:val="center"/>
          </w:tcPr>
          <w:p>
            <w:pPr>
              <w:pStyle w:val="13"/>
            </w:pPr>
            <w:r>
              <w:t>绩效指标描述</w:t>
            </w:r>
          </w:p>
        </w:tc>
        <w:tc>
          <w:tcPr>
            <w:tcW w:w="2111" w:type="dxa"/>
            <w:vAlign w:val="center"/>
          </w:tcPr>
          <w:p>
            <w:pPr>
              <w:pStyle w:val="13"/>
            </w:pPr>
            <w:r>
              <w:t>指标值</w:t>
            </w:r>
          </w:p>
        </w:tc>
        <w:tc>
          <w:tcPr>
            <w:tcW w:w="2111"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restart"/>
            <w:vAlign w:val="center"/>
          </w:tcPr>
          <w:p>
            <w:pPr>
              <w:pStyle w:val="16"/>
            </w:pPr>
            <w:r>
              <w:t>产出指标</w:t>
            </w:r>
          </w:p>
        </w:tc>
        <w:tc>
          <w:tcPr>
            <w:tcW w:w="2111" w:type="dxa"/>
            <w:vAlign w:val="center"/>
          </w:tcPr>
          <w:p>
            <w:pPr>
              <w:pStyle w:val="15"/>
              <w:rPr>
                <w:rFonts w:hint="eastAsia" w:ascii="宋体" w:hAnsi="宋体" w:eastAsia="宋体" w:cs="宋体"/>
              </w:rPr>
            </w:pPr>
            <w:r>
              <w:rPr>
                <w:rFonts w:hint="eastAsia" w:ascii="宋体" w:hAnsi="宋体" w:eastAsia="宋体" w:cs="宋体"/>
              </w:rPr>
              <w:t>数量指标</w:t>
            </w:r>
          </w:p>
        </w:tc>
        <w:tc>
          <w:tcPr>
            <w:tcW w:w="2111" w:type="dxa"/>
            <w:vAlign w:val="center"/>
          </w:tcPr>
          <w:p>
            <w:pPr>
              <w:pStyle w:val="15"/>
              <w:rPr>
                <w:rFonts w:hint="eastAsia" w:ascii="宋体" w:hAnsi="宋体" w:eastAsia="宋体" w:cs="宋体"/>
              </w:rPr>
            </w:pPr>
            <w:r>
              <w:rPr>
                <w:rFonts w:hint="eastAsia" w:ascii="宋体" w:hAnsi="宋体" w:eastAsia="宋体" w:cs="宋体"/>
              </w:rPr>
              <w:t>安排数量指标</w:t>
            </w:r>
          </w:p>
        </w:tc>
        <w:tc>
          <w:tcPr>
            <w:tcW w:w="4222" w:type="dxa"/>
            <w:vAlign w:val="center"/>
          </w:tcPr>
          <w:p>
            <w:pPr>
              <w:pStyle w:val="15"/>
              <w:rPr>
                <w:rFonts w:hint="eastAsia" w:ascii="宋体" w:hAnsi="宋体" w:eastAsia="宋体" w:cs="宋体"/>
              </w:rPr>
            </w:pPr>
            <w:r>
              <w:rPr>
                <w:rFonts w:hint="eastAsia" w:ascii="宋体" w:hAnsi="宋体" w:eastAsia="宋体" w:cs="宋体"/>
              </w:rPr>
              <w:t>安排数量指标</w:t>
            </w:r>
          </w:p>
        </w:tc>
        <w:tc>
          <w:tcPr>
            <w:tcW w:w="2111" w:type="dxa"/>
            <w:vAlign w:val="center"/>
          </w:tcPr>
          <w:p>
            <w:pPr>
              <w:pStyle w:val="15"/>
              <w:rPr>
                <w:rFonts w:hint="eastAsia" w:ascii="宋体" w:hAnsi="宋体" w:eastAsia="宋体" w:cs="宋体"/>
              </w:rPr>
            </w:pPr>
            <w:r>
              <w:rPr>
                <w:rFonts w:hint="eastAsia" w:ascii="宋体" w:hAnsi="宋体" w:eastAsia="宋体" w:cs="宋体"/>
              </w:rPr>
              <w:t>8万元</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质量指标</w:t>
            </w:r>
          </w:p>
        </w:tc>
        <w:tc>
          <w:tcPr>
            <w:tcW w:w="2111" w:type="dxa"/>
            <w:vAlign w:val="center"/>
          </w:tcPr>
          <w:p>
            <w:pPr>
              <w:pStyle w:val="15"/>
              <w:rPr>
                <w:rFonts w:hint="eastAsia" w:ascii="宋体" w:hAnsi="宋体" w:eastAsia="宋体" w:cs="宋体"/>
              </w:rPr>
            </w:pPr>
            <w:r>
              <w:rPr>
                <w:rFonts w:hint="eastAsia" w:ascii="宋体" w:hAnsi="宋体" w:eastAsia="宋体" w:cs="宋体"/>
              </w:rPr>
              <w:t>质量完成率</w:t>
            </w:r>
          </w:p>
        </w:tc>
        <w:tc>
          <w:tcPr>
            <w:tcW w:w="4222" w:type="dxa"/>
            <w:vAlign w:val="center"/>
          </w:tcPr>
          <w:p>
            <w:pPr>
              <w:pStyle w:val="15"/>
              <w:rPr>
                <w:rFonts w:hint="eastAsia" w:ascii="宋体" w:hAnsi="宋体" w:eastAsia="宋体" w:cs="宋体"/>
              </w:rPr>
            </w:pPr>
            <w:r>
              <w:rPr>
                <w:rFonts w:hint="eastAsia" w:ascii="宋体" w:hAnsi="宋体" w:eastAsia="宋体" w:cs="宋体"/>
              </w:rPr>
              <w:t>质量完成率</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时效指标</w:t>
            </w:r>
          </w:p>
        </w:tc>
        <w:tc>
          <w:tcPr>
            <w:tcW w:w="2111" w:type="dxa"/>
            <w:vAlign w:val="center"/>
          </w:tcPr>
          <w:p>
            <w:pPr>
              <w:pStyle w:val="15"/>
              <w:rPr>
                <w:rFonts w:hint="eastAsia" w:ascii="宋体" w:hAnsi="宋体" w:eastAsia="宋体" w:cs="宋体"/>
              </w:rPr>
            </w:pPr>
            <w:r>
              <w:rPr>
                <w:rFonts w:hint="eastAsia" w:ascii="宋体" w:hAnsi="宋体" w:eastAsia="宋体" w:cs="宋体"/>
              </w:rPr>
              <w:t>按时支付率</w:t>
            </w:r>
          </w:p>
        </w:tc>
        <w:tc>
          <w:tcPr>
            <w:tcW w:w="4222" w:type="dxa"/>
            <w:vAlign w:val="center"/>
          </w:tcPr>
          <w:p>
            <w:pPr>
              <w:pStyle w:val="15"/>
              <w:rPr>
                <w:rFonts w:hint="eastAsia" w:ascii="宋体" w:hAnsi="宋体" w:eastAsia="宋体" w:cs="宋体"/>
              </w:rPr>
            </w:pPr>
            <w:r>
              <w:rPr>
                <w:rFonts w:hint="eastAsia" w:ascii="宋体" w:hAnsi="宋体" w:eastAsia="宋体" w:cs="宋体"/>
              </w:rPr>
              <w:t>按时支付率</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pStyle w:val="15"/>
              <w:rPr>
                <w:rFonts w:hint="eastAsia" w:ascii="宋体" w:hAnsi="宋体" w:eastAsia="宋体" w:cs="宋体"/>
              </w:rPr>
            </w:pPr>
            <w:r>
              <w:rPr>
                <w:rFonts w:hint="eastAsia" w:ascii="宋体" w:hAnsi="宋体" w:eastAsia="宋体" w:cs="宋体"/>
              </w:rPr>
              <w:t>成本指标</w:t>
            </w:r>
          </w:p>
        </w:tc>
        <w:tc>
          <w:tcPr>
            <w:tcW w:w="2111" w:type="dxa"/>
            <w:vAlign w:val="center"/>
          </w:tcPr>
          <w:p>
            <w:pPr>
              <w:pStyle w:val="15"/>
              <w:rPr>
                <w:rFonts w:hint="eastAsia" w:ascii="宋体" w:hAnsi="宋体" w:eastAsia="宋体" w:cs="宋体"/>
              </w:rPr>
            </w:pPr>
            <w:r>
              <w:rPr>
                <w:rFonts w:hint="eastAsia" w:ascii="宋体" w:hAnsi="宋体" w:eastAsia="宋体" w:cs="宋体"/>
              </w:rPr>
              <w:t>成本控制</w:t>
            </w:r>
          </w:p>
        </w:tc>
        <w:tc>
          <w:tcPr>
            <w:tcW w:w="4222" w:type="dxa"/>
            <w:vAlign w:val="center"/>
          </w:tcPr>
          <w:p>
            <w:pPr>
              <w:pStyle w:val="15"/>
              <w:rPr>
                <w:rFonts w:hint="eastAsia" w:ascii="宋体" w:hAnsi="宋体" w:eastAsia="宋体" w:cs="宋体"/>
              </w:rPr>
            </w:pPr>
            <w:r>
              <w:rPr>
                <w:rFonts w:hint="eastAsia" w:ascii="宋体" w:hAnsi="宋体" w:eastAsia="宋体" w:cs="宋体"/>
              </w:rPr>
              <w:t>实际支付/预算资金*100%</w:t>
            </w:r>
          </w:p>
        </w:tc>
        <w:tc>
          <w:tcPr>
            <w:tcW w:w="2111" w:type="dxa"/>
            <w:vAlign w:val="center"/>
          </w:tcPr>
          <w:p>
            <w:pPr>
              <w:pStyle w:val="15"/>
              <w:rPr>
                <w:rFonts w:hint="eastAsia" w:ascii="宋体" w:hAnsi="宋体" w:eastAsia="宋体" w:cs="宋体"/>
              </w:rPr>
            </w:pPr>
            <w:r>
              <w:rPr>
                <w:rFonts w:hint="eastAsia" w:ascii="宋体" w:hAnsi="宋体" w:eastAsia="宋体" w:cs="宋体"/>
              </w:rPr>
              <w:t>≤100百分比</w:t>
            </w:r>
          </w:p>
        </w:tc>
        <w:tc>
          <w:tcPr>
            <w:tcW w:w="2111" w:type="dxa"/>
            <w:vAlign w:val="center"/>
          </w:tcPr>
          <w:p>
            <w:pPr>
              <w:pStyle w:val="15"/>
              <w:rPr>
                <w:rFonts w:hint="eastAsia" w:ascii="宋体" w:hAnsi="宋体" w:eastAsia="宋体" w:cs="宋体"/>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restart"/>
            <w:vAlign w:val="center"/>
          </w:tcPr>
          <w:p>
            <w:pPr>
              <w:jc w:val="center"/>
            </w:pPr>
            <w:r>
              <w:rPr>
                <w:rFonts w:ascii="方正书宋_GBK" w:hAnsi="方正书宋_GBK" w:eastAsia="方正书宋_GBK" w:cs="方正书宋_GBK"/>
                <w:sz w:val="21"/>
                <w:szCs w:val="24"/>
                <w:lang w:val="en-US" w:eastAsia="uk-UA" w:bidi="ar-SA"/>
              </w:rPr>
              <w:t>效果指标</w:t>
            </w: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经济效益指标</w:t>
            </w:r>
          </w:p>
        </w:tc>
        <w:tc>
          <w:tcPr>
            <w:tcW w:w="2111" w:type="dxa"/>
            <w:vAlign w:val="center"/>
          </w:tcPr>
          <w:p>
            <w:pPr>
              <w:pStyle w:val="15"/>
              <w:rPr>
                <w:rFonts w:hint="eastAsia" w:ascii="宋体" w:hAnsi="宋体" w:eastAsia="宋体" w:cs="宋体"/>
                <w:lang w:val="en-US" w:eastAsia="zh-CN"/>
              </w:rPr>
            </w:pPr>
          </w:p>
        </w:tc>
        <w:tc>
          <w:tcPr>
            <w:tcW w:w="4222" w:type="dxa"/>
            <w:vAlign w:val="center"/>
          </w:tcPr>
          <w:p>
            <w:pPr>
              <w:pStyle w:val="15"/>
              <w:rPr>
                <w:rFonts w:hint="eastAsia" w:ascii="宋体" w:hAnsi="宋体" w:eastAsia="宋体" w:cs="宋体"/>
                <w:lang w:val="en-US" w:eastAsia="zh-CN"/>
              </w:rPr>
            </w:pPr>
          </w:p>
        </w:tc>
        <w:tc>
          <w:tcPr>
            <w:tcW w:w="2111"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tc>
        <w:tc>
          <w:tcPr>
            <w:tcW w:w="2111" w:type="dxa"/>
            <w:vAlign w:val="center"/>
          </w:tcPr>
          <w:p>
            <w:pPr>
              <w:keepNext w:val="0"/>
              <w:keepLines w:val="0"/>
              <w:widowControl/>
              <w:suppressLineNumbers w:val="0"/>
              <w:jc w:val="left"/>
              <w:textAlignment w:val="center"/>
              <w:rPr>
                <w:rFonts w:hint="eastAsia" w:ascii="宋体" w:hAnsi="宋体" w:eastAsia="宋体" w:cs="宋体"/>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2111" w:type="dxa"/>
            <w:vAlign w:val="center"/>
          </w:tcPr>
          <w:p>
            <w:pPr>
              <w:pStyle w:val="15"/>
              <w:ind w:firstLine="0" w:firstLineChars="0"/>
              <w:rPr>
                <w:rFonts w:hint="eastAsia" w:ascii="宋体" w:hAnsi="宋体" w:eastAsia="宋体" w:cs="宋体"/>
                <w:sz w:val="21"/>
                <w:szCs w:val="24"/>
                <w:lang w:val="en-US" w:eastAsia="zh-CN" w:bidi="ar-SA"/>
              </w:rPr>
            </w:pPr>
          </w:p>
        </w:tc>
        <w:tc>
          <w:tcPr>
            <w:tcW w:w="4222" w:type="dxa"/>
            <w:vAlign w:val="center"/>
          </w:tcPr>
          <w:p>
            <w:pPr>
              <w:pStyle w:val="15"/>
              <w:ind w:firstLine="0" w:firstLineChars="0"/>
              <w:rPr>
                <w:rFonts w:hint="eastAsia" w:ascii="宋体" w:hAnsi="宋体" w:eastAsia="宋体" w:cs="宋体"/>
                <w:sz w:val="21"/>
                <w:szCs w:val="24"/>
                <w:lang w:val="en-US" w:eastAsia="zh-CN" w:bidi="ar-SA"/>
              </w:rPr>
            </w:pPr>
          </w:p>
        </w:tc>
        <w:tc>
          <w:tcPr>
            <w:tcW w:w="2111" w:type="dxa"/>
            <w:vAlign w:val="center"/>
          </w:tcPr>
          <w:p>
            <w:pPr>
              <w:pStyle w:val="15"/>
              <w:ind w:firstLine="0" w:firstLineChars="0"/>
              <w:rPr>
                <w:rFonts w:hint="eastAsia" w:ascii="宋体" w:hAnsi="宋体" w:eastAsia="宋体" w:cs="宋体"/>
                <w:sz w:val="21"/>
                <w:szCs w:val="24"/>
                <w:lang w:val="en-US" w:eastAsia="uk-UA" w:bidi="ar-SA"/>
              </w:rPr>
            </w:pPr>
          </w:p>
        </w:tc>
        <w:tc>
          <w:tcPr>
            <w:tcW w:w="2111" w:type="dxa"/>
            <w:vAlign w:val="center"/>
          </w:tcPr>
          <w:p>
            <w:pPr>
              <w:pStyle w:val="15"/>
              <w:ind w:firstLine="0" w:firstLineChars="0"/>
              <w:rPr>
                <w:rFonts w:hint="eastAsia" w:ascii="宋体" w:hAnsi="宋体" w:eastAsia="宋体" w:cs="宋体"/>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pPr>
              <w:pStyle w:val="16"/>
            </w:pP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生态效益指标</w:t>
            </w:r>
          </w:p>
        </w:tc>
        <w:tc>
          <w:tcPr>
            <w:tcW w:w="2111" w:type="dxa"/>
            <w:vAlign w:val="center"/>
          </w:tcPr>
          <w:p>
            <w:pPr>
              <w:pStyle w:val="15"/>
              <w:rPr>
                <w:rFonts w:hint="eastAsia" w:ascii="宋体" w:hAnsi="宋体" w:eastAsia="宋体" w:cs="宋体"/>
              </w:rPr>
            </w:pPr>
          </w:p>
        </w:tc>
        <w:tc>
          <w:tcPr>
            <w:tcW w:w="4222"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rPr>
            </w:pPr>
          </w:p>
        </w:tc>
        <w:tc>
          <w:tcPr>
            <w:tcW w:w="2111" w:type="dxa"/>
            <w:vAlign w:val="center"/>
          </w:tcPr>
          <w:p>
            <w:pPr>
              <w:pStyle w:val="15"/>
              <w:rPr>
                <w:rFonts w:hint="eastAsia" w:ascii="宋体" w:hAnsi="宋体" w:eastAsia="宋体" w:cs="宋体"/>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2111" w:type="dxa"/>
            <w:vMerge w:val="continue"/>
            <w:vAlign w:val="center"/>
          </w:tcPr>
          <w:p>
            <w:pPr>
              <w:pStyle w:val="16"/>
            </w:pPr>
          </w:p>
        </w:tc>
        <w:tc>
          <w:tcPr>
            <w:tcW w:w="2111" w:type="dxa"/>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0"/>
                <w:szCs w:val="20"/>
                <w:u w:val="none"/>
                <w:lang w:val="en-US" w:eastAsia="zh-CN" w:bidi="ar"/>
              </w:rPr>
              <w:t>可持续性影响</w:t>
            </w:r>
          </w:p>
        </w:tc>
        <w:tc>
          <w:tcPr>
            <w:tcW w:w="2111"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津贴补贴发放到位率</w:t>
            </w:r>
          </w:p>
        </w:tc>
        <w:tc>
          <w:tcPr>
            <w:tcW w:w="4222"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lang w:val="en-US" w:eastAsia="zh-CN"/>
              </w:rPr>
              <w:t>确保2024年人员部分津贴补贴发放到位率</w:t>
            </w:r>
          </w:p>
        </w:tc>
        <w:tc>
          <w:tcPr>
            <w:tcW w:w="2111" w:type="dxa"/>
            <w:vAlign w:val="center"/>
          </w:tcPr>
          <w:p>
            <w:pPr>
              <w:pStyle w:val="15"/>
              <w:ind w:firstLine="0" w:firstLineChars="0"/>
              <w:rPr>
                <w:rFonts w:hint="eastAsia" w:ascii="宋体" w:hAnsi="宋体" w:eastAsia="宋体" w:cs="宋体"/>
                <w:sz w:val="21"/>
                <w:szCs w:val="24"/>
                <w:lang w:val="en-US" w:eastAsia="uk-UA" w:bidi="ar-SA"/>
              </w:rPr>
            </w:pPr>
            <w:r>
              <w:rPr>
                <w:rFonts w:hint="eastAsia" w:ascii="宋体" w:hAnsi="宋体" w:eastAsia="宋体" w:cs="宋体"/>
              </w:rPr>
              <w:t>100百分比</w:t>
            </w:r>
          </w:p>
        </w:tc>
        <w:tc>
          <w:tcPr>
            <w:tcW w:w="2111" w:type="dxa"/>
            <w:vAlign w:val="center"/>
          </w:tcPr>
          <w:p>
            <w:pPr>
              <w:pStyle w:val="15"/>
              <w:ind w:firstLine="0" w:firstLineChars="0"/>
              <w:rPr>
                <w:rFonts w:hint="eastAsia" w:ascii="宋体" w:hAnsi="宋体" w:eastAsia="宋体" w:cs="宋体"/>
                <w:sz w:val="21"/>
                <w:szCs w:val="24"/>
                <w:lang w:val="en-US" w:eastAsia="zh-CN" w:bidi="ar-SA"/>
              </w:rPr>
            </w:pPr>
            <w:r>
              <w:rPr>
                <w:rFonts w:hint="eastAsia" w:ascii="宋体" w:hAnsi="宋体" w:eastAsia="宋体" w:cs="宋体"/>
              </w:rPr>
              <w:t>财政局批示件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2" w:hRule="atLeast"/>
          <w:jc w:val="center"/>
        </w:trPr>
        <w:tc>
          <w:tcPr>
            <w:tcW w:w="2111" w:type="dxa"/>
            <w:vAlign w:val="center"/>
          </w:tcPr>
          <w:p>
            <w:pPr>
              <w:pStyle w:val="16"/>
            </w:pPr>
            <w:r>
              <w:t>满意度指标</w:t>
            </w:r>
          </w:p>
        </w:tc>
        <w:tc>
          <w:tcPr>
            <w:tcW w:w="2111" w:type="dxa"/>
            <w:vAlign w:val="center"/>
          </w:tcPr>
          <w:p>
            <w:pPr>
              <w:pStyle w:val="15"/>
            </w:pPr>
            <w:r>
              <w:t>服务对象满意度指标</w:t>
            </w:r>
          </w:p>
        </w:tc>
        <w:tc>
          <w:tcPr>
            <w:tcW w:w="2111" w:type="dxa"/>
            <w:vAlign w:val="center"/>
          </w:tcPr>
          <w:p>
            <w:pPr>
              <w:pStyle w:val="15"/>
            </w:pPr>
            <w:r>
              <w:t>服务对象满意度</w:t>
            </w:r>
          </w:p>
        </w:tc>
        <w:tc>
          <w:tcPr>
            <w:tcW w:w="4222" w:type="dxa"/>
            <w:vAlign w:val="center"/>
          </w:tcPr>
          <w:p>
            <w:pPr>
              <w:pStyle w:val="15"/>
            </w:pPr>
            <w:r>
              <w:t>服务对象满意度</w:t>
            </w:r>
          </w:p>
        </w:tc>
        <w:tc>
          <w:tcPr>
            <w:tcW w:w="2111" w:type="dxa"/>
            <w:vAlign w:val="center"/>
          </w:tcPr>
          <w:p>
            <w:pPr>
              <w:pStyle w:val="15"/>
            </w:pPr>
            <w:r>
              <w:t>≥90百分比</w:t>
            </w:r>
          </w:p>
        </w:tc>
        <w:tc>
          <w:tcPr>
            <w:tcW w:w="2111" w:type="dxa"/>
            <w:vAlign w:val="center"/>
          </w:tcPr>
          <w:p>
            <w:pPr>
              <w:pStyle w:val="15"/>
              <w:rPr>
                <w:rFonts w:hint="default" w:eastAsia="方正书宋_GBK"/>
                <w:lang w:val="en-US" w:eastAsia="zh-CN"/>
              </w:rPr>
            </w:pPr>
            <w:r>
              <w:rPr>
                <w:rFonts w:hint="eastAsia"/>
                <w:lang w:val="en-US" w:eastAsia="zh-CN"/>
              </w:rPr>
              <w:t>调查问卷</w:t>
            </w:r>
          </w:p>
        </w:tc>
      </w:tr>
    </w:tbl>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rPr>
          <w:sz w:val="28"/>
          <w:szCs w:val="28"/>
        </w:rPr>
      </w:pPr>
      <w:r>
        <w:rPr>
          <w:rFonts w:hint="eastAsia" w:ascii="黑体" w:hAnsi="黑体" w:eastAsia="黑体" w:cs="黑体"/>
          <w:color w:val="000000"/>
          <w:sz w:val="28"/>
          <w:szCs w:val="28"/>
          <w:lang w:val="en-US" w:eastAsia="zh-CN"/>
        </w:rPr>
        <w:t>八</w:t>
      </w:r>
      <w:r>
        <w:rPr>
          <w:rFonts w:ascii="黑体" w:hAnsi="黑体" w:eastAsia="黑体" w:cs="黑体"/>
          <w:color w:val="000000"/>
          <w:sz w:val="28"/>
          <w:szCs w:val="28"/>
        </w:rPr>
        <w:t>、政府采购预算情况</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left"/>
        <w:textAlignment w:val="auto"/>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年，涞源县城市管理综合行政执法局本级安排政府采购预算0.00万元。具体内容见下表。</w:t>
      </w:r>
    </w:p>
    <w:p>
      <w:pPr>
        <w:spacing w:before="0" w:after="0" w:line="240" w:lineRule="auto"/>
        <w:ind w:firstLine="0"/>
        <w:jc w:val="center"/>
        <w:outlineLvl w:val="9"/>
        <w:rPr>
          <w:rFonts w:hint="eastAsia" w:ascii="方正小标宋_GBK" w:hAnsi="方正小标宋_GBK" w:eastAsia="方正小标宋_GBK" w:cs="方正小标宋_GBK"/>
          <w:color w:val="000000"/>
          <w:sz w:val="36"/>
          <w:lang w:eastAsia="zh-CN"/>
        </w:rPr>
      </w:pP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334涞源县城市管理综合行政执法局本级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11"/>
            </w:pPr>
            <w:r>
              <w:rPr>
                <w:rFonts w:hint="eastAsia"/>
                <w:lang w:eastAsia="zh-CN"/>
              </w:rPr>
              <w:t>部门</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rPr>
                <w:rFonts w:hint="eastAsia" w:eastAsia="方正书宋_GBK"/>
                <w:lang w:eastAsia="zh-CN"/>
              </w:rPr>
            </w:pPr>
            <w:r>
              <w:t xml:space="preserve">计量  </w:t>
            </w:r>
            <w:r>
              <w:rPr>
                <w:rFonts w:hint="eastAsia"/>
                <w:lang w:eastAsia="zh-CN"/>
              </w:rPr>
              <w:t>部门</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w:t>
            </w:r>
            <w:r>
              <w:rPr>
                <w:rFonts w:hint="eastAsia"/>
                <w:lang w:eastAsia="zh-CN"/>
              </w:rPr>
              <w:t>部门</w:t>
            </w:r>
            <w:r>
              <w:t>预算安排资金）</w:t>
            </w:r>
          </w:p>
        </w:tc>
        <w:tc>
          <w:tcPr>
            <w:tcW w:w="964" w:type="dxa"/>
            <w:vMerge w:val="restart"/>
            <w:vAlign w:val="center"/>
          </w:tcPr>
          <w:p>
            <w:pPr>
              <w:pStyle w:val="13"/>
            </w:pPr>
            <w:r>
              <w:t>202</w:t>
            </w:r>
            <w:r>
              <w:rPr>
                <w:rFonts w:hint="eastAsia"/>
                <w:lang w:val="en-US"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rPr>
                <w:rFonts w:hint="eastAsia"/>
                <w:lang w:eastAsia="zh-CN"/>
              </w:rPr>
              <w:t>部门</w:t>
            </w:r>
            <w:r>
              <w:t xml:space="preserve">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sz w:val="28"/>
          <w:szCs w:val="28"/>
        </w:rPr>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rFonts w:hint="eastAsia" w:ascii="黑体" w:hAnsi="黑体" w:eastAsia="黑体" w:cs="黑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rFonts w:hint="eastAsia" w:ascii="黑体" w:hAnsi="黑体" w:eastAsia="黑体" w:cs="黑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rFonts w:hint="eastAsia" w:ascii="黑体" w:hAnsi="黑体" w:eastAsia="黑体" w:cs="黑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rFonts w:hint="eastAsia" w:ascii="黑体" w:hAnsi="黑体" w:eastAsia="黑体" w:cs="黑体"/>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hint="eastAsia" w:ascii="黑体" w:hAnsi="黑体" w:eastAsia="黑体" w:cs="黑体"/>
          <w:color w:val="000000"/>
          <w:sz w:val="28"/>
          <w:szCs w:val="28"/>
          <w:lang w:val="en-US" w:eastAsia="zh-CN"/>
        </w:rPr>
        <w:t>九</w:t>
      </w:r>
      <w:r>
        <w:rPr>
          <w:rFonts w:ascii="黑体" w:hAnsi="黑体" w:eastAsia="黑体" w:cs="黑体"/>
          <w:color w:val="000000"/>
          <w:sz w:val="28"/>
          <w:szCs w:val="28"/>
        </w:rPr>
        <w:t>、国有资产信息</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rPr>
          <w:rFonts w:hint="eastAsia" w:ascii="方正小标宋_GBK" w:hAnsi="方正小标宋_GBK" w:eastAsia="方正小标宋_GBK" w:cs="方正小标宋_GBK"/>
          <w:color w:val="000000"/>
          <w:sz w:val="36"/>
          <w:lang w:eastAsia="zh-CN"/>
        </w:rPr>
      </w:pPr>
      <w:r>
        <w:rPr>
          <w:rFonts w:ascii="Times New Roman" w:hAnsi="Times New Roman" w:eastAsia="方正仿宋_GBK" w:cs="Times New Roman"/>
          <w:b w:val="0"/>
          <w:color w:val="000000"/>
          <w:sz w:val="28"/>
        </w:rPr>
        <w:t>涞源县城市管理综合行政执法局本级上年末固定资产金额为</w:t>
      </w:r>
      <w:r>
        <w:rPr>
          <w:rFonts w:hint="eastAsia" w:eastAsia="方正仿宋_GBK" w:cs="Times New Roman"/>
          <w:b w:val="0"/>
          <w:color w:val="000000"/>
          <w:sz w:val="28"/>
          <w:lang w:val="en-US" w:eastAsia="zh-CN"/>
        </w:rPr>
        <w:t>444.55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9.00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部门</w:t>
      </w:r>
      <w:r>
        <w:rPr>
          <w:rFonts w:ascii="方正小标宋_GBK" w:hAnsi="方正小标宋_GBK" w:eastAsia="方正小标宋_GBK" w:cs="方正小标宋_GBK"/>
          <w:color w:val="000000"/>
          <w:sz w:val="36"/>
        </w:rPr>
        <w:t>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334涞源县城市管理综合行政执法局</w:t>
            </w:r>
            <w:r>
              <w:rPr>
                <w:rFonts w:hint="eastAsia"/>
                <w:lang w:val="en-US" w:eastAsia="zh-CN"/>
              </w:rPr>
              <w:t>本级</w:t>
            </w:r>
          </w:p>
        </w:tc>
        <w:tc>
          <w:tcPr>
            <w:tcW w:w="9866" w:type="dxa"/>
            <w:gridSpan w:val="2"/>
            <w:tcBorders>
              <w:top w:val="single" w:color="FFFFFF" w:sz="6" w:space="0"/>
              <w:left w:val="single" w:color="FFFFFF" w:sz="6" w:space="0"/>
              <w:right w:val="single" w:color="FFFFFF" w:sz="6" w:space="0"/>
            </w:tcBorders>
            <w:vAlign w:val="center"/>
          </w:tcPr>
          <w:p>
            <w:pPr>
              <w:pStyle w:val="21"/>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资产总额</w:t>
            </w:r>
          </w:p>
        </w:tc>
        <w:tc>
          <w:tcPr>
            <w:tcW w:w="4933" w:type="dxa"/>
            <w:vAlign w:val="center"/>
          </w:tcPr>
          <w:p>
            <w:pPr>
              <w:pStyle w:val="16"/>
            </w:pPr>
          </w:p>
        </w:tc>
        <w:tc>
          <w:tcPr>
            <w:tcW w:w="4933" w:type="dxa"/>
            <w:vAlign w:val="center"/>
          </w:tcPr>
          <w:p>
            <w:pPr>
              <w:pStyle w:val="14"/>
              <w:rPr>
                <w:rFonts w:hint="default" w:eastAsia="方正书宋_GBK"/>
                <w:lang w:val="en-US" w:eastAsia="zh-CN"/>
              </w:rPr>
            </w:pPr>
            <w:r>
              <w:rPr>
                <w:rFonts w:hint="eastAsia"/>
                <w:lang w:val="en-US" w:eastAsia="zh-CN"/>
              </w:rPr>
              <w:t>444.55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1、房屋（平方米）</w:t>
            </w:r>
          </w:p>
        </w:tc>
        <w:tc>
          <w:tcPr>
            <w:tcW w:w="4933" w:type="dxa"/>
            <w:vAlign w:val="center"/>
          </w:tcPr>
          <w:p>
            <w:pPr>
              <w:pStyle w:val="16"/>
            </w:pPr>
            <w:r>
              <w:t>397.60</w:t>
            </w:r>
          </w:p>
        </w:tc>
        <w:tc>
          <w:tcPr>
            <w:tcW w:w="4933"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　　其中：办公用房（平方米）</w:t>
            </w:r>
          </w:p>
        </w:tc>
        <w:tc>
          <w:tcPr>
            <w:tcW w:w="4933" w:type="dxa"/>
            <w:vAlign w:val="center"/>
          </w:tcPr>
          <w:p>
            <w:pPr>
              <w:pStyle w:val="16"/>
            </w:pPr>
            <w:r>
              <w:t>397.60</w:t>
            </w:r>
          </w:p>
        </w:tc>
        <w:tc>
          <w:tcPr>
            <w:tcW w:w="4933" w:type="dxa"/>
            <w:vAlign w:val="center"/>
          </w:tcPr>
          <w:p>
            <w:pPr>
              <w:pStyle w:val="14"/>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2、车辆（台、辆）</w:t>
            </w:r>
          </w:p>
        </w:tc>
        <w:tc>
          <w:tcPr>
            <w:tcW w:w="4933" w:type="dxa"/>
            <w:vAlign w:val="center"/>
          </w:tcPr>
          <w:p>
            <w:pPr>
              <w:pStyle w:val="16"/>
            </w:pPr>
            <w:r>
              <w:t>3</w:t>
            </w:r>
          </w:p>
        </w:tc>
        <w:tc>
          <w:tcPr>
            <w:tcW w:w="4933" w:type="dxa"/>
            <w:vAlign w:val="center"/>
          </w:tcPr>
          <w:p>
            <w:pPr>
              <w:pStyle w:val="14"/>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3、单价在20万元以上的设备</w:t>
            </w:r>
          </w:p>
        </w:tc>
        <w:tc>
          <w:tcPr>
            <w:tcW w:w="4933" w:type="dxa"/>
            <w:vAlign w:val="center"/>
          </w:tcPr>
          <w:p>
            <w:pPr>
              <w:pStyle w:val="16"/>
            </w:pPr>
            <w:r>
              <w:t>4</w:t>
            </w:r>
          </w:p>
        </w:tc>
        <w:tc>
          <w:tcPr>
            <w:tcW w:w="4933" w:type="dxa"/>
            <w:vAlign w:val="center"/>
          </w:tcPr>
          <w:p>
            <w:pPr>
              <w:pStyle w:val="14"/>
            </w:pPr>
            <w:r>
              <w:t>338.69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pPr>
            <w:r>
              <w:t>4、其他固定资产</w:t>
            </w:r>
          </w:p>
        </w:tc>
        <w:tc>
          <w:tcPr>
            <w:tcW w:w="4933" w:type="dxa"/>
            <w:vAlign w:val="center"/>
          </w:tcPr>
          <w:p>
            <w:pPr>
              <w:pStyle w:val="16"/>
              <w:rPr>
                <w:rFonts w:hint="default" w:eastAsia="方正书宋_GBK"/>
                <w:lang w:val="en-US" w:eastAsia="zh-CN"/>
              </w:rPr>
            </w:pPr>
            <w:r>
              <w:rPr>
                <w:rFonts w:hint="eastAsia"/>
                <w:lang w:val="en-US" w:eastAsia="zh-CN"/>
              </w:rPr>
              <w:t>627</w:t>
            </w:r>
          </w:p>
        </w:tc>
        <w:tc>
          <w:tcPr>
            <w:tcW w:w="4933" w:type="dxa"/>
            <w:vAlign w:val="center"/>
          </w:tcPr>
          <w:p>
            <w:pPr>
              <w:pStyle w:val="14"/>
              <w:rPr>
                <w:rFonts w:hint="default" w:eastAsia="方正书宋_GBK"/>
                <w:lang w:val="en-US" w:eastAsia="zh-CN"/>
              </w:rPr>
            </w:pPr>
            <w:r>
              <w:rPr>
                <w:rFonts w:hint="eastAsia"/>
                <w:lang w:val="en-US" w:eastAsia="zh-CN"/>
              </w:rPr>
              <w:t>66.29</w:t>
            </w:r>
          </w:p>
        </w:tc>
      </w:tr>
    </w:tbl>
    <w:p>
      <w:pPr>
        <w:spacing w:before="0" w:after="0"/>
        <w:jc w:val="left"/>
        <w:outlineLvl w:val="9"/>
      </w:pP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left"/>
        <w:textAlignment w:val="auto"/>
        <w:outlineLvl w:val="5"/>
        <w:rPr>
          <w:sz w:val="28"/>
          <w:szCs w:val="28"/>
        </w:rPr>
      </w:pPr>
      <w:r>
        <w:rPr>
          <w:rFonts w:hint="eastAsia" w:ascii="黑体" w:hAnsi="黑体" w:eastAsia="黑体" w:cs="黑体"/>
          <w:color w:val="000000"/>
          <w:sz w:val="28"/>
          <w:szCs w:val="28"/>
          <w:lang w:val="en-US" w:eastAsia="zh-CN"/>
        </w:rPr>
        <w:t>十</w:t>
      </w:r>
      <w:r>
        <w:rPr>
          <w:rFonts w:ascii="黑体" w:hAnsi="黑体" w:eastAsia="黑体" w:cs="黑体"/>
          <w:color w:val="000000"/>
          <w:sz w:val="28"/>
          <w:szCs w:val="28"/>
        </w:rPr>
        <w:t>、名词解释</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上缴上级的支出。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县级</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用财政拨款安排的因公出国（境）费、公务用车购置及运维费和公务接待费。其中，因公出国（境）费反映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公务出国（境）的住宿费、旅费、伙食补助费、杂费、培训费等支出；公务用车购置及运维费反映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公务用车购置费及租用费、燃料费、维修费、过路过桥费、保险费、安全奖励费用等支出；公务接待费反映</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w:t>
      </w:r>
      <w:r>
        <w:rPr>
          <w:rFonts w:hint="eastAsia" w:eastAsia="方正仿宋_GBK" w:cs="Times New Roman"/>
          <w:b/>
          <w:color w:val="000000"/>
          <w:sz w:val="28"/>
          <w:lang w:eastAsia="zh-CN"/>
        </w:rPr>
        <w:t>部门</w:t>
      </w:r>
      <w:r>
        <w:rPr>
          <w:rFonts w:ascii="Times New Roman" w:hAnsi="Times New Roman" w:eastAsia="方正仿宋_GBK" w:cs="Times New Roman"/>
          <w:b/>
          <w:color w:val="000000"/>
          <w:sz w:val="28"/>
        </w:rPr>
        <w:t>经营支出：</w:t>
      </w:r>
      <w:r>
        <w:rPr>
          <w:rFonts w:ascii="Times New Roman" w:hAnsi="Times New Roman" w:eastAsia="方正仿宋_GBK" w:cs="Times New Roman"/>
          <w:b w:val="0"/>
          <w:color w:val="000000"/>
          <w:sz w:val="28"/>
        </w:rPr>
        <w:t>指事业</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80" w:lineRule="exact"/>
        <w:ind w:firstLine="640"/>
        <w:jc w:val="both"/>
        <w:textAlignment w:val="auto"/>
        <w:outlineLvl w:val="5"/>
        <w:rPr>
          <w:sz w:val="28"/>
          <w:szCs w:val="28"/>
        </w:rPr>
      </w:pPr>
      <w:r>
        <w:rPr>
          <w:rFonts w:hint="eastAsia" w:ascii="黑体" w:hAnsi="黑体" w:eastAsia="黑体" w:cs="黑体"/>
          <w:color w:val="000000"/>
          <w:sz w:val="28"/>
          <w:szCs w:val="28"/>
          <w:lang w:val="en-US" w:eastAsia="zh-CN"/>
        </w:rPr>
        <w:t>十一</w:t>
      </w:r>
      <w:r>
        <w:rPr>
          <w:rFonts w:ascii="黑体" w:hAnsi="黑体" w:eastAsia="黑体" w:cs="黑体"/>
          <w:color w:val="000000"/>
          <w:sz w:val="28"/>
          <w:szCs w:val="28"/>
        </w:rPr>
        <w:t>、其他需要说明的事项</w:t>
      </w:r>
    </w:p>
    <w:p>
      <w:pPr>
        <w:keepNext w:val="0"/>
        <w:keepLines w:val="0"/>
        <w:pageBreakBefore w:val="0"/>
        <w:widowControl/>
        <w:kinsoku/>
        <w:wordWrap/>
        <w:overflowPunct/>
        <w:topLinePunct w:val="0"/>
        <w:autoSpaceDE/>
        <w:autoSpaceDN/>
        <w:bidi w:val="0"/>
        <w:adjustRightInd/>
        <w:snapToGrid/>
        <w:spacing w:before="0" w:after="0" w:line="580" w:lineRule="exact"/>
        <w:ind w:firstLine="560"/>
        <w:jc w:val="both"/>
        <w:textAlignment w:val="auto"/>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eastAsia="zh-CN"/>
        </w:rPr>
        <w:t>部门</w:t>
      </w:r>
      <w:r>
        <w:rPr>
          <w:rFonts w:ascii="Times New Roman" w:hAnsi="Times New Roman" w:eastAsia="方正仿宋_GBK" w:cs="Times New Roman"/>
          <w:b w:val="0"/>
          <w:color w:val="000000"/>
          <w:sz w:val="28"/>
        </w:rPr>
        <w:t>无其他需要说明的事项。</w:t>
      </w:r>
    </w:p>
    <w:p>
      <w:pPr>
        <w:keepNext w:val="0"/>
        <w:keepLines w:val="0"/>
        <w:pageBreakBefore w:val="0"/>
        <w:widowControl/>
        <w:kinsoku/>
        <w:wordWrap/>
        <w:overflowPunct/>
        <w:topLinePunct w:val="0"/>
        <w:autoSpaceDE/>
        <w:autoSpaceDN/>
        <w:bidi w:val="0"/>
        <w:adjustRightInd/>
        <w:snapToGrid/>
        <w:jc w:val="both"/>
        <w:textAlignment w:val="auto"/>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22</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331C6"/>
    <w:multiLevelType w:val="singleLevel"/>
    <w:tmpl w:val="CED331C6"/>
    <w:lvl w:ilvl="0" w:tentative="0">
      <w:start w:val="4"/>
      <w:numFmt w:val="chineseCounting"/>
      <w:suff w:val="nothing"/>
      <w:lvlText w:val="%1、"/>
      <w:lvlJc w:val="left"/>
      <w:rPr>
        <w:rFonts w:hint="eastAsia"/>
      </w:rPr>
    </w:lvl>
  </w:abstractNum>
  <w:abstractNum w:abstractNumId="1">
    <w:nsid w:val="F9F95279"/>
    <w:multiLevelType w:val="singleLevel"/>
    <w:tmpl w:val="F9F95279"/>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mYzg3ZWVmODQ2Y2E2YmQ5YmY3OTk2MzIzMmVlOGMifQ=="/>
  </w:docVars>
  <w:rsids>
    <w:rsidRoot w:val="00000000"/>
    <w:rsid w:val="003D2876"/>
    <w:rsid w:val="00691594"/>
    <w:rsid w:val="00E0665C"/>
    <w:rsid w:val="026E46EA"/>
    <w:rsid w:val="04827293"/>
    <w:rsid w:val="05F92867"/>
    <w:rsid w:val="09470827"/>
    <w:rsid w:val="0B09160F"/>
    <w:rsid w:val="0F7E6098"/>
    <w:rsid w:val="112459A8"/>
    <w:rsid w:val="14141DF4"/>
    <w:rsid w:val="149D053E"/>
    <w:rsid w:val="15A308B2"/>
    <w:rsid w:val="16A70D69"/>
    <w:rsid w:val="18DF42F7"/>
    <w:rsid w:val="1A8525FC"/>
    <w:rsid w:val="1C365FDC"/>
    <w:rsid w:val="1D9F2A68"/>
    <w:rsid w:val="1E976702"/>
    <w:rsid w:val="1EC51899"/>
    <w:rsid w:val="1F8F31E5"/>
    <w:rsid w:val="1FE37470"/>
    <w:rsid w:val="20675B85"/>
    <w:rsid w:val="2254099E"/>
    <w:rsid w:val="25805D23"/>
    <w:rsid w:val="263C4B36"/>
    <w:rsid w:val="26C20BB6"/>
    <w:rsid w:val="27E65076"/>
    <w:rsid w:val="28572169"/>
    <w:rsid w:val="28C2000D"/>
    <w:rsid w:val="29D23485"/>
    <w:rsid w:val="2A5D507B"/>
    <w:rsid w:val="2BEB0E31"/>
    <w:rsid w:val="2C2869DD"/>
    <w:rsid w:val="2D4F2943"/>
    <w:rsid w:val="2D766B80"/>
    <w:rsid w:val="2E0B5B1D"/>
    <w:rsid w:val="2F8D6403"/>
    <w:rsid w:val="2FB27C17"/>
    <w:rsid w:val="32560B6C"/>
    <w:rsid w:val="3277175E"/>
    <w:rsid w:val="32B72ECC"/>
    <w:rsid w:val="337B3A92"/>
    <w:rsid w:val="33E635F9"/>
    <w:rsid w:val="34442F4F"/>
    <w:rsid w:val="348778C5"/>
    <w:rsid w:val="356A589B"/>
    <w:rsid w:val="361135A1"/>
    <w:rsid w:val="37B3277F"/>
    <w:rsid w:val="382C5349"/>
    <w:rsid w:val="39A04C8F"/>
    <w:rsid w:val="3AE01ADD"/>
    <w:rsid w:val="3B512DAC"/>
    <w:rsid w:val="3D483969"/>
    <w:rsid w:val="3DD24940"/>
    <w:rsid w:val="407E7DCE"/>
    <w:rsid w:val="40914775"/>
    <w:rsid w:val="40BA6CA4"/>
    <w:rsid w:val="4321010B"/>
    <w:rsid w:val="43F80BBA"/>
    <w:rsid w:val="442E57BD"/>
    <w:rsid w:val="481728B6"/>
    <w:rsid w:val="48E6735E"/>
    <w:rsid w:val="49971591"/>
    <w:rsid w:val="4CFB48EC"/>
    <w:rsid w:val="4E2B0E69"/>
    <w:rsid w:val="4F7F46A4"/>
    <w:rsid w:val="4FF27E90"/>
    <w:rsid w:val="546E1774"/>
    <w:rsid w:val="548C69B1"/>
    <w:rsid w:val="57566F57"/>
    <w:rsid w:val="58193305"/>
    <w:rsid w:val="5A27390B"/>
    <w:rsid w:val="5ABD109B"/>
    <w:rsid w:val="5BE80399"/>
    <w:rsid w:val="5D6B0E19"/>
    <w:rsid w:val="5E6D42B8"/>
    <w:rsid w:val="5F0C439F"/>
    <w:rsid w:val="5F617A0F"/>
    <w:rsid w:val="6012042D"/>
    <w:rsid w:val="60A7133B"/>
    <w:rsid w:val="60AA0313"/>
    <w:rsid w:val="619012B7"/>
    <w:rsid w:val="61D34C92"/>
    <w:rsid w:val="62210161"/>
    <w:rsid w:val="62BA3D69"/>
    <w:rsid w:val="63493E13"/>
    <w:rsid w:val="63A025F3"/>
    <w:rsid w:val="64195594"/>
    <w:rsid w:val="65717652"/>
    <w:rsid w:val="66B21F9E"/>
    <w:rsid w:val="679338AF"/>
    <w:rsid w:val="68970FBE"/>
    <w:rsid w:val="68FE11FC"/>
    <w:rsid w:val="6B312603"/>
    <w:rsid w:val="6B804B97"/>
    <w:rsid w:val="6BD672DD"/>
    <w:rsid w:val="6C8B724B"/>
    <w:rsid w:val="6E2A5249"/>
    <w:rsid w:val="7004791B"/>
    <w:rsid w:val="71303ED2"/>
    <w:rsid w:val="713779A1"/>
    <w:rsid w:val="73993FFB"/>
    <w:rsid w:val="75826D11"/>
    <w:rsid w:val="78177D9D"/>
    <w:rsid w:val="785C7C36"/>
    <w:rsid w:val="786A41B8"/>
    <w:rsid w:val="797535A9"/>
    <w:rsid w:val="7ACB2678"/>
    <w:rsid w:val="7AF37E57"/>
    <w:rsid w:val="7B25086A"/>
    <w:rsid w:val="7B7A2964"/>
    <w:rsid w:val="7B814D1D"/>
    <w:rsid w:val="7BE74CC8"/>
    <w:rsid w:val="7C5261B1"/>
    <w:rsid w:val="7C9F0755"/>
    <w:rsid w:val="7CEF1130"/>
    <w:rsid w:val="7DDE5993"/>
    <w:rsid w:val="7E3F7E95"/>
    <w:rsid w:val="7EC86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1"/>
    <w:basedOn w:val="1"/>
    <w:next w:val="1"/>
    <w:autoRedefine/>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paragraph" w:styleId="6">
    <w:name w:val="Normal (Web)"/>
    <w:basedOn w:val="1"/>
    <w:autoRedefine/>
    <w:qFormat/>
    <w:uiPriority w:val="0"/>
    <w:pPr>
      <w:spacing w:before="100" w:beforeAutospacing="1" w:after="100" w:afterAutospacing="1"/>
      <w:jc w:val="left"/>
    </w:pPr>
    <w:rPr>
      <w:rFonts w:asciiTheme="minorHAnsi" w:hAnsiTheme="minorHAnsi" w:eastAsiaTheme="minorEastAsia" w:cstheme="minorBidi"/>
      <w:kern w:val="0"/>
      <w:sz w:val="24"/>
      <w:szCs w:val="22"/>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2024-02-22T11:24:35Z</dcterms:created>
  <dcterms:modified xsi:type="dcterms:W3CDTF">2024-02-22T03:24:35Z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2024-02-22T11:24:31Z</dcterms:created>
  <dcterms:modified xsi:type="dcterms:W3CDTF">2024-02-22T03:24:31Z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2024-02-22T11:24:31Z</dcterms:created>
  <dcterms:modified xsi:type="dcterms:W3CDTF">2024-02-22T03:24:31Z</dcterms:modified>
</cp:coreProperties>
</file>

<file path=customXml/itemProps1.xml><?xml version="1.0" encoding="utf-8"?>
<ds:datastoreItem xmlns:ds="http://schemas.openxmlformats.org/officeDocument/2006/customXml" ds:itemID="{188327b3-f81b-4c9c-a13d-ad96f71d13b7}">
  <ds:schemaRefs/>
</ds:datastoreItem>
</file>

<file path=customXml/itemProps2.xml><?xml version="1.0" encoding="utf-8"?>
<ds:datastoreItem xmlns:ds="http://schemas.openxmlformats.org/officeDocument/2006/customXml" ds:itemID="{5f5f60ab-3c53-4ec8-8e63-37ba51f96867}">
  <ds:schemaRefs/>
</ds:datastoreItem>
</file>

<file path=customXml/itemProps3.xml><?xml version="1.0" encoding="utf-8"?>
<ds:datastoreItem xmlns:ds="http://schemas.openxmlformats.org/officeDocument/2006/customXml" ds:itemID="{8d5053af-c7dc-435f-b5ce-9102ca1a1b7c}">
  <ds:schemaRefs/>
</ds:datastoreItem>
</file>

<file path=customXml/itemProps4.xml><?xml version="1.0" encoding="utf-8"?>
<ds:datastoreItem xmlns:ds="http://schemas.openxmlformats.org/officeDocument/2006/customXml" ds:itemID="{e2eb617b-638f-4c25-9595-5581490a2f97}">
  <ds:schemaRefs/>
</ds:datastoreItem>
</file>

<file path=customXml/itemProps5.xml><?xml version="1.0" encoding="utf-8"?>
<ds:datastoreItem xmlns:ds="http://schemas.openxmlformats.org/officeDocument/2006/customXml" ds:itemID="{22daa53d-c936-41b0-ae47-df2f92c82be8}">
  <ds:schemaRefs/>
</ds:datastoreItem>
</file>

<file path=customXml/itemProps6.xml><?xml version="1.0" encoding="utf-8"?>
<ds:datastoreItem xmlns:ds="http://schemas.openxmlformats.org/officeDocument/2006/customXml" ds:itemID="{2b5c7fc2-b6f9-408c-b876-7f217e8c457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2024-02-22T11:24:00Z</dcterms:created>
  <dc:creator>lenovo</dc:creator>
  <cp:lastModifiedBy>持之以恒    杨卫华</cp:lastModifiedBy>
  <cp:lastPrinted>2024-03-04T01:06:00Z</cp:lastPrinted>
  <dcterms:modified xsi:type="dcterms:W3CDTF">2024-03-07T01:22:28Z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3AF3397028774CA4ABB35433B647E691_12</vt:lpwstr>
  </property>
</Properties>
</file>