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315涞源县司法局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879.86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rPr>
                <w:rFonts w:hint="default" w:eastAsia="方正书宋_GBK"/>
                <w:lang w:val="en-US" w:eastAsia="zh-CN"/>
              </w:rPr>
            </w:pPr>
            <w:r>
              <w:rPr>
                <w:rFonts w:hint="eastAsia"/>
                <w:lang w:val="en-US" w:eastAsia="zh-CN"/>
              </w:rPr>
              <w:t>755.43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879.86</w:t>
            </w:r>
          </w:p>
        </w:tc>
        <w:tc>
          <w:tcPr>
            <w:tcW w:w="4535" w:type="dxa"/>
            <w:vAlign w:val="center"/>
          </w:tcPr>
          <w:p>
            <w:pPr>
              <w:pStyle w:val="15"/>
            </w:pPr>
            <w:r>
              <w:t>本年支出合计</w:t>
            </w:r>
          </w:p>
        </w:tc>
        <w:tc>
          <w:tcPr>
            <w:tcW w:w="2126" w:type="dxa"/>
            <w:vAlign w:val="center"/>
          </w:tcPr>
          <w:p>
            <w:pPr>
              <w:pStyle w:val="16"/>
              <w:rPr>
                <w:rFonts w:hint="default" w:eastAsia="方正书宋_GBK"/>
                <w:lang w:val="en-US" w:eastAsia="zh-CN"/>
              </w:rPr>
            </w:pPr>
            <w:r>
              <w:rPr>
                <w:rFonts w:hint="eastAsia"/>
                <w:lang w:val="en-US" w:eastAsia="zh-CN"/>
              </w:rPr>
              <w:t>879.86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rPr>
                <w:rFonts w:hint="default" w:eastAsia="方正书宋_GBK"/>
                <w:lang w:val="en-US" w:eastAsia="zh-CN"/>
              </w:rPr>
            </w:pPr>
            <w:r>
              <w:rPr>
                <w:rFonts w:hint="eastAsia"/>
                <w:lang w:val="en-US" w:eastAsia="zh-CN"/>
              </w:rPr>
              <w:t>879.86</w:t>
            </w:r>
          </w:p>
        </w:tc>
        <w:tc>
          <w:tcPr>
            <w:tcW w:w="4535" w:type="dxa"/>
            <w:vAlign w:val="center"/>
          </w:tcPr>
          <w:p>
            <w:pPr>
              <w:pStyle w:val="15"/>
            </w:pPr>
            <w:r>
              <w:t>支出总计</w:t>
            </w:r>
          </w:p>
        </w:tc>
        <w:tc>
          <w:tcPr>
            <w:tcW w:w="2126" w:type="dxa"/>
            <w:vAlign w:val="center"/>
          </w:tcPr>
          <w:p>
            <w:pPr>
              <w:pStyle w:val="16"/>
              <w:rPr>
                <w:rFonts w:hint="default" w:eastAsia="方正书宋_GBK"/>
                <w:lang w:val="en-US" w:eastAsia="zh-CN"/>
              </w:rPr>
            </w:pPr>
            <w:r>
              <w:rPr>
                <w:rFonts w:hint="eastAsia"/>
                <w:lang w:val="en-US" w:eastAsia="zh-CN"/>
              </w:rPr>
              <w:t>879.86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315涞源县司法局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jc w:val="both"/>
              <w:rPr>
                <w:rFonts w:hint="default" w:eastAsia="方正书宋_GBK"/>
                <w:lang w:val="en-US" w:eastAsia="zh-CN"/>
              </w:rPr>
            </w:pPr>
            <w:r>
              <w:rPr>
                <w:rFonts w:hint="eastAsia"/>
                <w:lang w:val="en-US" w:eastAsia="zh-CN"/>
              </w:rPr>
              <w:t>879.86</w:t>
            </w:r>
          </w:p>
        </w:tc>
        <w:tc>
          <w:tcPr>
            <w:tcW w:w="1134" w:type="dxa"/>
            <w:vAlign w:val="center"/>
          </w:tcPr>
          <w:p>
            <w:pPr>
              <w:pStyle w:val="16"/>
            </w:pPr>
            <w:r>
              <w:rPr>
                <w:rFonts w:hint="eastAsia"/>
                <w:lang w:val="en-US" w:eastAsia="zh-CN"/>
              </w:rPr>
              <w:t>879.86</w:t>
            </w:r>
          </w:p>
        </w:tc>
        <w:tc>
          <w:tcPr>
            <w:tcW w:w="1134" w:type="dxa"/>
            <w:vAlign w:val="center"/>
          </w:tcPr>
          <w:p>
            <w:pPr>
              <w:pStyle w:val="16"/>
            </w:pPr>
            <w:r>
              <w:rPr>
                <w:rFonts w:hint="eastAsia"/>
                <w:lang w:val="en-US" w:eastAsia="zh-CN"/>
              </w:rPr>
              <w:t>879.86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2"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rPr>
                <w:rFonts w:hint="default" w:eastAsia="方正书宋_GBK"/>
                <w:lang w:val="en-US" w:eastAsia="zh-CN"/>
              </w:rPr>
            </w:pPr>
            <w:r>
              <w:rPr>
                <w:rFonts w:hint="eastAsia"/>
                <w:lang w:val="en-US" w:eastAsia="zh-CN"/>
              </w:rPr>
              <w:t>672.43</w:t>
            </w:r>
          </w:p>
        </w:tc>
        <w:tc>
          <w:tcPr>
            <w:tcW w:w="1134" w:type="dxa"/>
            <w:vAlign w:val="center"/>
          </w:tcPr>
          <w:p>
            <w:pPr>
              <w:pStyle w:val="12"/>
            </w:pPr>
            <w:r>
              <w:rPr>
                <w:rFonts w:hint="eastAsia"/>
                <w:lang w:val="en-US" w:eastAsia="zh-CN"/>
              </w:rPr>
              <w:t>672.43</w:t>
            </w:r>
          </w:p>
        </w:tc>
        <w:tc>
          <w:tcPr>
            <w:tcW w:w="1134" w:type="dxa"/>
            <w:vAlign w:val="center"/>
          </w:tcPr>
          <w:p>
            <w:pPr>
              <w:pStyle w:val="12"/>
            </w:pPr>
            <w:r>
              <w:rPr>
                <w:rFonts w:hint="eastAsia"/>
                <w:lang w:val="en-US" w:eastAsia="zh-CN"/>
              </w:rPr>
              <w:t>672.43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rPr>
                <w:rFonts w:hint="default"/>
                <w:lang w:val="en-US"/>
              </w:rPr>
            </w:pPr>
            <w:r>
              <w:rPr>
                <w:rFonts w:hint="eastAsia"/>
                <w:lang w:val="en-US" w:eastAsia="zh-CN"/>
              </w:rPr>
              <w:t>672.43</w:t>
            </w:r>
          </w:p>
        </w:tc>
        <w:tc>
          <w:tcPr>
            <w:tcW w:w="1134" w:type="dxa"/>
            <w:vAlign w:val="center"/>
          </w:tcPr>
          <w:p>
            <w:pPr>
              <w:pStyle w:val="12"/>
            </w:pPr>
            <w:r>
              <w:rPr>
                <w:rFonts w:hint="eastAsia"/>
                <w:lang w:val="en-US" w:eastAsia="zh-CN"/>
              </w:rPr>
              <w:t>672.4</w:t>
            </w:r>
            <w:r>
              <w:t>3</w:t>
            </w:r>
          </w:p>
        </w:tc>
        <w:tc>
          <w:tcPr>
            <w:tcW w:w="1134" w:type="dxa"/>
            <w:vAlign w:val="center"/>
          </w:tcPr>
          <w:p>
            <w:pPr>
              <w:pStyle w:val="12"/>
            </w:pPr>
            <w:r>
              <w:rPr>
                <w:rFonts w:hint="eastAsia"/>
                <w:lang w:val="en-US" w:eastAsia="zh-CN"/>
              </w:rPr>
              <w:t>672.4</w:t>
            </w:r>
            <w:r>
              <w:t>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2040601</w:t>
            </w:r>
          </w:p>
        </w:tc>
        <w:tc>
          <w:tcPr>
            <w:tcW w:w="1559" w:type="dxa"/>
            <w:vAlign w:val="center"/>
          </w:tcPr>
          <w:p>
            <w:pPr>
              <w:pStyle w:val="13"/>
            </w:pPr>
            <w:r>
              <w:t>行政运行</w:t>
            </w:r>
          </w:p>
        </w:tc>
        <w:tc>
          <w:tcPr>
            <w:tcW w:w="1134" w:type="dxa"/>
            <w:vAlign w:val="center"/>
          </w:tcPr>
          <w:p>
            <w:pPr>
              <w:pStyle w:val="12"/>
            </w:pPr>
            <w:r>
              <w:t>675.62</w:t>
            </w:r>
          </w:p>
        </w:tc>
        <w:tc>
          <w:tcPr>
            <w:tcW w:w="1134" w:type="dxa"/>
            <w:vAlign w:val="center"/>
          </w:tcPr>
          <w:p>
            <w:pPr>
              <w:pStyle w:val="12"/>
            </w:pPr>
            <w:r>
              <w:t>675.62</w:t>
            </w:r>
          </w:p>
        </w:tc>
        <w:tc>
          <w:tcPr>
            <w:tcW w:w="1134" w:type="dxa"/>
            <w:vAlign w:val="center"/>
          </w:tcPr>
          <w:p>
            <w:pPr>
              <w:pStyle w:val="12"/>
            </w:pPr>
            <w:r>
              <w:t>675.62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jc w:val="center"/>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2040604</w:t>
            </w:r>
          </w:p>
        </w:tc>
        <w:tc>
          <w:tcPr>
            <w:tcW w:w="1559" w:type="dxa"/>
            <w:vAlign w:val="center"/>
          </w:tcPr>
          <w:p>
            <w:pPr>
              <w:pStyle w:val="13"/>
            </w:pPr>
            <w:r>
              <w:t>基层司法业务</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2040605</w:t>
            </w:r>
          </w:p>
        </w:tc>
        <w:tc>
          <w:tcPr>
            <w:tcW w:w="1559" w:type="dxa"/>
            <w:vAlign w:val="center"/>
          </w:tcPr>
          <w:p>
            <w:pPr>
              <w:pStyle w:val="13"/>
            </w:pPr>
            <w:r>
              <w:t>普法宣传</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2040606</w:t>
            </w:r>
          </w:p>
        </w:tc>
        <w:tc>
          <w:tcPr>
            <w:tcW w:w="1559" w:type="dxa"/>
            <w:vAlign w:val="center"/>
          </w:tcPr>
          <w:p>
            <w:pPr>
              <w:pStyle w:val="13"/>
            </w:pPr>
            <w:r>
              <w:t>律师管理</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r>
              <w:t>22.00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2040607</w:t>
            </w:r>
          </w:p>
        </w:tc>
        <w:tc>
          <w:tcPr>
            <w:tcW w:w="1559" w:type="dxa"/>
            <w:vAlign w:val="center"/>
          </w:tcPr>
          <w:p>
            <w:pPr>
              <w:pStyle w:val="13"/>
            </w:pPr>
            <w:r>
              <w:t>公共法律服务</w:t>
            </w:r>
          </w:p>
        </w:tc>
        <w:tc>
          <w:tcPr>
            <w:tcW w:w="1134" w:type="dxa"/>
            <w:vAlign w:val="center"/>
          </w:tcPr>
          <w:p>
            <w:pPr>
              <w:pStyle w:val="12"/>
              <w:rPr>
                <w:rFonts w:hint="default"/>
                <w:lang w:val="en-US"/>
              </w:rPr>
            </w:pPr>
            <w:r>
              <w:rPr>
                <w:rFonts w:hint="eastAsia"/>
                <w:lang w:val="en-US" w:eastAsia="zh-CN"/>
              </w:rP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2040610</w:t>
            </w:r>
          </w:p>
        </w:tc>
        <w:tc>
          <w:tcPr>
            <w:tcW w:w="1559" w:type="dxa"/>
            <w:vAlign w:val="center"/>
          </w:tcPr>
          <w:p>
            <w:pPr>
              <w:pStyle w:val="13"/>
            </w:pPr>
            <w:r>
              <w:t>社区矫正</w:t>
            </w:r>
          </w:p>
        </w:tc>
        <w:tc>
          <w:tcPr>
            <w:tcW w:w="1134" w:type="dxa"/>
            <w:vAlign w:val="center"/>
          </w:tcPr>
          <w:p>
            <w:pPr>
              <w:pStyle w:val="12"/>
            </w:pPr>
            <w:r>
              <w:t>25.31</w:t>
            </w:r>
          </w:p>
        </w:tc>
        <w:tc>
          <w:tcPr>
            <w:tcW w:w="1134" w:type="dxa"/>
            <w:vAlign w:val="center"/>
          </w:tcPr>
          <w:p>
            <w:pPr>
              <w:pStyle w:val="12"/>
            </w:pPr>
            <w:r>
              <w:t>25.31</w:t>
            </w:r>
          </w:p>
        </w:tc>
        <w:tc>
          <w:tcPr>
            <w:tcW w:w="1134" w:type="dxa"/>
            <w:vAlign w:val="center"/>
          </w:tcPr>
          <w:p>
            <w:pPr>
              <w:pStyle w:val="12"/>
            </w:pPr>
            <w:r>
              <w:t>25.31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2040612</w:t>
            </w:r>
          </w:p>
        </w:tc>
        <w:tc>
          <w:tcPr>
            <w:tcW w:w="1559" w:type="dxa"/>
            <w:vAlign w:val="center"/>
          </w:tcPr>
          <w:p>
            <w:pPr>
              <w:pStyle w:val="13"/>
            </w:pPr>
            <w:r>
              <w:t>法治建设</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2040699</w:t>
            </w:r>
          </w:p>
        </w:tc>
        <w:tc>
          <w:tcPr>
            <w:tcW w:w="1559" w:type="dxa"/>
            <w:vAlign w:val="center"/>
          </w:tcPr>
          <w:p>
            <w:pPr>
              <w:pStyle w:val="13"/>
            </w:pPr>
            <w:r>
              <w:t>其他司法支出</w:t>
            </w:r>
          </w:p>
        </w:tc>
        <w:tc>
          <w:tcPr>
            <w:tcW w:w="1134" w:type="dxa"/>
            <w:vAlign w:val="center"/>
          </w:tcPr>
          <w:p>
            <w:pPr>
              <w:pStyle w:val="12"/>
              <w:rPr>
                <w:rFonts w:hint="default" w:eastAsia="方正书宋_GBK"/>
                <w:lang w:val="en-US" w:eastAsia="zh-CN"/>
              </w:rPr>
            </w:pPr>
            <w:r>
              <w:rPr>
                <w:rFonts w:hint="eastAsia"/>
                <w:lang w:val="en-US" w:eastAsia="zh-CN"/>
              </w:rP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62.21</w:t>
            </w:r>
          </w:p>
        </w:tc>
        <w:tc>
          <w:tcPr>
            <w:tcW w:w="1134" w:type="dxa"/>
            <w:vAlign w:val="center"/>
          </w:tcPr>
          <w:p>
            <w:pPr>
              <w:pStyle w:val="12"/>
            </w:pPr>
            <w:r>
              <w:t>62.21</w:t>
            </w:r>
          </w:p>
        </w:tc>
        <w:tc>
          <w:tcPr>
            <w:tcW w:w="1134" w:type="dxa"/>
            <w:vAlign w:val="center"/>
          </w:tcPr>
          <w:p>
            <w:pPr>
              <w:pStyle w:val="12"/>
            </w:pPr>
            <w:r>
              <w:t>62.21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r>
              <w:t>31.11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default" w:eastAsia="方正书宋_GBK"/>
                <w:lang w:val="en-US" w:eastAsia="zh-CN"/>
              </w:rPr>
            </w:pPr>
            <w:r>
              <w:rPr>
                <w:rFonts w:hint="eastAsia"/>
                <w:lang w:val="en-US" w:eastAsia="zh-CN"/>
              </w:rPr>
              <w:t>879.86</w:t>
            </w:r>
          </w:p>
        </w:tc>
        <w:tc>
          <w:tcPr>
            <w:tcW w:w="1361" w:type="dxa"/>
            <w:vAlign w:val="center"/>
          </w:tcPr>
          <w:p>
            <w:pPr>
              <w:pStyle w:val="16"/>
            </w:pPr>
            <w:r>
              <w:t>800.05</w:t>
            </w:r>
          </w:p>
        </w:tc>
        <w:tc>
          <w:tcPr>
            <w:tcW w:w="1361" w:type="dxa"/>
            <w:vAlign w:val="center"/>
          </w:tcPr>
          <w:p>
            <w:pPr>
              <w:pStyle w:val="16"/>
              <w:rPr>
                <w:rFonts w:hint="default"/>
                <w:lang w:val="en-US" w:eastAsia="zh-CN"/>
              </w:rPr>
            </w:pPr>
            <w:r>
              <w:rPr>
                <w:rFonts w:hint="eastAsia"/>
                <w:lang w:val="en-US" w:eastAsia="zh-CN"/>
              </w:rPr>
              <w:t>79.81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jc w:val="center"/>
            </w:pPr>
          </w:p>
        </w:tc>
        <w:tc>
          <w:tcPr>
            <w:tcW w:w="1361" w:type="dxa"/>
            <w:vAlign w:val="center"/>
          </w:tcPr>
          <w:p>
            <w:pPr>
              <w:pStyle w:val="12"/>
            </w:pPr>
          </w:p>
        </w:tc>
        <w:tc>
          <w:tcPr>
            <w:tcW w:w="1361" w:type="dxa"/>
            <w:vAlign w:val="center"/>
          </w:tcPr>
          <w:p>
            <w:pPr>
              <w:pStyle w:val="12"/>
              <w:jc w:val="center"/>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rPr>
                <w:rFonts w:hint="default" w:eastAsia="方正书宋_GBK"/>
                <w:lang w:val="en-US" w:eastAsia="zh-CN"/>
              </w:rPr>
            </w:pPr>
            <w:r>
              <w:rPr>
                <w:rFonts w:hint="eastAsia"/>
                <w:lang w:val="en-US" w:eastAsia="zh-CN"/>
              </w:rPr>
              <w:t>838.43</w:t>
            </w:r>
          </w:p>
        </w:tc>
        <w:tc>
          <w:tcPr>
            <w:tcW w:w="1361" w:type="dxa"/>
            <w:vAlign w:val="center"/>
          </w:tcPr>
          <w:p>
            <w:pPr>
              <w:pStyle w:val="12"/>
            </w:pPr>
            <w:r>
              <w:t>675.62</w:t>
            </w:r>
          </w:p>
        </w:tc>
        <w:tc>
          <w:tcPr>
            <w:tcW w:w="1361" w:type="dxa"/>
            <w:vAlign w:val="center"/>
          </w:tcPr>
          <w:p>
            <w:pPr>
              <w:pStyle w:val="12"/>
              <w:rPr>
                <w:rFonts w:hint="default" w:eastAsia="方正书宋_GBK"/>
                <w:lang w:val="en-US" w:eastAsia="zh-CN"/>
              </w:rPr>
            </w:pPr>
            <w:r>
              <w:rPr>
                <w:rFonts w:hint="eastAsia"/>
                <w:lang w:val="en-US" w:eastAsia="zh-CN"/>
              </w:rPr>
              <w:t>79.81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rPr>
                <w:rFonts w:hint="default"/>
                <w:lang w:val="en-US"/>
              </w:rPr>
            </w:pPr>
            <w:r>
              <w:rPr>
                <w:rFonts w:hint="eastAsia"/>
                <w:lang w:val="en-US" w:eastAsia="zh-CN"/>
              </w:rPr>
              <w:t>755.43</w:t>
            </w:r>
          </w:p>
        </w:tc>
        <w:tc>
          <w:tcPr>
            <w:tcW w:w="1361" w:type="dxa"/>
            <w:vAlign w:val="center"/>
          </w:tcPr>
          <w:p>
            <w:pPr>
              <w:pStyle w:val="12"/>
            </w:pPr>
            <w:r>
              <w:t>675.62</w:t>
            </w:r>
          </w:p>
        </w:tc>
        <w:tc>
          <w:tcPr>
            <w:tcW w:w="1361" w:type="dxa"/>
            <w:vAlign w:val="center"/>
          </w:tcPr>
          <w:p>
            <w:pPr>
              <w:pStyle w:val="12"/>
              <w:rPr>
                <w:rFonts w:hint="default" w:eastAsia="方正书宋_GBK"/>
                <w:lang w:val="en-US" w:eastAsia="zh-CN"/>
              </w:rPr>
            </w:pPr>
            <w:r>
              <w:rPr>
                <w:rFonts w:hint="eastAsia"/>
                <w:lang w:val="en-US" w:eastAsia="zh-CN"/>
              </w:rPr>
              <w:t>79.81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2040601</w:t>
            </w:r>
          </w:p>
        </w:tc>
        <w:tc>
          <w:tcPr>
            <w:tcW w:w="4535" w:type="dxa"/>
            <w:vAlign w:val="center"/>
          </w:tcPr>
          <w:p>
            <w:pPr>
              <w:pStyle w:val="13"/>
            </w:pPr>
            <w:r>
              <w:t>行政运行</w:t>
            </w:r>
          </w:p>
        </w:tc>
        <w:tc>
          <w:tcPr>
            <w:tcW w:w="1361" w:type="dxa"/>
            <w:vAlign w:val="center"/>
          </w:tcPr>
          <w:p>
            <w:pPr>
              <w:pStyle w:val="12"/>
            </w:pPr>
            <w:r>
              <w:t>675.62</w:t>
            </w:r>
          </w:p>
        </w:tc>
        <w:tc>
          <w:tcPr>
            <w:tcW w:w="1361" w:type="dxa"/>
            <w:vAlign w:val="center"/>
          </w:tcPr>
          <w:p>
            <w:pPr>
              <w:pStyle w:val="12"/>
            </w:pPr>
            <w:r>
              <w:t>675.62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2040604</w:t>
            </w:r>
          </w:p>
        </w:tc>
        <w:tc>
          <w:tcPr>
            <w:tcW w:w="4535" w:type="dxa"/>
            <w:vAlign w:val="center"/>
          </w:tcPr>
          <w:p>
            <w:pPr>
              <w:pStyle w:val="13"/>
            </w:pPr>
            <w:r>
              <w:t>基层司法业务</w:t>
            </w: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r>
              <w:t>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2040605</w:t>
            </w:r>
          </w:p>
        </w:tc>
        <w:tc>
          <w:tcPr>
            <w:tcW w:w="4535" w:type="dxa"/>
            <w:vAlign w:val="center"/>
          </w:tcPr>
          <w:p>
            <w:pPr>
              <w:pStyle w:val="13"/>
            </w:pPr>
            <w:r>
              <w:t>普法宣传</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2040606</w:t>
            </w:r>
          </w:p>
        </w:tc>
        <w:tc>
          <w:tcPr>
            <w:tcW w:w="4535" w:type="dxa"/>
            <w:vAlign w:val="center"/>
          </w:tcPr>
          <w:p>
            <w:pPr>
              <w:pStyle w:val="13"/>
            </w:pPr>
            <w:r>
              <w:t>律师管理</w:t>
            </w: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r>
              <w:t>22.00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2040607</w:t>
            </w:r>
          </w:p>
        </w:tc>
        <w:tc>
          <w:tcPr>
            <w:tcW w:w="4535" w:type="dxa"/>
            <w:vAlign w:val="center"/>
          </w:tcPr>
          <w:p>
            <w:pPr>
              <w:pStyle w:val="13"/>
            </w:pPr>
            <w:r>
              <w:t>公共法律服务</w:t>
            </w:r>
          </w:p>
        </w:tc>
        <w:tc>
          <w:tcPr>
            <w:tcW w:w="1361" w:type="dxa"/>
            <w:vAlign w:val="center"/>
          </w:tcPr>
          <w:p>
            <w:pPr>
              <w:pStyle w:val="12"/>
              <w:rPr>
                <w:rFonts w:hint="default" w:eastAsia="方正书宋_GBK"/>
                <w:lang w:val="en-US" w:eastAsia="zh-CN"/>
              </w:rPr>
            </w:pPr>
            <w:r>
              <w:t>1</w:t>
            </w:r>
            <w:r>
              <w:rPr>
                <w:rFonts w:hint="eastAsia"/>
                <w:lang w:val="en-US" w:eastAsia="zh-CN"/>
              </w:rPr>
              <w:t>0.00</w:t>
            </w:r>
          </w:p>
        </w:tc>
        <w:tc>
          <w:tcPr>
            <w:tcW w:w="1361" w:type="dxa"/>
            <w:vAlign w:val="center"/>
          </w:tcPr>
          <w:p>
            <w:pPr>
              <w:pStyle w:val="12"/>
            </w:pPr>
          </w:p>
        </w:tc>
        <w:tc>
          <w:tcPr>
            <w:tcW w:w="1361" w:type="dxa"/>
            <w:vAlign w:val="center"/>
          </w:tcPr>
          <w:p>
            <w:pPr>
              <w:pStyle w:val="12"/>
              <w:rPr>
                <w:rFonts w:hint="default" w:eastAsia="方正书宋_GBK"/>
                <w:lang w:val="en-US" w:eastAsia="zh-CN"/>
              </w:rPr>
            </w:pPr>
            <w:r>
              <w:rPr>
                <w:rFonts w:hint="eastAsia"/>
                <w:lang w:val="en-US" w:eastAsia="zh-CN"/>
              </w:rP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2040610</w:t>
            </w:r>
          </w:p>
        </w:tc>
        <w:tc>
          <w:tcPr>
            <w:tcW w:w="4535" w:type="dxa"/>
            <w:vAlign w:val="center"/>
          </w:tcPr>
          <w:p>
            <w:pPr>
              <w:pStyle w:val="13"/>
            </w:pPr>
            <w:r>
              <w:t>社区矫正</w:t>
            </w:r>
          </w:p>
        </w:tc>
        <w:tc>
          <w:tcPr>
            <w:tcW w:w="1361" w:type="dxa"/>
            <w:vAlign w:val="center"/>
          </w:tcPr>
          <w:p>
            <w:pPr>
              <w:pStyle w:val="12"/>
            </w:pPr>
            <w:r>
              <w:t>25.31</w:t>
            </w:r>
          </w:p>
        </w:tc>
        <w:tc>
          <w:tcPr>
            <w:tcW w:w="1361" w:type="dxa"/>
            <w:vAlign w:val="center"/>
          </w:tcPr>
          <w:p>
            <w:pPr>
              <w:pStyle w:val="12"/>
            </w:pPr>
          </w:p>
        </w:tc>
        <w:tc>
          <w:tcPr>
            <w:tcW w:w="1361" w:type="dxa"/>
            <w:vAlign w:val="center"/>
          </w:tcPr>
          <w:p>
            <w:pPr>
              <w:pStyle w:val="12"/>
            </w:pPr>
            <w:r>
              <w:t>25.31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2040612</w:t>
            </w:r>
          </w:p>
        </w:tc>
        <w:tc>
          <w:tcPr>
            <w:tcW w:w="4535" w:type="dxa"/>
            <w:vAlign w:val="center"/>
          </w:tcPr>
          <w:p>
            <w:pPr>
              <w:pStyle w:val="13"/>
            </w:pPr>
            <w:r>
              <w:t>法治建设</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2040699</w:t>
            </w:r>
          </w:p>
        </w:tc>
        <w:tc>
          <w:tcPr>
            <w:tcW w:w="4535" w:type="dxa"/>
            <w:vAlign w:val="center"/>
          </w:tcPr>
          <w:p>
            <w:pPr>
              <w:pStyle w:val="13"/>
            </w:pPr>
            <w:r>
              <w:t>其他司法支出</w:t>
            </w:r>
          </w:p>
        </w:tc>
        <w:tc>
          <w:tcPr>
            <w:tcW w:w="1361" w:type="dxa"/>
            <w:vAlign w:val="center"/>
          </w:tcPr>
          <w:p>
            <w:pPr>
              <w:pStyle w:val="12"/>
              <w:rPr>
                <w:rFonts w:hint="default"/>
                <w:lang w:val="en-US"/>
              </w:rPr>
            </w:pPr>
            <w:r>
              <w:rPr>
                <w:rFonts w:hint="eastAsia"/>
                <w:lang w:val="en-US" w:eastAsia="zh-CN"/>
              </w:rPr>
              <w:t>2.00</w:t>
            </w:r>
          </w:p>
        </w:tc>
        <w:tc>
          <w:tcPr>
            <w:tcW w:w="1361" w:type="dxa"/>
            <w:vAlign w:val="center"/>
          </w:tcPr>
          <w:p>
            <w:pPr>
              <w:pStyle w:val="12"/>
            </w:pPr>
          </w:p>
        </w:tc>
        <w:tc>
          <w:tcPr>
            <w:tcW w:w="1361" w:type="dxa"/>
            <w:vAlign w:val="center"/>
          </w:tcPr>
          <w:p>
            <w:pPr>
              <w:pStyle w:val="12"/>
              <w:rPr>
                <w:rFonts w:hint="default" w:eastAsia="方正书宋_GBK"/>
                <w:lang w:val="en-US" w:eastAsia="zh-CN"/>
              </w:rPr>
            </w:pPr>
            <w:r>
              <w:rPr>
                <w:rFonts w:hint="eastAsia"/>
                <w:lang w:val="en-US" w:eastAsia="zh-CN"/>
              </w:rP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93.32</w:t>
            </w:r>
          </w:p>
        </w:tc>
        <w:tc>
          <w:tcPr>
            <w:tcW w:w="1361" w:type="dxa"/>
            <w:vAlign w:val="center"/>
          </w:tcPr>
          <w:p>
            <w:pPr>
              <w:pStyle w:val="12"/>
            </w:pPr>
            <w:r>
              <w:t>93.32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93.32</w:t>
            </w:r>
          </w:p>
        </w:tc>
        <w:tc>
          <w:tcPr>
            <w:tcW w:w="1361" w:type="dxa"/>
            <w:vAlign w:val="center"/>
          </w:tcPr>
          <w:p>
            <w:pPr>
              <w:pStyle w:val="12"/>
            </w:pPr>
            <w:r>
              <w:t>93.32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62.21</w:t>
            </w:r>
          </w:p>
        </w:tc>
        <w:tc>
          <w:tcPr>
            <w:tcW w:w="1361" w:type="dxa"/>
            <w:vAlign w:val="center"/>
          </w:tcPr>
          <w:p>
            <w:pPr>
              <w:pStyle w:val="12"/>
            </w:pPr>
            <w:r>
              <w:t>62.21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31.11</w:t>
            </w:r>
          </w:p>
        </w:tc>
        <w:tc>
          <w:tcPr>
            <w:tcW w:w="1361" w:type="dxa"/>
            <w:vAlign w:val="center"/>
          </w:tcPr>
          <w:p>
            <w:pPr>
              <w:pStyle w:val="12"/>
            </w:pPr>
            <w:r>
              <w:t>31.11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31.11</w:t>
            </w:r>
          </w:p>
        </w:tc>
        <w:tc>
          <w:tcPr>
            <w:tcW w:w="1361" w:type="dxa"/>
            <w:vAlign w:val="center"/>
          </w:tcPr>
          <w:p>
            <w:pPr>
              <w:pStyle w:val="12"/>
            </w:pPr>
            <w:r>
              <w:t>31.11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31.11</w:t>
            </w:r>
          </w:p>
        </w:tc>
        <w:tc>
          <w:tcPr>
            <w:tcW w:w="1361" w:type="dxa"/>
            <w:vAlign w:val="center"/>
          </w:tcPr>
          <w:p>
            <w:pPr>
              <w:pStyle w:val="12"/>
            </w:pPr>
            <w:r>
              <w:t>31.11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31.11</w:t>
            </w:r>
          </w:p>
        </w:tc>
        <w:tc>
          <w:tcPr>
            <w:tcW w:w="1361" w:type="dxa"/>
            <w:vAlign w:val="center"/>
          </w:tcPr>
          <w:p>
            <w:pPr>
              <w:pStyle w:val="12"/>
            </w:pPr>
            <w:r>
              <w:t>31.11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962.86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rPr>
                <w:rFonts w:hint="default" w:eastAsia="方正书宋_GBK"/>
                <w:lang w:val="en-US" w:eastAsia="zh-CN"/>
              </w:rPr>
            </w:pPr>
            <w:r>
              <w:rPr>
                <w:rFonts w:hint="eastAsia"/>
                <w:lang w:val="en-US" w:eastAsia="zh-CN"/>
              </w:rPr>
              <w:t>838.43</w:t>
            </w:r>
          </w:p>
        </w:tc>
        <w:tc>
          <w:tcPr>
            <w:tcW w:w="1474" w:type="dxa"/>
            <w:vAlign w:val="center"/>
          </w:tcPr>
          <w:p>
            <w:pPr>
              <w:pStyle w:val="12"/>
              <w:rPr>
                <w:rFonts w:hint="default" w:eastAsia="方正书宋_GBK"/>
                <w:lang w:val="en-US" w:eastAsia="zh-CN"/>
              </w:rPr>
            </w:pPr>
            <w:r>
              <w:rPr>
                <w:rFonts w:hint="eastAsia"/>
                <w:lang w:val="en-US" w:eastAsia="zh-CN"/>
              </w:rPr>
              <w:t>838.43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93.32</w:t>
            </w:r>
          </w:p>
        </w:tc>
        <w:tc>
          <w:tcPr>
            <w:tcW w:w="1474" w:type="dxa"/>
            <w:vAlign w:val="center"/>
          </w:tcPr>
          <w:p>
            <w:pPr>
              <w:pStyle w:val="12"/>
            </w:pPr>
            <w:r>
              <w:t>93.32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31.11</w:t>
            </w:r>
          </w:p>
        </w:tc>
        <w:tc>
          <w:tcPr>
            <w:tcW w:w="1474" w:type="dxa"/>
            <w:vAlign w:val="center"/>
          </w:tcPr>
          <w:p>
            <w:pPr>
              <w:pStyle w:val="12"/>
            </w:pPr>
            <w:r>
              <w:t>31.11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879.86</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879.86</w:t>
            </w:r>
          </w:p>
        </w:tc>
        <w:tc>
          <w:tcPr>
            <w:tcW w:w="1474" w:type="dxa"/>
            <w:vAlign w:val="center"/>
          </w:tcPr>
          <w:p>
            <w:pPr>
              <w:pStyle w:val="16"/>
              <w:rPr>
                <w:rFonts w:hint="default" w:eastAsia="方正书宋_GBK"/>
                <w:lang w:val="en-US" w:eastAsia="zh-CN"/>
              </w:rPr>
            </w:pPr>
            <w:r>
              <w:rPr>
                <w:rFonts w:hint="eastAsia"/>
                <w:lang w:val="en-US" w:eastAsia="zh-CN"/>
              </w:rPr>
              <w:t>879.86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879.86</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879.86</w:t>
            </w:r>
          </w:p>
        </w:tc>
        <w:tc>
          <w:tcPr>
            <w:tcW w:w="1474" w:type="dxa"/>
            <w:vAlign w:val="center"/>
          </w:tcPr>
          <w:p>
            <w:pPr>
              <w:pStyle w:val="16"/>
              <w:rPr>
                <w:rFonts w:hint="default" w:eastAsia="方正书宋_GBK"/>
                <w:lang w:val="en-US" w:eastAsia="zh-CN"/>
              </w:rPr>
            </w:pPr>
            <w:r>
              <w:rPr>
                <w:rFonts w:hint="eastAsia"/>
                <w:lang w:val="en-US" w:eastAsia="zh-CN"/>
              </w:rPr>
              <w:t>879.86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rPr>
                <w:rFonts w:hint="default" w:eastAsia="方正书宋_GBK"/>
                <w:lang w:val="en-US" w:eastAsia="zh-CN"/>
              </w:rPr>
            </w:pPr>
            <w:r>
              <w:rPr>
                <w:rFonts w:hint="eastAsia"/>
                <w:lang w:val="en-US" w:eastAsia="zh-CN"/>
              </w:rPr>
              <w:t>879.86</w:t>
            </w:r>
          </w:p>
        </w:tc>
        <w:tc>
          <w:tcPr>
            <w:tcW w:w="1643" w:type="dxa"/>
            <w:vAlign w:val="center"/>
          </w:tcPr>
          <w:p>
            <w:pPr>
              <w:pStyle w:val="16"/>
            </w:pPr>
            <w:r>
              <w:t>800.05</w:t>
            </w:r>
          </w:p>
        </w:tc>
        <w:tc>
          <w:tcPr>
            <w:tcW w:w="1643" w:type="dxa"/>
            <w:vAlign w:val="center"/>
          </w:tcPr>
          <w:p>
            <w:pPr>
              <w:pStyle w:val="16"/>
              <w:rPr>
                <w:rFonts w:hint="default" w:eastAsia="方正书宋_GBK"/>
                <w:lang w:val="en-US" w:eastAsia="zh-CN"/>
              </w:rPr>
            </w:pPr>
            <w:r>
              <w:rPr>
                <w:rFonts w:hint="eastAsia"/>
                <w:lang w:val="en-US" w:eastAsia="zh-CN"/>
              </w:rPr>
              <w:t>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201</w:t>
            </w:r>
          </w:p>
        </w:tc>
        <w:tc>
          <w:tcPr>
            <w:tcW w:w="1643" w:type="dxa"/>
            <w:vAlign w:val="center"/>
          </w:tcPr>
          <w:p>
            <w:pPr>
              <w:pStyle w:val="13"/>
            </w:pPr>
            <w:r>
              <w:t>一般公共服务支出</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20101</w:t>
            </w:r>
          </w:p>
        </w:tc>
        <w:tc>
          <w:tcPr>
            <w:tcW w:w="1643" w:type="dxa"/>
            <w:vAlign w:val="center"/>
          </w:tcPr>
          <w:p>
            <w:pPr>
              <w:pStyle w:val="13"/>
            </w:pPr>
            <w:r>
              <w:t>人大事务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2010102</w:t>
            </w:r>
          </w:p>
        </w:tc>
        <w:tc>
          <w:tcPr>
            <w:tcW w:w="1643" w:type="dxa"/>
            <w:vAlign w:val="center"/>
          </w:tcPr>
          <w:p>
            <w:pPr>
              <w:pStyle w:val="13"/>
            </w:pPr>
            <w:r>
              <w:t>一般行政管理事务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204</w:t>
            </w:r>
          </w:p>
        </w:tc>
        <w:tc>
          <w:tcPr>
            <w:tcW w:w="1643" w:type="dxa"/>
            <w:vAlign w:val="center"/>
          </w:tcPr>
          <w:p>
            <w:pPr>
              <w:pStyle w:val="13"/>
            </w:pPr>
            <w:r>
              <w:t>公共安全支出</w:t>
            </w:r>
          </w:p>
        </w:tc>
        <w:tc>
          <w:tcPr>
            <w:tcW w:w="1643" w:type="dxa"/>
            <w:vAlign w:val="center"/>
          </w:tcPr>
          <w:p>
            <w:pPr>
              <w:pStyle w:val="12"/>
              <w:rPr>
                <w:rFonts w:hint="default" w:eastAsia="方正书宋_GBK"/>
                <w:lang w:val="en-US" w:eastAsia="zh-CN"/>
              </w:rPr>
            </w:pPr>
            <w:r>
              <w:rPr>
                <w:rFonts w:hint="eastAsia"/>
                <w:lang w:val="en-US" w:eastAsia="zh-CN"/>
              </w:rPr>
              <w:t>756.43</w:t>
            </w:r>
          </w:p>
        </w:tc>
        <w:tc>
          <w:tcPr>
            <w:tcW w:w="1643" w:type="dxa"/>
            <w:vAlign w:val="center"/>
          </w:tcPr>
          <w:p>
            <w:pPr>
              <w:pStyle w:val="12"/>
            </w:pPr>
            <w:r>
              <w:t>675.62</w:t>
            </w:r>
          </w:p>
        </w:tc>
        <w:tc>
          <w:tcPr>
            <w:tcW w:w="1643" w:type="dxa"/>
            <w:vAlign w:val="center"/>
          </w:tcPr>
          <w:p>
            <w:pPr>
              <w:pStyle w:val="12"/>
              <w:rPr>
                <w:rFonts w:hint="default" w:eastAsia="方正书宋_GBK"/>
                <w:lang w:val="en-US" w:eastAsia="zh-CN"/>
              </w:rPr>
            </w:pPr>
            <w:r>
              <w:rPr>
                <w:rFonts w:hint="eastAsia"/>
                <w:lang w:val="en-US" w:eastAsia="zh-CN"/>
              </w:rPr>
              <w:t>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20406</w:t>
            </w:r>
          </w:p>
        </w:tc>
        <w:tc>
          <w:tcPr>
            <w:tcW w:w="1643" w:type="dxa"/>
            <w:vAlign w:val="center"/>
          </w:tcPr>
          <w:p>
            <w:pPr>
              <w:pStyle w:val="13"/>
            </w:pPr>
            <w:r>
              <w:t>司法</w:t>
            </w:r>
          </w:p>
        </w:tc>
        <w:tc>
          <w:tcPr>
            <w:tcW w:w="1643" w:type="dxa"/>
            <w:vAlign w:val="center"/>
          </w:tcPr>
          <w:p>
            <w:pPr>
              <w:pStyle w:val="12"/>
              <w:rPr>
                <w:rFonts w:hint="default" w:eastAsia="方正书宋_GBK"/>
                <w:lang w:val="en-US" w:eastAsia="zh-CN"/>
              </w:rPr>
            </w:pPr>
            <w:r>
              <w:rPr>
                <w:rFonts w:hint="eastAsia"/>
                <w:lang w:val="en-US" w:eastAsia="zh-CN"/>
              </w:rPr>
              <w:t>756.43</w:t>
            </w:r>
          </w:p>
        </w:tc>
        <w:tc>
          <w:tcPr>
            <w:tcW w:w="1643" w:type="dxa"/>
            <w:vAlign w:val="center"/>
          </w:tcPr>
          <w:p>
            <w:pPr>
              <w:pStyle w:val="12"/>
            </w:pPr>
            <w:r>
              <w:t>675.62</w:t>
            </w:r>
          </w:p>
        </w:tc>
        <w:tc>
          <w:tcPr>
            <w:tcW w:w="1643" w:type="dxa"/>
            <w:vAlign w:val="center"/>
          </w:tcPr>
          <w:p>
            <w:pPr>
              <w:pStyle w:val="12"/>
              <w:rPr>
                <w:rFonts w:hint="default" w:eastAsia="方正书宋_GBK"/>
                <w:lang w:val="en-US" w:eastAsia="zh-CN"/>
              </w:rPr>
            </w:pPr>
            <w:r>
              <w:rPr>
                <w:rFonts w:hint="eastAsia"/>
                <w:lang w:val="en-US" w:eastAsia="zh-CN"/>
              </w:rPr>
              <w:t>79.81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2040601</w:t>
            </w:r>
          </w:p>
        </w:tc>
        <w:tc>
          <w:tcPr>
            <w:tcW w:w="1643" w:type="dxa"/>
            <w:vAlign w:val="center"/>
          </w:tcPr>
          <w:p>
            <w:pPr>
              <w:pStyle w:val="13"/>
            </w:pPr>
            <w:r>
              <w:t>行政运行</w:t>
            </w:r>
          </w:p>
        </w:tc>
        <w:tc>
          <w:tcPr>
            <w:tcW w:w="1643" w:type="dxa"/>
            <w:vAlign w:val="center"/>
          </w:tcPr>
          <w:p>
            <w:pPr>
              <w:pStyle w:val="12"/>
            </w:pPr>
            <w:r>
              <w:t>675.62</w:t>
            </w:r>
          </w:p>
        </w:tc>
        <w:tc>
          <w:tcPr>
            <w:tcW w:w="1643" w:type="dxa"/>
            <w:vAlign w:val="center"/>
          </w:tcPr>
          <w:p>
            <w:pPr>
              <w:pStyle w:val="12"/>
            </w:pPr>
            <w:r>
              <w:t>675.62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2040602</w:t>
            </w:r>
          </w:p>
        </w:tc>
        <w:tc>
          <w:tcPr>
            <w:tcW w:w="1643" w:type="dxa"/>
            <w:vAlign w:val="center"/>
          </w:tcPr>
          <w:p>
            <w:pPr>
              <w:pStyle w:val="13"/>
            </w:pPr>
            <w:r>
              <w:t>一般行政管理事务</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2040604</w:t>
            </w:r>
          </w:p>
        </w:tc>
        <w:tc>
          <w:tcPr>
            <w:tcW w:w="1643" w:type="dxa"/>
            <w:vAlign w:val="center"/>
          </w:tcPr>
          <w:p>
            <w:pPr>
              <w:pStyle w:val="13"/>
            </w:pPr>
            <w:r>
              <w:t>基层司法业务</w:t>
            </w:r>
          </w:p>
        </w:tc>
        <w:tc>
          <w:tcPr>
            <w:tcW w:w="1643" w:type="dxa"/>
            <w:vAlign w:val="center"/>
          </w:tcPr>
          <w:p>
            <w:pPr>
              <w:pStyle w:val="12"/>
            </w:pPr>
            <w:r>
              <w:t>8.50</w:t>
            </w:r>
          </w:p>
        </w:tc>
        <w:tc>
          <w:tcPr>
            <w:tcW w:w="1643" w:type="dxa"/>
            <w:vAlign w:val="center"/>
          </w:tcPr>
          <w:p>
            <w:pPr>
              <w:pStyle w:val="12"/>
            </w:pPr>
          </w:p>
        </w:tc>
        <w:tc>
          <w:tcPr>
            <w:tcW w:w="1643" w:type="dxa"/>
            <w:vAlign w:val="center"/>
          </w:tcPr>
          <w:p>
            <w:pPr>
              <w:pStyle w:val="12"/>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2040605</w:t>
            </w:r>
          </w:p>
        </w:tc>
        <w:tc>
          <w:tcPr>
            <w:tcW w:w="1643" w:type="dxa"/>
            <w:vAlign w:val="center"/>
          </w:tcPr>
          <w:p>
            <w:pPr>
              <w:pStyle w:val="13"/>
            </w:pPr>
            <w:r>
              <w:t>普法宣传</w:t>
            </w:r>
          </w:p>
        </w:tc>
        <w:tc>
          <w:tcPr>
            <w:tcW w:w="1643" w:type="dxa"/>
            <w:vAlign w:val="center"/>
          </w:tcPr>
          <w:p>
            <w:pPr>
              <w:pStyle w:val="12"/>
            </w:pPr>
            <w:r>
              <w:t>2.00</w:t>
            </w:r>
          </w:p>
        </w:tc>
        <w:tc>
          <w:tcPr>
            <w:tcW w:w="1643" w:type="dxa"/>
            <w:vAlign w:val="center"/>
          </w:tcPr>
          <w:p>
            <w:pPr>
              <w:pStyle w:val="12"/>
            </w:pPr>
          </w:p>
        </w:tc>
        <w:tc>
          <w:tcPr>
            <w:tcW w:w="1643"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2040606</w:t>
            </w:r>
          </w:p>
        </w:tc>
        <w:tc>
          <w:tcPr>
            <w:tcW w:w="1643" w:type="dxa"/>
            <w:vAlign w:val="center"/>
          </w:tcPr>
          <w:p>
            <w:pPr>
              <w:pStyle w:val="13"/>
            </w:pPr>
            <w:r>
              <w:t>律师管理</w:t>
            </w:r>
          </w:p>
        </w:tc>
        <w:tc>
          <w:tcPr>
            <w:tcW w:w="1643" w:type="dxa"/>
            <w:vAlign w:val="center"/>
          </w:tcPr>
          <w:p>
            <w:pPr>
              <w:pStyle w:val="12"/>
            </w:pPr>
            <w:r>
              <w:t>22.00</w:t>
            </w:r>
          </w:p>
        </w:tc>
        <w:tc>
          <w:tcPr>
            <w:tcW w:w="1643" w:type="dxa"/>
            <w:vAlign w:val="center"/>
          </w:tcPr>
          <w:p>
            <w:pPr>
              <w:pStyle w:val="12"/>
            </w:pPr>
          </w:p>
        </w:tc>
        <w:tc>
          <w:tcPr>
            <w:tcW w:w="1643"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2040607</w:t>
            </w:r>
          </w:p>
        </w:tc>
        <w:tc>
          <w:tcPr>
            <w:tcW w:w="1643" w:type="dxa"/>
            <w:vAlign w:val="center"/>
          </w:tcPr>
          <w:p>
            <w:pPr>
              <w:pStyle w:val="13"/>
            </w:pPr>
            <w:r>
              <w:t>公共法律服务</w:t>
            </w:r>
          </w:p>
        </w:tc>
        <w:tc>
          <w:tcPr>
            <w:tcW w:w="1643" w:type="dxa"/>
            <w:vAlign w:val="center"/>
          </w:tcPr>
          <w:p>
            <w:pPr>
              <w:pStyle w:val="12"/>
              <w:rPr>
                <w:rFonts w:hint="default" w:eastAsia="方正书宋_GBK"/>
                <w:lang w:val="en-US" w:eastAsia="zh-CN"/>
              </w:rPr>
            </w:pPr>
            <w:r>
              <w:rPr>
                <w:rFonts w:hint="eastAsia"/>
                <w:lang w:val="en-US" w:eastAsia="zh-CN"/>
              </w:rPr>
              <w:t>10.00</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2040610</w:t>
            </w:r>
          </w:p>
        </w:tc>
        <w:tc>
          <w:tcPr>
            <w:tcW w:w="1643" w:type="dxa"/>
            <w:vAlign w:val="center"/>
          </w:tcPr>
          <w:p>
            <w:pPr>
              <w:pStyle w:val="13"/>
            </w:pPr>
            <w:r>
              <w:t>社区矫正</w:t>
            </w:r>
          </w:p>
        </w:tc>
        <w:tc>
          <w:tcPr>
            <w:tcW w:w="1643" w:type="dxa"/>
            <w:vAlign w:val="center"/>
          </w:tcPr>
          <w:p>
            <w:pPr>
              <w:pStyle w:val="12"/>
            </w:pPr>
            <w:r>
              <w:t>25.31</w:t>
            </w:r>
          </w:p>
        </w:tc>
        <w:tc>
          <w:tcPr>
            <w:tcW w:w="1643" w:type="dxa"/>
            <w:vAlign w:val="center"/>
          </w:tcPr>
          <w:p>
            <w:pPr>
              <w:pStyle w:val="12"/>
            </w:pPr>
          </w:p>
        </w:tc>
        <w:tc>
          <w:tcPr>
            <w:tcW w:w="1643" w:type="dxa"/>
            <w:vAlign w:val="center"/>
          </w:tcPr>
          <w:p>
            <w:pPr>
              <w:pStyle w:val="12"/>
            </w:pPr>
            <w:r>
              <w:t>25.31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2040612</w:t>
            </w:r>
          </w:p>
        </w:tc>
        <w:tc>
          <w:tcPr>
            <w:tcW w:w="1643" w:type="dxa"/>
            <w:vAlign w:val="center"/>
          </w:tcPr>
          <w:p>
            <w:pPr>
              <w:pStyle w:val="13"/>
            </w:pPr>
            <w:r>
              <w:t>法治建设</w:t>
            </w:r>
          </w:p>
        </w:tc>
        <w:tc>
          <w:tcPr>
            <w:tcW w:w="1643" w:type="dxa"/>
            <w:vAlign w:val="center"/>
          </w:tcPr>
          <w:p>
            <w:pPr>
              <w:pStyle w:val="12"/>
            </w:pPr>
            <w:r>
              <w:t>10.00</w:t>
            </w:r>
          </w:p>
        </w:tc>
        <w:tc>
          <w:tcPr>
            <w:tcW w:w="1643" w:type="dxa"/>
            <w:vAlign w:val="center"/>
          </w:tcPr>
          <w:p>
            <w:pPr>
              <w:pStyle w:val="12"/>
            </w:pP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2040699</w:t>
            </w:r>
          </w:p>
        </w:tc>
        <w:tc>
          <w:tcPr>
            <w:tcW w:w="1643" w:type="dxa"/>
            <w:vAlign w:val="center"/>
          </w:tcPr>
          <w:p>
            <w:pPr>
              <w:pStyle w:val="13"/>
            </w:pPr>
            <w:r>
              <w:t>其他司法支出</w:t>
            </w:r>
          </w:p>
        </w:tc>
        <w:tc>
          <w:tcPr>
            <w:tcW w:w="1643" w:type="dxa"/>
            <w:vAlign w:val="center"/>
          </w:tcPr>
          <w:p>
            <w:pPr>
              <w:pStyle w:val="12"/>
              <w:rPr>
                <w:rFonts w:hint="default"/>
                <w:lang w:val="en-US"/>
              </w:rPr>
            </w:pPr>
            <w:r>
              <w:rPr>
                <w:rFonts w:hint="eastAsia"/>
                <w:lang w:val="en-US" w:eastAsia="zh-CN"/>
              </w:rPr>
              <w:t>2.00</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t>93.32</w:t>
            </w:r>
          </w:p>
        </w:tc>
        <w:tc>
          <w:tcPr>
            <w:tcW w:w="1643" w:type="dxa"/>
            <w:vAlign w:val="center"/>
          </w:tcPr>
          <w:p>
            <w:pPr>
              <w:pStyle w:val="12"/>
            </w:pPr>
            <w:r>
              <w:t>93.32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93.32</w:t>
            </w:r>
          </w:p>
        </w:tc>
        <w:tc>
          <w:tcPr>
            <w:tcW w:w="1643" w:type="dxa"/>
            <w:vAlign w:val="center"/>
          </w:tcPr>
          <w:p>
            <w:pPr>
              <w:pStyle w:val="12"/>
            </w:pPr>
            <w:r>
              <w:t>93.32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62.21</w:t>
            </w:r>
          </w:p>
        </w:tc>
        <w:tc>
          <w:tcPr>
            <w:tcW w:w="1643" w:type="dxa"/>
            <w:vAlign w:val="center"/>
          </w:tcPr>
          <w:p>
            <w:pPr>
              <w:pStyle w:val="12"/>
            </w:pPr>
            <w:r>
              <w:t>62.21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2080506</w:t>
            </w:r>
          </w:p>
        </w:tc>
        <w:tc>
          <w:tcPr>
            <w:tcW w:w="1643" w:type="dxa"/>
            <w:vAlign w:val="center"/>
          </w:tcPr>
          <w:p>
            <w:pPr>
              <w:pStyle w:val="13"/>
            </w:pPr>
            <w:r>
              <w:t>机关事业单位职业年金缴费支出</w:t>
            </w:r>
          </w:p>
        </w:tc>
        <w:tc>
          <w:tcPr>
            <w:tcW w:w="1643" w:type="dxa"/>
            <w:vAlign w:val="center"/>
          </w:tcPr>
          <w:p>
            <w:pPr>
              <w:pStyle w:val="12"/>
            </w:pPr>
            <w:r>
              <w:t>31.11</w:t>
            </w:r>
          </w:p>
        </w:tc>
        <w:tc>
          <w:tcPr>
            <w:tcW w:w="1643" w:type="dxa"/>
            <w:vAlign w:val="center"/>
          </w:tcPr>
          <w:p>
            <w:pPr>
              <w:pStyle w:val="12"/>
            </w:pPr>
            <w:r>
              <w:t>31.11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31.11</w:t>
            </w:r>
          </w:p>
        </w:tc>
        <w:tc>
          <w:tcPr>
            <w:tcW w:w="1643" w:type="dxa"/>
            <w:vAlign w:val="center"/>
          </w:tcPr>
          <w:p>
            <w:pPr>
              <w:pStyle w:val="12"/>
            </w:pPr>
            <w:r>
              <w:t>31.11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31.11</w:t>
            </w:r>
          </w:p>
        </w:tc>
        <w:tc>
          <w:tcPr>
            <w:tcW w:w="1643" w:type="dxa"/>
            <w:vAlign w:val="center"/>
          </w:tcPr>
          <w:p>
            <w:pPr>
              <w:pStyle w:val="12"/>
            </w:pPr>
            <w:r>
              <w:t>31.11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31.11</w:t>
            </w:r>
          </w:p>
        </w:tc>
        <w:tc>
          <w:tcPr>
            <w:tcW w:w="1643" w:type="dxa"/>
            <w:vAlign w:val="center"/>
          </w:tcPr>
          <w:p>
            <w:pPr>
              <w:pStyle w:val="12"/>
            </w:pPr>
            <w:r>
              <w:t>31.11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800.05</w:t>
            </w:r>
          </w:p>
        </w:tc>
        <w:tc>
          <w:tcPr>
            <w:tcW w:w="2551" w:type="dxa"/>
            <w:vAlign w:val="center"/>
          </w:tcPr>
          <w:p>
            <w:pPr>
              <w:pStyle w:val="16"/>
            </w:pPr>
            <w:r>
              <w:t>752.71</w:t>
            </w:r>
          </w:p>
        </w:tc>
        <w:tc>
          <w:tcPr>
            <w:tcW w:w="2551" w:type="dxa"/>
            <w:vAlign w:val="center"/>
          </w:tcPr>
          <w:p>
            <w:pPr>
              <w:pStyle w:val="16"/>
            </w:pPr>
            <w:r>
              <w:t>47.34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736.52</w:t>
            </w:r>
          </w:p>
        </w:tc>
        <w:tc>
          <w:tcPr>
            <w:tcW w:w="2551" w:type="dxa"/>
            <w:vAlign w:val="center"/>
          </w:tcPr>
          <w:p>
            <w:pPr>
              <w:pStyle w:val="12"/>
            </w:pPr>
            <w:r>
              <w:t>736.52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331.12</w:t>
            </w:r>
          </w:p>
        </w:tc>
        <w:tc>
          <w:tcPr>
            <w:tcW w:w="2551" w:type="dxa"/>
            <w:vAlign w:val="center"/>
          </w:tcPr>
          <w:p>
            <w:pPr>
              <w:pStyle w:val="12"/>
            </w:pPr>
            <w:r>
              <w:t>331.12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191.47</w:t>
            </w:r>
          </w:p>
        </w:tc>
        <w:tc>
          <w:tcPr>
            <w:tcW w:w="2551" w:type="dxa"/>
            <w:vAlign w:val="center"/>
          </w:tcPr>
          <w:p>
            <w:pPr>
              <w:pStyle w:val="12"/>
            </w:pPr>
            <w:r>
              <w:t>191.47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50.61</w:t>
            </w:r>
          </w:p>
        </w:tc>
        <w:tc>
          <w:tcPr>
            <w:tcW w:w="2551" w:type="dxa"/>
            <w:vAlign w:val="center"/>
          </w:tcPr>
          <w:p>
            <w:pPr>
              <w:pStyle w:val="12"/>
            </w:pPr>
            <w:r>
              <w:t>50.61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11.82</w:t>
            </w:r>
          </w:p>
        </w:tc>
        <w:tc>
          <w:tcPr>
            <w:tcW w:w="2551" w:type="dxa"/>
            <w:vAlign w:val="center"/>
          </w:tcPr>
          <w:p>
            <w:pPr>
              <w:pStyle w:val="12"/>
            </w:pPr>
            <w:r>
              <w:t>11.82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62.21</w:t>
            </w:r>
          </w:p>
        </w:tc>
        <w:tc>
          <w:tcPr>
            <w:tcW w:w="2551" w:type="dxa"/>
            <w:vAlign w:val="center"/>
          </w:tcPr>
          <w:p>
            <w:pPr>
              <w:pStyle w:val="12"/>
            </w:pPr>
            <w:r>
              <w:t>62.21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31.11</w:t>
            </w:r>
          </w:p>
        </w:tc>
        <w:tc>
          <w:tcPr>
            <w:tcW w:w="2551" w:type="dxa"/>
            <w:vAlign w:val="center"/>
          </w:tcPr>
          <w:p>
            <w:pPr>
              <w:pStyle w:val="12"/>
            </w:pPr>
            <w:r>
              <w:t>31.11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25.12</w:t>
            </w:r>
          </w:p>
        </w:tc>
        <w:tc>
          <w:tcPr>
            <w:tcW w:w="2551" w:type="dxa"/>
            <w:vAlign w:val="center"/>
          </w:tcPr>
          <w:p>
            <w:pPr>
              <w:pStyle w:val="12"/>
            </w:pPr>
            <w:r>
              <w:t>25.12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1.95</w:t>
            </w:r>
          </w:p>
        </w:tc>
        <w:tc>
          <w:tcPr>
            <w:tcW w:w="2551" w:type="dxa"/>
            <w:vAlign w:val="center"/>
          </w:tcPr>
          <w:p>
            <w:pPr>
              <w:pStyle w:val="12"/>
            </w:pPr>
            <w:r>
              <w:t>1.95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31.11</w:t>
            </w:r>
          </w:p>
        </w:tc>
        <w:tc>
          <w:tcPr>
            <w:tcW w:w="2551" w:type="dxa"/>
            <w:vAlign w:val="center"/>
          </w:tcPr>
          <w:p>
            <w:pPr>
              <w:pStyle w:val="12"/>
            </w:pPr>
            <w:r>
              <w:t>31.11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47.34</w:t>
            </w:r>
          </w:p>
        </w:tc>
        <w:tc>
          <w:tcPr>
            <w:tcW w:w="2551" w:type="dxa"/>
            <w:vAlign w:val="center"/>
          </w:tcPr>
          <w:p>
            <w:pPr>
              <w:pStyle w:val="12"/>
            </w:pPr>
          </w:p>
        </w:tc>
        <w:tc>
          <w:tcPr>
            <w:tcW w:w="2551" w:type="dxa"/>
            <w:vAlign w:val="center"/>
          </w:tcPr>
          <w:p>
            <w:pPr>
              <w:pStyle w:val="12"/>
            </w:pPr>
            <w:r>
              <w:t>47.34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5.30</w:t>
            </w:r>
          </w:p>
        </w:tc>
        <w:tc>
          <w:tcPr>
            <w:tcW w:w="2551" w:type="dxa"/>
            <w:vAlign w:val="center"/>
          </w:tcPr>
          <w:p>
            <w:pPr>
              <w:pStyle w:val="12"/>
            </w:pPr>
          </w:p>
        </w:tc>
        <w:tc>
          <w:tcPr>
            <w:tcW w:w="2551" w:type="dxa"/>
            <w:vAlign w:val="center"/>
          </w:tcPr>
          <w:p>
            <w:pPr>
              <w:pStyle w:val="12"/>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20.94</w:t>
            </w:r>
          </w:p>
        </w:tc>
        <w:tc>
          <w:tcPr>
            <w:tcW w:w="2551" w:type="dxa"/>
            <w:vAlign w:val="center"/>
          </w:tcPr>
          <w:p>
            <w:pPr>
              <w:pStyle w:val="12"/>
            </w:pPr>
          </w:p>
        </w:tc>
        <w:tc>
          <w:tcPr>
            <w:tcW w:w="2551" w:type="dxa"/>
            <w:vAlign w:val="center"/>
          </w:tcPr>
          <w:p>
            <w:pPr>
              <w:pStyle w:val="12"/>
            </w:pPr>
            <w:r>
              <w:t>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16.19</w:t>
            </w:r>
          </w:p>
        </w:tc>
        <w:tc>
          <w:tcPr>
            <w:tcW w:w="2551" w:type="dxa"/>
            <w:vAlign w:val="center"/>
          </w:tcPr>
          <w:p>
            <w:pPr>
              <w:pStyle w:val="12"/>
            </w:pPr>
            <w:r>
              <w:t>16.19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15.39</w:t>
            </w:r>
          </w:p>
        </w:tc>
        <w:tc>
          <w:tcPr>
            <w:tcW w:w="2551" w:type="dxa"/>
            <w:vAlign w:val="center"/>
          </w:tcPr>
          <w:p>
            <w:pPr>
              <w:pStyle w:val="12"/>
            </w:pPr>
            <w:r>
              <w:t>15.39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0.80</w:t>
            </w:r>
          </w:p>
        </w:tc>
        <w:tc>
          <w:tcPr>
            <w:tcW w:w="2551" w:type="dxa"/>
            <w:vAlign w:val="center"/>
          </w:tcPr>
          <w:p>
            <w:pPr>
              <w:pStyle w:val="12"/>
            </w:pPr>
            <w:r>
              <w:t>0.80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315涞源县司法局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rPr>
                <w:rFonts w:hint="default" w:eastAsia="方正书宋_GBK"/>
                <w:lang w:val="en-US" w:eastAsia="zh-CN"/>
              </w:rPr>
            </w:pPr>
            <w:r>
              <w:rPr>
                <w:rFonts w:hint="eastAsia"/>
                <w:lang w:val="en-US" w:eastAsia="zh-CN"/>
              </w:rPr>
              <w:t>10.20</w:t>
            </w:r>
          </w:p>
        </w:tc>
        <w:tc>
          <w:tcPr>
            <w:tcW w:w="2381" w:type="dxa"/>
            <w:vAlign w:val="center"/>
          </w:tcPr>
          <w:p>
            <w:pPr>
              <w:pStyle w:val="16"/>
              <w:rPr>
                <w:rFonts w:hint="default"/>
                <w:lang w:val="en-US" w:eastAsia="zh-CN"/>
              </w:rPr>
            </w:pPr>
            <w:r>
              <w:rPr>
                <w:rFonts w:hint="eastAsia"/>
                <w:lang w:val="en-US" w:eastAsia="zh-CN"/>
              </w:rPr>
              <w:t>10.20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10.20</w:t>
            </w:r>
          </w:p>
        </w:tc>
        <w:tc>
          <w:tcPr>
            <w:tcW w:w="2381" w:type="dxa"/>
            <w:vAlign w:val="center"/>
          </w:tcPr>
          <w:p>
            <w:pPr>
              <w:pStyle w:val="12"/>
            </w:pPr>
            <w:r>
              <w:t>10.20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2.20</w:t>
            </w:r>
          </w:p>
        </w:tc>
        <w:tc>
          <w:tcPr>
            <w:tcW w:w="2381" w:type="dxa"/>
            <w:vAlign w:val="center"/>
          </w:tcPr>
          <w:p>
            <w:pPr>
              <w:pStyle w:val="12"/>
            </w:pPr>
            <w:r>
              <w:t>2.20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涞源县司法局2024年部门预算信息公开情况说明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涞源县司法局2024年部门预算信息公开情况说明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按照《中华人民共和国预算法》、《地方预决算公开操作规程》和《关于进一步推进预算公开工作的实施意见》规定，现将涞源县司法局2024年部门预算公开如下：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pPr>
      <w:r>
        <w:rPr>
          <w:rFonts w:ascii="Times New Roman" w:hAnsi="Times New Roman" w:eastAsia="方正仿宋_GBK" w:cs="Times New Roman"/>
          <w:color w:val="000000"/>
          <w:sz w:val="28"/>
        </w:rPr>
        <w:t>根据《涞源县司法局职能配置、内设机构和人员编制规定》，涞源县司法局的主要职责是：</w:t>
      </w:r>
    </w:p>
    <w:p>
      <w:pPr>
        <w:pStyle w:val="26"/>
      </w:pPr>
      <w:r>
        <w:t>部门职责：</w:t>
      </w:r>
    </w:p>
    <w:p>
      <w:pPr>
        <w:pStyle w:val="26"/>
      </w:pPr>
      <w:r>
        <w:t>（一）贯彻落实国家、省和市有关司法行政工作的方针政策，按照县委、县政府指示，制定全县司法行政工作中长期规划和年度工作要点，并督促检查落实情况。</w:t>
      </w:r>
    </w:p>
    <w:p>
      <w:pPr>
        <w:pStyle w:val="26"/>
      </w:pPr>
      <w:r>
        <w:t>（二）承担全面依法治县重大问题的政策研究。组织协调有关方面提出全面依法治县中长期规划建议，负责有关重大决策部署督察工作。</w:t>
      </w:r>
    </w:p>
    <w:p>
      <w:pPr>
        <w:pStyle w:val="26"/>
      </w:pPr>
      <w:r>
        <w:t>（三）负责县政府各部门政府规范性文件的备案审查工作，负责对县政府政策措施、规范性文件和合同协议的合法性审核工作。承办县政府交办的涉法事务。</w:t>
      </w:r>
    </w:p>
    <w:p>
      <w:pPr>
        <w:pStyle w:val="26"/>
      </w:pPr>
      <w:r>
        <w:t>（四）承担统筹推进涞源县法治政府建设的责任。指导、监督县政府各部门、各乡（镇）政府依法行政工作；负责综合协调行政执法，承担推进行政执法体制改革有关工作，推进严格规范公正文明执法；依法承办行政复议案件；受县政府委托，代理行政诉讼案件的应诉；指导、监督全县行政复议和行政应诉工作。</w:t>
      </w:r>
    </w:p>
    <w:p>
      <w:pPr>
        <w:pStyle w:val="26"/>
      </w:pPr>
      <w:r>
        <w:t>（五）承担统筹规划全县法治社会建设的责任。负责拟订全县法治宣传教育规划，组织实施普法宣传工作；推动全县人民参与和促进法治建设；指导全县依法治理和法治创建工作；指导全县调解工作，负责和指导全县人民陪审员、人民监督员选任管理工作；负责指导全县司法所建设。</w:t>
      </w:r>
    </w:p>
    <w:p>
      <w:pPr>
        <w:pStyle w:val="26"/>
      </w:pPr>
      <w:r>
        <w:t>（六）指导、管理全县社区矫正工作；指导、管理全县刑满释放人员帮教安置工作。</w:t>
      </w:r>
    </w:p>
    <w:p>
      <w:pPr>
        <w:pStyle w:val="26"/>
      </w:pPr>
      <w:r>
        <w:t>（七）负责制定全县公共法律服务体系建设规划并指导实施，统筹和布局城乡法律服务资源。负责全县律师、公证、法律援助、司法鉴定和基层法律服务管理工作。</w:t>
      </w:r>
    </w:p>
    <w:p>
      <w:pPr>
        <w:pStyle w:val="26"/>
      </w:pPr>
      <w:r>
        <w:t>（八）负责本系统物资装备管理工作；指导、监督本系统财务、装备、设施、场所等保障工作。</w:t>
      </w:r>
    </w:p>
    <w:p>
      <w:pPr>
        <w:pStyle w:val="26"/>
      </w:pPr>
      <w:r>
        <w:t>（九）规划、协调、指导全县法治人才队伍建设相关工作。指导、监督本系统队伍建设；管理局机关及直属单位的机构编制和人事工作。</w:t>
      </w:r>
    </w:p>
    <w:p>
      <w:pPr>
        <w:pStyle w:val="26"/>
        <w:ind w:left="0" w:leftChars="0" w:firstLine="0" w:firstLineChars="0"/>
        <w:sectPr>
          <w:pgSz w:w="11900" w:h="16840"/>
          <w:pgMar w:top="1361" w:right="1020" w:bottom="1361" w:left="1020" w:header="720" w:footer="720" w:gutter="0"/>
          <w:pgNumType w:start="1"/>
          <w:cols w:space="720" w:num="1"/>
        </w:sectPr>
      </w:pPr>
      <w:r>
        <w:t>（十）承办县委、县政府和上级司法行政机关交办的其它工作任务。</w:t>
      </w:r>
    </w:p>
    <w:p>
      <w:pPr>
        <w:pStyle w:val="18"/>
        <w:ind w:left="0" w:leftChars="0" w:firstLine="0" w:firstLineChars="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涞源县司法局本级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按照预算管理有关规定，目前部门预算的编制实行综合预算管理，即全部收入和支出都反映在预算中。涞源县司法局机关及所属事业单位的收支包含在部门预算中。</w:t>
      </w:r>
    </w:p>
    <w:p>
      <w:pPr>
        <w:pStyle w:val="19"/>
      </w:pPr>
      <w:r>
        <w:t>1、收入说明</w:t>
      </w:r>
    </w:p>
    <w:p>
      <w:pPr>
        <w:pStyle w:val="19"/>
      </w:pPr>
      <w:r>
        <w:t>反映本部门当年全部收入。2024年预算收入</w:t>
      </w:r>
      <w:r>
        <w:rPr>
          <w:rFonts w:hint="eastAsia"/>
          <w:lang w:val="en-US" w:eastAsia="zh-CN"/>
        </w:rPr>
        <w:t>879.86</w:t>
      </w:r>
      <w:r>
        <w:t>万元，其中：一般公共预算收入</w:t>
      </w:r>
      <w:r>
        <w:rPr>
          <w:rFonts w:hint="eastAsia"/>
          <w:lang w:val="en-US" w:eastAsia="zh-CN"/>
        </w:rPr>
        <w:t>879.86</w:t>
      </w:r>
      <w:r>
        <w:t>万元，基金预算收入0.00万元，国有资本经营预算收入0.00万元，财政专户核拨收入0.00万元，单位资金收入0.00万元，上年结转结余</w:t>
      </w:r>
      <w:r>
        <w:rPr>
          <w:rFonts w:hint="eastAsia"/>
          <w:lang w:val="en-US" w:eastAsia="zh-CN"/>
        </w:rPr>
        <w:t>0.00</w:t>
      </w:r>
      <w:r>
        <w:t>万元。</w:t>
      </w:r>
    </w:p>
    <w:p>
      <w:pPr>
        <w:pStyle w:val="19"/>
      </w:pPr>
      <w:r>
        <w:t>2、支出说明</w:t>
      </w:r>
    </w:p>
    <w:p>
      <w:pPr>
        <w:pStyle w:val="19"/>
      </w:pPr>
      <w:r>
        <w:t>收支预算总表支出栏、基本支出表、项目支出表按经济分类和支出功能分类科目编制，反映涞源县司法局年度部门预算中支出预算的总体情况。2024年支出预算</w:t>
      </w:r>
      <w:r>
        <w:rPr>
          <w:rFonts w:hint="eastAsia"/>
          <w:lang w:val="en-US" w:eastAsia="zh-CN"/>
        </w:rPr>
        <w:t>879.86</w:t>
      </w:r>
      <w:r>
        <w:t>万元，其中基本支出800.05万元，包括人员经费752.71万元和日常公用经费47.34万元；项目支出</w:t>
      </w:r>
      <w:r>
        <w:rPr>
          <w:rFonts w:hint="eastAsia"/>
          <w:lang w:val="en-US" w:eastAsia="zh-CN"/>
        </w:rPr>
        <w:t>79.81</w:t>
      </w:r>
      <w:r>
        <w:t>万元，主要为司法行政办案业务和中央转移支付业务和装备经费、社区矫正和安置帮教等项目资金支出。</w:t>
      </w:r>
    </w:p>
    <w:p>
      <w:pPr>
        <w:pStyle w:val="19"/>
      </w:pPr>
      <w:r>
        <w:t>3、比上年增减情况</w:t>
      </w:r>
    </w:p>
    <w:p>
      <w:pPr>
        <w:pStyle w:val="19"/>
      </w:pPr>
      <w:r>
        <w:t>2024年预算收支安排</w:t>
      </w:r>
      <w:r>
        <w:rPr>
          <w:rFonts w:hint="eastAsia"/>
          <w:lang w:val="en-US" w:eastAsia="zh-CN"/>
        </w:rPr>
        <w:t>879.86</w:t>
      </w:r>
      <w:r>
        <w:t>万元，较2023年预算减少54.10万元，其中：基本支出减少3.83万元，主要为减少人员经费支出。项目支出减少50.27万元，主要为人民调解和社区矫正项目经费支出减少。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2024年，我部门机关运行经费共计安排47.34万元，主要用于日常维修、办公用房水电费、办公用房取暖费、办公用房物业管理费等日常运行支出。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djustRightInd w:val="0"/>
        <w:snapToGrid w:val="0"/>
        <w:spacing w:line="580" w:lineRule="exact"/>
        <w:ind w:firstLine="560" w:firstLineChars="200"/>
        <w:rPr>
          <w:rFonts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w:t>
      </w:r>
      <w:r>
        <w:rPr>
          <w:rFonts w:hint="eastAsia" w:ascii="Times New Roman" w:hAnsi="Times New Roman" w:eastAsia="方正仿宋_GBK" w:cs="Times New Roman"/>
          <w:sz w:val="28"/>
          <w:szCs w:val="24"/>
          <w:lang w:val="en-US" w:eastAsia="zh-CN" w:bidi="ar-SA"/>
        </w:rPr>
        <w:t>，我部门财政拨款</w:t>
      </w:r>
      <w:r>
        <w:rPr>
          <w:rFonts w:hint="eastAsia" w:ascii="Times New Roman" w:hAnsi="Times New Roman" w:eastAsia="方正仿宋_GBK" w:cs="Times New Roman"/>
          <w:sz w:val="28"/>
          <w:szCs w:val="24"/>
          <w:lang w:val="en-US" w:eastAsia="uk-UA" w:bidi="ar-SA"/>
        </w:rPr>
        <w:t>“三公”经费预算</w:t>
      </w:r>
      <w:r>
        <w:rPr>
          <w:rFonts w:hint="eastAsia" w:ascii="Times New Roman" w:hAnsi="Times New Roman" w:eastAsia="方正仿宋_GBK" w:cs="Times New Roman"/>
          <w:sz w:val="28"/>
          <w:szCs w:val="24"/>
          <w:lang w:val="en-US" w:eastAsia="zh-CN" w:bidi="ar-SA"/>
        </w:rPr>
        <w:t>安排10.2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其中因公出国（境）0万元；公务用车购置及运行费8万元（其中：公务用车购置0万元，公务用车维运费8万元）；公务接待费2.2万元。与2023年相比减少0.2万元，减少的主要原因是公务接待费减少。</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2023年全县司法行政工作的总体思路是：深入学习贯彻党的十九大精神，认真落实省厅、市局和县委、县政府的决策部署，围绕中心、服务大局，以打造“人民满意的服务型司法行政机关”为目标，进一步推进矛盾纠纷排查调处、公共法律服务、特殊人群服务管理、法制宣传教育“四个全覆盖”工作体系建设，深化五大工作任务，坚持群众路线、践行司法为民，不断推动全县司法行政工作再上新台阶，为我县经济和社会发展提供优质高效的法律服务和坚强有力的法律保障。</w:t>
      </w:r>
    </w:p>
    <w:p>
      <w:pPr>
        <w:pStyle w:val="22"/>
      </w:pPr>
      <w:r>
        <w:t>（1）深化矛盾纠纷排查调处工作，提升矛盾纠纷化解能力,全力维护社会和谐稳定</w:t>
      </w:r>
    </w:p>
    <w:p>
      <w:pPr>
        <w:pStyle w:val="22"/>
      </w:pPr>
      <w:r>
        <w:t>（2）深化公共法律服务工作，以法律服务全覆盖、均等化为目标，加强公共法律服务体系建设，让群众“找得到、请得起、信得过”法律服务,服务保障民生需求</w:t>
      </w:r>
    </w:p>
    <w:p>
      <w:pPr>
        <w:pStyle w:val="22"/>
      </w:pPr>
      <w:r>
        <w:t>（3）深化特殊人群服务管理工作，切实预防和减少重新违法犯罪，最大限度增加和谐因素,确保管控安全</w:t>
      </w:r>
    </w:p>
    <w:p>
      <w:pPr>
        <w:pStyle w:val="22"/>
      </w:pPr>
      <w:r>
        <w:t>（4）深化法制宣传教育工作，夯实法治相城基础</w:t>
      </w:r>
    </w:p>
    <w:p>
      <w:pPr>
        <w:pStyle w:val="22"/>
      </w:pPr>
      <w:r>
        <w:t>（5）深化基层基础建设工作，提升司法行政发展源动力,为司法行政事业不断发展提供坚强保证。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（1）社区矫正工作</w:t>
      </w:r>
    </w:p>
    <w:p>
      <w:pPr>
        <w:pStyle w:val="23"/>
      </w:pPr>
      <w:r>
        <w:t>绩效目标：制定全县司法行政工作中长期规划和年度工作要点，并监督实施。采取政府适当购买服务方式，引入社会专业团队参与社区矫正管理，定期组织服刑人员培训与集中劳动，确保监管不出现问题。</w:t>
      </w:r>
    </w:p>
    <w:p>
      <w:pPr>
        <w:pStyle w:val="23"/>
      </w:pPr>
      <w:r>
        <w:t>绩效指标：及时接收矫正人员，完成监管工作。及时接受率达100%。</w:t>
      </w:r>
    </w:p>
    <w:p>
      <w:pPr>
        <w:pStyle w:val="23"/>
      </w:pPr>
      <w:r>
        <w:t>（2）全民普法宣传教育工作</w:t>
      </w:r>
    </w:p>
    <w:p>
      <w:pPr>
        <w:pStyle w:val="23"/>
      </w:pPr>
      <w:r>
        <w:t>绩效目标：创新宣传，搭建法治文化建设新平台，实现普法宣传全覆盖。</w:t>
      </w:r>
    </w:p>
    <w:p>
      <w:pPr>
        <w:pStyle w:val="23"/>
      </w:pPr>
      <w:r>
        <w:t>绩效指标：组织普法宣传活动不少于4次。</w:t>
      </w:r>
    </w:p>
    <w:p>
      <w:pPr>
        <w:pStyle w:val="23"/>
      </w:pPr>
      <w:r>
        <w:t>（3）加强律师队伍建设，提升法律援助质量。</w:t>
      </w:r>
    </w:p>
    <w:p>
      <w:pPr>
        <w:pStyle w:val="23"/>
      </w:pPr>
      <w:r>
        <w:t>绩效目标：加强律师日常监管工作，引导律师积极开展公益活动，充分发挥律师专业职能，依法引导信访群众理性表达诉求，进一步提升法律援助质量。坚持依法服务民生、为困难群众办实事、解难题，增强社会律师法律援助意识，落实各项便民服务措施。</w:t>
      </w:r>
    </w:p>
    <w:p>
      <w:pPr>
        <w:pStyle w:val="23"/>
      </w:pPr>
      <w:r>
        <w:t>绩效指标：提供法律援助案件数不低于150件，法律援助案件办结率达98%。</w:t>
      </w:r>
    </w:p>
    <w:p>
      <w:pPr>
        <w:pStyle w:val="23"/>
      </w:pPr>
      <w:r>
        <w:t>（4）完善人民调解工作</w:t>
      </w:r>
    </w:p>
    <w:p>
      <w:pPr>
        <w:pStyle w:val="23"/>
      </w:pPr>
      <w:r>
        <w:t>绩效目标：加强基层人民调解员培训，每月深入重点乡镇组织村街人民调解员进行以会代训，加强调解员之间的交流互动，提升调解工作水平。</w:t>
      </w:r>
    </w:p>
    <w:p>
      <w:pPr>
        <w:pStyle w:val="23"/>
      </w:pPr>
      <w:r>
        <w:t>绩效指标：完成人民调解案件数200件以上，案卷审合格率达95%以上、调解案件成功率达98%、人民矛盾再发生率小于4%。</w:t>
      </w:r>
    </w:p>
    <w:p>
      <w:pPr>
        <w:pStyle w:val="23"/>
      </w:pPr>
      <w:r>
        <w:t>（5）加强法治建设力度，提升执法人员水平</w:t>
      </w:r>
    </w:p>
    <w:p>
      <w:pPr>
        <w:pStyle w:val="23"/>
      </w:pPr>
      <w:r>
        <w:t>绩效目标：大力开展行政执法人员规范化、制度化建设，全县行政执法人员全部持证上岗，培训率达到100%，大幅度提升我县行政执法人员的执法水平。</w:t>
      </w:r>
    </w:p>
    <w:p>
      <w:pPr>
        <w:pStyle w:val="23"/>
      </w:pPr>
      <w:r>
        <w:t xml:space="preserve">绩效指标：参加培训人数考试合格率达到97%以上。    </w:t>
      </w:r>
    </w:p>
    <w:p>
      <w:pPr>
        <w:pStyle w:val="23"/>
      </w:pPr>
      <w:r>
        <w:t>（6）村（居）一法律顾问</w:t>
      </w:r>
    </w:p>
    <w:p>
      <w:pPr>
        <w:pStyle w:val="23"/>
      </w:pPr>
      <w:r>
        <w:t>绩效目标：为乡村两级提供法律服务，充分发挥法律服务职能，扩大法律咨询覆盖面，聘用律师和法律工作者，为全县村街社区提供法律保障，使村民知法、懂法、用法。</w:t>
      </w:r>
    </w:p>
    <w:p>
      <w:pPr>
        <w:pStyle w:val="23"/>
      </w:pPr>
      <w:r>
        <w:t>绩效指标：保障285个乡村律师服务全覆盖，案件解答完成率答95%以上。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（1）完善律师执业保障机制，为律师执业创造良好环境；健全律师和律师事务所违法违规执业惩戒制度，严格查处违法违纪行为。</w:t>
      </w:r>
    </w:p>
    <w:p>
      <w:pPr>
        <w:pStyle w:val="24"/>
      </w:pPr>
      <w:r>
        <w:t>（2）完善社区矫正法律制度，建立健全监狱刑罚执行好社区矫正相互衔接、统一协调的刑罚执行体系，切实加强专群结合的社区矫正工作的队伍建设，配齐配强专职工作人员，大力加强社区矫正经费的保障、场所设施和信息化建设，提升社区矫正保障能力。</w:t>
      </w:r>
    </w:p>
    <w:p>
      <w:pPr>
        <w:pStyle w:val="24"/>
      </w:pPr>
      <w:r>
        <w:t>（3）完善法律援助制度，2023年我局将进一步扩大法律援助范围，完善法律援助经费保障体制。</w:t>
      </w:r>
    </w:p>
    <w:p>
      <w:pPr>
        <w:pStyle w:val="24"/>
        <w:sectPr>
          <w:pgSz w:w="16840" w:h="11900" w:orient="landscape"/>
          <w:pgMar w:top="1361" w:right="1020" w:bottom="1361" w:left="1020" w:header="720" w:footer="720" w:gutter="0"/>
          <w:cols w:space="720" w:num="1"/>
        </w:sectPr>
      </w:pPr>
      <w:r>
        <w:t>（4）推进司法行政政务公开，健全完善执法执业公开、公示制度，以公开促公正，以透明保廉洁。切实加强总结表彰。要善于发现和及时总结工作经验和典型，大力表彰学习创新、敬业奉献、埋头苦干、成绩突出的先进集体和个人，努力营造能干事、会干事、想干事、干成事的舆论氛围和工作环境，真正做到聚精会神干工作，一心一意促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、2024年社区矫正补助资金绩效目标表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13063024P00002210004R</w:t>
            </w:r>
          </w:p>
        </w:tc>
        <w:tc>
          <w:tcPr>
            <w:tcW w:w="2835" w:type="dxa"/>
            <w:vAlign w:val="center"/>
          </w:tcPr>
          <w:p>
            <w:pPr>
              <w:pStyle w:val="11"/>
            </w:pPr>
            <w:r>
              <w:t>项目名称</w:t>
            </w:r>
          </w:p>
        </w:tc>
        <w:tc>
          <w:tcPr>
            <w:tcW w:w="6094" w:type="dxa"/>
            <w:gridSpan w:val="3"/>
            <w:vAlign w:val="center"/>
          </w:tcPr>
          <w:p>
            <w:pPr>
              <w:pStyle w:val="13"/>
            </w:pPr>
            <w:r>
              <w:t>2024年社区矫正补助资金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2.31</w:t>
            </w:r>
          </w:p>
        </w:tc>
        <w:tc>
          <w:tcPr>
            <w:tcW w:w="2835" w:type="dxa"/>
            <w:vAlign w:val="center"/>
          </w:tcPr>
          <w:p>
            <w:pPr>
              <w:pStyle w:val="11"/>
            </w:pPr>
            <w:r>
              <w:t>其中：财政    资金</w:t>
            </w:r>
          </w:p>
        </w:tc>
        <w:tc>
          <w:tcPr>
            <w:tcW w:w="2551" w:type="dxa"/>
            <w:vAlign w:val="center"/>
          </w:tcPr>
          <w:p>
            <w:pPr>
              <w:pStyle w:val="13"/>
            </w:pPr>
            <w:r>
              <w:t>2.31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支持社区矫正工作，及时接收、准确监管矫正对象。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0.31</w:t>
            </w:r>
          </w:p>
        </w:tc>
        <w:tc>
          <w:tcPr>
            <w:tcW w:w="2551" w:type="dxa"/>
            <w:vAlign w:val="center"/>
          </w:tcPr>
          <w:p>
            <w:pPr>
              <w:pStyle w:val="14"/>
            </w:pPr>
            <w:r>
              <w:t>0.50</w:t>
            </w:r>
          </w:p>
        </w:tc>
        <w:tc>
          <w:tcPr>
            <w:tcW w:w="3543" w:type="dxa"/>
            <w:gridSpan w:val="2"/>
            <w:vAlign w:val="center"/>
          </w:tcPr>
          <w:p>
            <w:pPr>
              <w:pStyle w:val="14"/>
            </w:pPr>
            <w:r>
              <w:t>2.31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1.支持社区矫正工作，及时接收、准确监管矫正对象。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接受矫正人员数量</w:t>
            </w:r>
          </w:p>
        </w:tc>
        <w:tc>
          <w:tcPr>
            <w:tcW w:w="5386" w:type="dxa"/>
            <w:vAlign w:val="center"/>
          </w:tcPr>
          <w:p>
            <w:pPr>
              <w:pStyle w:val="13"/>
            </w:pPr>
            <w:r>
              <w:t>接受矫正人员数量</w:t>
            </w:r>
          </w:p>
        </w:tc>
        <w:tc>
          <w:tcPr>
            <w:tcW w:w="2268" w:type="dxa"/>
            <w:vAlign w:val="center"/>
          </w:tcPr>
          <w:p>
            <w:pPr>
              <w:pStyle w:val="13"/>
            </w:pPr>
            <w:r>
              <w:t>≥120人</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再犯罪率降低</w:t>
            </w:r>
          </w:p>
        </w:tc>
        <w:tc>
          <w:tcPr>
            <w:tcW w:w="5386" w:type="dxa"/>
            <w:vAlign w:val="center"/>
          </w:tcPr>
          <w:p>
            <w:pPr>
              <w:pStyle w:val="13"/>
            </w:pPr>
            <w:r>
              <w:t>再犯罪率降低</w:t>
            </w:r>
          </w:p>
        </w:tc>
        <w:tc>
          <w:tcPr>
            <w:tcW w:w="2268" w:type="dxa"/>
            <w:vAlign w:val="center"/>
          </w:tcPr>
          <w:p>
            <w:pPr>
              <w:pStyle w:val="13"/>
            </w:pPr>
            <w:r>
              <w:t>&lt;0.2百分比</w:t>
            </w:r>
          </w:p>
        </w:tc>
        <w:tc>
          <w:tcPr>
            <w:tcW w:w="1276" w:type="dxa"/>
            <w:vAlign w:val="center"/>
          </w:tcPr>
          <w:p>
            <w:pPr>
              <w:pStyle w:val="13"/>
            </w:pPr>
            <w:r>
              <w:t>计划标准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及时接收率</w:t>
            </w:r>
          </w:p>
        </w:tc>
        <w:tc>
          <w:tcPr>
            <w:tcW w:w="5386" w:type="dxa"/>
            <w:vAlign w:val="center"/>
          </w:tcPr>
          <w:p>
            <w:pPr>
              <w:pStyle w:val="13"/>
            </w:pPr>
            <w:r>
              <w:t>及时接收矫正人员（10天内）</w:t>
            </w:r>
          </w:p>
        </w:tc>
        <w:tc>
          <w:tcPr>
            <w:tcW w:w="2268" w:type="dxa"/>
            <w:vAlign w:val="center"/>
          </w:tcPr>
          <w:p>
            <w:pPr>
              <w:pStyle w:val="13"/>
            </w:pPr>
            <w:r>
              <w:t>100百分比</w:t>
            </w:r>
          </w:p>
        </w:tc>
        <w:tc>
          <w:tcPr>
            <w:tcW w:w="1276" w:type="dxa"/>
            <w:vAlign w:val="center"/>
          </w:tcPr>
          <w:p>
            <w:pPr>
              <w:pStyle w:val="13"/>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实际支付/预算资金</w:t>
            </w:r>
          </w:p>
        </w:tc>
        <w:tc>
          <w:tcPr>
            <w:tcW w:w="2268" w:type="dxa"/>
            <w:vAlign w:val="center"/>
          </w:tcPr>
          <w:p>
            <w:pPr>
              <w:pStyle w:val="13"/>
            </w:pPr>
            <w:r>
              <w:t>&lt;100百分比</w:t>
            </w:r>
          </w:p>
        </w:tc>
        <w:tc>
          <w:tcPr>
            <w:tcW w:w="1276" w:type="dxa"/>
            <w:vAlign w:val="center"/>
          </w:tcPr>
          <w:p>
            <w:pPr>
              <w:pStyle w:val="13"/>
            </w:pPr>
            <w:r>
              <w:t>计划标准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降低再犯罪率</w:t>
            </w:r>
          </w:p>
        </w:tc>
        <w:tc>
          <w:tcPr>
            <w:tcW w:w="5386" w:type="dxa"/>
            <w:vAlign w:val="center"/>
          </w:tcPr>
          <w:p>
            <w:pPr>
              <w:pStyle w:val="13"/>
            </w:pPr>
            <w:r>
              <w:t>有效降低再犯罪率</w:t>
            </w:r>
          </w:p>
        </w:tc>
        <w:tc>
          <w:tcPr>
            <w:tcW w:w="2268" w:type="dxa"/>
            <w:vAlign w:val="center"/>
          </w:tcPr>
          <w:p>
            <w:pPr>
              <w:pStyle w:val="13"/>
            </w:pPr>
            <w:r>
              <w:t>≥10显著</w:t>
            </w:r>
          </w:p>
        </w:tc>
        <w:tc>
          <w:tcPr>
            <w:tcW w:w="1276" w:type="dxa"/>
            <w:vAlign w:val="center"/>
          </w:tcPr>
          <w:p>
            <w:pPr>
              <w:pStyle w:val="13"/>
            </w:pPr>
            <w:r>
              <w:t>计划标准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结果准确性</w:t>
            </w:r>
          </w:p>
        </w:tc>
        <w:tc>
          <w:tcPr>
            <w:tcW w:w="5386" w:type="dxa"/>
            <w:vAlign w:val="center"/>
          </w:tcPr>
          <w:p>
            <w:pPr>
              <w:pStyle w:val="13"/>
            </w:pPr>
            <w:r>
              <w:t>结果准确性</w:t>
            </w:r>
          </w:p>
        </w:tc>
        <w:tc>
          <w:tcPr>
            <w:tcW w:w="2268" w:type="dxa"/>
            <w:vAlign w:val="center"/>
          </w:tcPr>
          <w:p>
            <w:pPr>
              <w:pStyle w:val="13"/>
            </w:pPr>
            <w:r>
              <w:t>≥90百分比</w:t>
            </w:r>
          </w:p>
        </w:tc>
        <w:tc>
          <w:tcPr>
            <w:tcW w:w="1276" w:type="dxa"/>
            <w:vAlign w:val="center"/>
          </w:tcPr>
          <w:p>
            <w:pPr>
              <w:pStyle w:val="13"/>
            </w:pPr>
            <w:r>
              <w:t>计划标准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资金使用效率</w:t>
            </w:r>
          </w:p>
        </w:tc>
        <w:tc>
          <w:tcPr>
            <w:tcW w:w="5386" w:type="dxa"/>
            <w:vAlign w:val="center"/>
          </w:tcPr>
          <w:p>
            <w:pPr>
              <w:pStyle w:val="13"/>
            </w:pPr>
            <w:r>
              <w:t>资金使用效率</w:t>
            </w:r>
          </w:p>
        </w:tc>
        <w:tc>
          <w:tcPr>
            <w:tcW w:w="2268" w:type="dxa"/>
            <w:vAlign w:val="center"/>
          </w:tcPr>
          <w:p>
            <w:pPr>
              <w:pStyle w:val="13"/>
            </w:pPr>
            <w:r>
              <w:t>≥90百分比</w:t>
            </w:r>
          </w:p>
        </w:tc>
        <w:tc>
          <w:tcPr>
            <w:tcW w:w="1276" w:type="dxa"/>
            <w:vAlign w:val="center"/>
          </w:tcPr>
          <w:p>
            <w:pPr>
              <w:pStyle w:val="13"/>
            </w:pPr>
            <w:r>
              <w:t>计划标准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≥90百分比</w:t>
            </w:r>
          </w:p>
        </w:tc>
        <w:tc>
          <w:tcPr>
            <w:tcW w:w="1276" w:type="dxa"/>
            <w:vAlign w:val="center"/>
          </w:tcPr>
          <w:p>
            <w:pPr>
              <w:pStyle w:val="13"/>
            </w:pPr>
            <w:r>
              <w:t>计划标准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≥90百分比</w:t>
            </w:r>
          </w:p>
        </w:tc>
        <w:tc>
          <w:tcPr>
            <w:tcW w:w="1276" w:type="dxa"/>
            <w:vAlign w:val="center"/>
          </w:tcPr>
          <w:p>
            <w:pPr>
              <w:pStyle w:val="13"/>
            </w:pPr>
            <w:r>
              <w:t>计划标准</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、法律援助经费绩效目标表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13063024P000084100029</w:t>
            </w:r>
          </w:p>
        </w:tc>
        <w:tc>
          <w:tcPr>
            <w:tcW w:w="2835" w:type="dxa"/>
            <w:vAlign w:val="center"/>
          </w:tcPr>
          <w:p>
            <w:pPr>
              <w:pStyle w:val="11"/>
            </w:pPr>
            <w:r>
              <w:t>项目名称</w:t>
            </w:r>
          </w:p>
        </w:tc>
        <w:tc>
          <w:tcPr>
            <w:tcW w:w="6094" w:type="dxa"/>
            <w:gridSpan w:val="3"/>
            <w:vAlign w:val="center"/>
          </w:tcPr>
          <w:p>
            <w:pPr>
              <w:pStyle w:val="13"/>
            </w:pPr>
            <w:r>
              <w:t>法律援助经费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法律援助机构安排社会律师值班补贴、案件补贴。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1.法律援助机构安排社会律师值班补贴、案件补贴。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法律案件接收数</w:t>
            </w:r>
          </w:p>
        </w:tc>
        <w:tc>
          <w:tcPr>
            <w:tcW w:w="5386" w:type="dxa"/>
            <w:vAlign w:val="center"/>
          </w:tcPr>
          <w:p>
            <w:pPr>
              <w:pStyle w:val="13"/>
            </w:pPr>
            <w:r>
              <w:t>法律案件接收数</w:t>
            </w:r>
          </w:p>
        </w:tc>
        <w:tc>
          <w:tcPr>
            <w:tcW w:w="2268" w:type="dxa"/>
            <w:vAlign w:val="center"/>
          </w:tcPr>
          <w:p>
            <w:pPr>
              <w:pStyle w:val="13"/>
            </w:pPr>
            <w:r>
              <w:t>≥100件</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法律援助案件结案率</w:t>
            </w:r>
          </w:p>
        </w:tc>
        <w:tc>
          <w:tcPr>
            <w:tcW w:w="5386" w:type="dxa"/>
            <w:vAlign w:val="center"/>
          </w:tcPr>
          <w:p>
            <w:pPr>
              <w:pStyle w:val="13"/>
            </w:pPr>
            <w:r>
              <w:t>法律援助案件结案率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及时接收法律援助案件</w:t>
            </w:r>
          </w:p>
        </w:tc>
        <w:tc>
          <w:tcPr>
            <w:tcW w:w="5386" w:type="dxa"/>
            <w:vAlign w:val="center"/>
          </w:tcPr>
          <w:p>
            <w:pPr>
              <w:pStyle w:val="13"/>
            </w:pPr>
            <w:r>
              <w:t>及时接收法律援助案件</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、全面依法治县专项经费绩效目标表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13063024P000077100023</w:t>
            </w:r>
          </w:p>
        </w:tc>
        <w:tc>
          <w:tcPr>
            <w:tcW w:w="2835" w:type="dxa"/>
            <w:vAlign w:val="center"/>
          </w:tcPr>
          <w:p>
            <w:pPr>
              <w:pStyle w:val="11"/>
            </w:pPr>
            <w:r>
              <w:t>项目名称</w:t>
            </w:r>
          </w:p>
        </w:tc>
        <w:tc>
          <w:tcPr>
            <w:tcW w:w="6094" w:type="dxa"/>
            <w:gridSpan w:val="3"/>
            <w:vAlign w:val="center"/>
          </w:tcPr>
          <w:p>
            <w:pPr>
              <w:pStyle w:val="13"/>
            </w:pPr>
            <w:r>
              <w:t>全面依法治县专项经费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印制相关文件资料，推进依法治县工作正常开展，提高全县人民对依法治县工作的认识。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1.印制相关文件资料，推进依法治县工作正常开展，提高全县人民对依法治县工作的认识。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组织宣传依法治县</w:t>
            </w:r>
          </w:p>
        </w:tc>
        <w:tc>
          <w:tcPr>
            <w:tcW w:w="5386" w:type="dxa"/>
            <w:vAlign w:val="center"/>
          </w:tcPr>
          <w:p>
            <w:pPr>
              <w:pStyle w:val="13"/>
            </w:pPr>
            <w:r>
              <w:t>组织宣传依法治县</w:t>
            </w:r>
          </w:p>
        </w:tc>
        <w:tc>
          <w:tcPr>
            <w:tcW w:w="2268" w:type="dxa"/>
            <w:vAlign w:val="center"/>
          </w:tcPr>
          <w:p>
            <w:pPr>
              <w:pStyle w:val="13"/>
            </w:pPr>
            <w:r>
              <w:t>≥2次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推进全面依法治县规范化建设</w:t>
            </w:r>
          </w:p>
        </w:tc>
        <w:tc>
          <w:tcPr>
            <w:tcW w:w="5386" w:type="dxa"/>
            <w:vAlign w:val="center"/>
          </w:tcPr>
          <w:p>
            <w:pPr>
              <w:pStyle w:val="13"/>
            </w:pPr>
            <w:r>
              <w:t>推进全面依法治县规范化建设</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按时间节点完成本年度资金支付</w:t>
            </w:r>
          </w:p>
        </w:tc>
        <w:tc>
          <w:tcPr>
            <w:tcW w:w="5386" w:type="dxa"/>
            <w:vAlign w:val="center"/>
          </w:tcPr>
          <w:p>
            <w:pPr>
              <w:pStyle w:val="13"/>
            </w:pPr>
            <w:r>
              <w:t>按时间节点完成本年度资金支付</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实际支付/预算资金</w:t>
            </w:r>
          </w:p>
        </w:tc>
        <w:tc>
          <w:tcPr>
            <w:tcW w:w="5386" w:type="dxa"/>
            <w:vAlign w:val="center"/>
          </w:tcPr>
          <w:p>
            <w:pPr>
              <w:pStyle w:val="13"/>
            </w:pPr>
            <w:r>
              <w:t>实际支付/预算资金</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有效提升全面依法治县规范化</w:t>
            </w:r>
          </w:p>
        </w:tc>
        <w:tc>
          <w:tcPr>
            <w:tcW w:w="5386" w:type="dxa"/>
            <w:vAlign w:val="center"/>
          </w:tcPr>
          <w:p>
            <w:pPr>
              <w:pStyle w:val="13"/>
            </w:pPr>
            <w:r>
              <w:t>有效提升全面依法治县规范化</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、司法局村居律顾问费用绩效目标表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13063024P00007610002D</w:t>
            </w:r>
          </w:p>
        </w:tc>
        <w:tc>
          <w:tcPr>
            <w:tcW w:w="2835" w:type="dxa"/>
            <w:vAlign w:val="center"/>
          </w:tcPr>
          <w:p>
            <w:pPr>
              <w:pStyle w:val="11"/>
            </w:pPr>
            <w:r>
              <w:t>项目名称</w:t>
            </w:r>
          </w:p>
        </w:tc>
        <w:tc>
          <w:tcPr>
            <w:tcW w:w="6094" w:type="dxa"/>
            <w:gridSpan w:val="3"/>
            <w:vAlign w:val="center"/>
          </w:tcPr>
          <w:p>
            <w:pPr>
              <w:pStyle w:val="13"/>
            </w:pPr>
            <w:r>
              <w:t>司法局村居律顾问费用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聘请法律顾问，为乡村两级提供法律服务。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1.聘请法律顾问，为乡村两级提供法律服务。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法律案件结案率</w:t>
            </w:r>
          </w:p>
        </w:tc>
        <w:tc>
          <w:tcPr>
            <w:tcW w:w="5386" w:type="dxa"/>
            <w:vAlign w:val="center"/>
          </w:tcPr>
          <w:p>
            <w:pPr>
              <w:pStyle w:val="13"/>
            </w:pPr>
            <w:r>
              <w:t>法律案件结案率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法律顾问测评表</w:t>
            </w:r>
          </w:p>
        </w:tc>
        <w:tc>
          <w:tcPr>
            <w:tcW w:w="5386" w:type="dxa"/>
            <w:vAlign w:val="center"/>
          </w:tcPr>
          <w:p>
            <w:pPr>
              <w:pStyle w:val="13"/>
            </w:pPr>
            <w:r>
              <w:t>法律顾问测评表</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实际支付/预算资金</w:t>
            </w:r>
          </w:p>
        </w:tc>
        <w:tc>
          <w:tcPr>
            <w:tcW w:w="5386" w:type="dxa"/>
            <w:vAlign w:val="center"/>
          </w:tcPr>
          <w:p>
            <w:pPr>
              <w:pStyle w:val="13"/>
            </w:pPr>
            <w:r>
              <w:t>实际支付/预算资金</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提高乡村法律服务质量</w:t>
            </w:r>
          </w:p>
        </w:tc>
        <w:tc>
          <w:tcPr>
            <w:tcW w:w="5386" w:type="dxa"/>
            <w:vAlign w:val="center"/>
          </w:tcPr>
          <w:p>
            <w:pPr>
              <w:pStyle w:val="13"/>
            </w:pPr>
            <w:r>
              <w:t>提高乡村法律服务质量</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、司法局公证处改制后公证处定额经费绩效目标表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13063024P00008610002L</w:t>
            </w:r>
          </w:p>
        </w:tc>
        <w:tc>
          <w:tcPr>
            <w:tcW w:w="2835" w:type="dxa"/>
            <w:vAlign w:val="center"/>
          </w:tcPr>
          <w:p>
            <w:pPr>
              <w:pStyle w:val="11"/>
            </w:pPr>
            <w:r>
              <w:t>项目名称</w:t>
            </w:r>
          </w:p>
        </w:tc>
        <w:tc>
          <w:tcPr>
            <w:tcW w:w="6094" w:type="dxa"/>
            <w:gridSpan w:val="3"/>
            <w:vAlign w:val="center"/>
          </w:tcPr>
          <w:p>
            <w:pPr>
              <w:pStyle w:val="13"/>
            </w:pPr>
            <w:r>
              <w:t>司法局公证处改制后公证处定额经费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办理公证事务出具公证证明，向社会提供法律服务，保证公证工作正常运行的办公经费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10.00</w:t>
            </w:r>
          </w:p>
        </w:tc>
        <w:tc>
          <w:tcPr>
            <w:tcW w:w="3543" w:type="dxa"/>
            <w:gridSpan w:val="2"/>
            <w:vAlign w:val="center"/>
          </w:tcPr>
          <w:p>
            <w:pPr>
              <w:pStyle w:val="14"/>
            </w:pPr>
            <w:r>
              <w:t>22.00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1.办理公证事务出具公证证明，向社会提供法律服务，保证公证工作正常运行的办公经费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机构年检率</w:t>
            </w:r>
          </w:p>
        </w:tc>
        <w:tc>
          <w:tcPr>
            <w:tcW w:w="5386" w:type="dxa"/>
            <w:vAlign w:val="center"/>
          </w:tcPr>
          <w:p>
            <w:pPr>
              <w:pStyle w:val="13"/>
            </w:pPr>
            <w:r>
              <w:t>机构年检率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工作人员出勤率</w:t>
            </w:r>
          </w:p>
        </w:tc>
        <w:tc>
          <w:tcPr>
            <w:tcW w:w="5386" w:type="dxa"/>
            <w:vAlign w:val="center"/>
          </w:tcPr>
          <w:p>
            <w:pPr>
              <w:pStyle w:val="13"/>
            </w:pPr>
            <w:r>
              <w:t>工作人员出勤率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及时出具公证书</w:t>
            </w:r>
          </w:p>
        </w:tc>
        <w:tc>
          <w:tcPr>
            <w:tcW w:w="5386" w:type="dxa"/>
            <w:vAlign w:val="center"/>
          </w:tcPr>
          <w:p>
            <w:pPr>
              <w:pStyle w:val="13"/>
            </w:pPr>
            <w:r>
              <w:t>及时出具公证书</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预算控制率</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有效提升法律服务质量</w:t>
            </w:r>
          </w:p>
        </w:tc>
        <w:tc>
          <w:tcPr>
            <w:tcW w:w="5386" w:type="dxa"/>
            <w:vAlign w:val="center"/>
          </w:tcPr>
          <w:p>
            <w:pPr>
              <w:pStyle w:val="13"/>
            </w:pPr>
            <w:r>
              <w:t>有效提升法律服务质量</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可持续性提供服务</w:t>
            </w:r>
          </w:p>
        </w:tc>
        <w:tc>
          <w:tcPr>
            <w:tcW w:w="5386" w:type="dxa"/>
            <w:vAlign w:val="center"/>
          </w:tcPr>
          <w:p>
            <w:pPr>
              <w:pStyle w:val="13"/>
            </w:pPr>
            <w:r>
              <w:t>可持续性提供服务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、司法局人民调解经费绩效目标表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13063024P00007410001E</w:t>
            </w:r>
          </w:p>
        </w:tc>
        <w:tc>
          <w:tcPr>
            <w:tcW w:w="2835" w:type="dxa"/>
            <w:vAlign w:val="center"/>
          </w:tcPr>
          <w:p>
            <w:pPr>
              <w:pStyle w:val="11"/>
            </w:pPr>
            <w:r>
              <w:t>项目名称</w:t>
            </w:r>
          </w:p>
        </w:tc>
        <w:tc>
          <w:tcPr>
            <w:tcW w:w="6094" w:type="dxa"/>
            <w:gridSpan w:val="3"/>
            <w:vAlign w:val="center"/>
          </w:tcPr>
          <w:p>
            <w:pPr>
              <w:pStyle w:val="13"/>
            </w:pPr>
            <w:r>
              <w:t>司法局人民调解经费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发放案件补贴，确保人民调解工作正常开展；积极宣传人民调解工作。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1.发放案件补贴，确保人民调解工作正常开展；积极宣传人民调解工作。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人民调解案件结案率</w:t>
            </w:r>
          </w:p>
        </w:tc>
        <w:tc>
          <w:tcPr>
            <w:tcW w:w="5386" w:type="dxa"/>
            <w:vAlign w:val="center"/>
          </w:tcPr>
          <w:p>
            <w:pPr>
              <w:pStyle w:val="13"/>
            </w:pPr>
            <w:r>
              <w:t>人民调解案件结案率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及时完成率</w:t>
            </w:r>
          </w:p>
        </w:tc>
        <w:tc>
          <w:tcPr>
            <w:tcW w:w="5386" w:type="dxa"/>
            <w:vAlign w:val="center"/>
          </w:tcPr>
          <w:p>
            <w:pPr>
              <w:pStyle w:val="13"/>
            </w:pPr>
            <w:r>
              <w:t>及时完成率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、司法局社区矫正和安置帮教经费绩效目标表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13063024P00008210002X</w:t>
            </w:r>
          </w:p>
        </w:tc>
        <w:tc>
          <w:tcPr>
            <w:tcW w:w="2835" w:type="dxa"/>
            <w:vAlign w:val="center"/>
          </w:tcPr>
          <w:p>
            <w:pPr>
              <w:pStyle w:val="11"/>
            </w:pPr>
            <w:r>
              <w:t>项目名称</w:t>
            </w:r>
          </w:p>
        </w:tc>
        <w:tc>
          <w:tcPr>
            <w:tcW w:w="6094" w:type="dxa"/>
            <w:gridSpan w:val="3"/>
            <w:vAlign w:val="center"/>
          </w:tcPr>
          <w:p>
            <w:pPr>
              <w:pStyle w:val="13"/>
            </w:pPr>
            <w:r>
              <w:t>司法局社区矫正和安置帮教经费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监督检查社区矫正法律法规、政策执行工作、办案业务和日常执法，保障社区矫正工作正常运行。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2.00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1.监督检查社区矫正法律法规、政策执行工作、办案业务和日常执法，保障社区矫正工作正常运行。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提高法律咨询数量</w:t>
            </w:r>
          </w:p>
        </w:tc>
        <w:tc>
          <w:tcPr>
            <w:tcW w:w="5386" w:type="dxa"/>
            <w:vAlign w:val="center"/>
          </w:tcPr>
          <w:p>
            <w:pPr>
              <w:pStyle w:val="13"/>
            </w:pPr>
            <w:r>
              <w:t>提高法律咨询数量</w:t>
            </w:r>
          </w:p>
        </w:tc>
        <w:tc>
          <w:tcPr>
            <w:tcW w:w="2268" w:type="dxa"/>
            <w:vAlign w:val="center"/>
          </w:tcPr>
          <w:p>
            <w:pPr>
              <w:pStyle w:val="13"/>
            </w:pPr>
            <w:r>
              <w:t>≥50件</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案件结案率</w:t>
            </w:r>
          </w:p>
        </w:tc>
        <w:tc>
          <w:tcPr>
            <w:tcW w:w="5386" w:type="dxa"/>
            <w:vAlign w:val="center"/>
          </w:tcPr>
          <w:p>
            <w:pPr>
              <w:pStyle w:val="13"/>
            </w:pPr>
            <w:r>
              <w:t>案件结案率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及时接收矫正案件</w:t>
            </w:r>
          </w:p>
        </w:tc>
        <w:tc>
          <w:tcPr>
            <w:tcW w:w="5386" w:type="dxa"/>
            <w:vAlign w:val="center"/>
          </w:tcPr>
          <w:p>
            <w:pPr>
              <w:pStyle w:val="13"/>
            </w:pPr>
            <w:r>
              <w:t>及时接收矫正案件</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再犯罪率降低</w:t>
            </w:r>
          </w:p>
        </w:tc>
        <w:tc>
          <w:tcPr>
            <w:tcW w:w="5386" w:type="dxa"/>
            <w:vAlign w:val="center"/>
          </w:tcPr>
          <w:p>
            <w:pPr>
              <w:pStyle w:val="13"/>
            </w:pPr>
            <w:r>
              <w:t>再犯罪率降低</w:t>
            </w:r>
          </w:p>
        </w:tc>
        <w:tc>
          <w:tcPr>
            <w:tcW w:w="2268" w:type="dxa"/>
            <w:vAlign w:val="center"/>
          </w:tcPr>
          <w:p>
            <w:pPr>
              <w:pStyle w:val="13"/>
            </w:pPr>
            <w:r>
              <w:t>&lt;0.2百分比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、司法局行政审查复议应诉与行政执法协调监督经费绩效目标表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13063024P00007810002Q</w:t>
            </w:r>
          </w:p>
        </w:tc>
        <w:tc>
          <w:tcPr>
            <w:tcW w:w="2835" w:type="dxa"/>
            <w:vAlign w:val="center"/>
          </w:tcPr>
          <w:p>
            <w:pPr>
              <w:pStyle w:val="11"/>
            </w:pPr>
            <w:r>
              <w:t>项目名称</w:t>
            </w:r>
          </w:p>
        </w:tc>
        <w:tc>
          <w:tcPr>
            <w:tcW w:w="6094" w:type="dxa"/>
            <w:gridSpan w:val="3"/>
            <w:vAlign w:val="center"/>
          </w:tcPr>
          <w:p>
            <w:pPr>
              <w:pStyle w:val="13"/>
            </w:pPr>
            <w:r>
              <w:t>司法局行政审查复议应诉与行政执法协调监督经费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提升行政执法水平，完成行政执法人员培训和考试。参加本地听证会、现场勘查、复议应诉外出办案、培训，保障人民群众的合法权益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1.提升行政执法水平，完成行政执法人员培训和考试。参加本地听证会、现场勘查、复议应诉外出办案、培训，保障人民群众的合法权益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聘请专业法律顾问</w:t>
            </w:r>
          </w:p>
        </w:tc>
        <w:tc>
          <w:tcPr>
            <w:tcW w:w="5386" w:type="dxa"/>
            <w:vAlign w:val="center"/>
          </w:tcPr>
          <w:p>
            <w:pPr>
              <w:pStyle w:val="13"/>
            </w:pPr>
            <w:r>
              <w:t>聘请专业法律顾问</w:t>
            </w:r>
          </w:p>
        </w:tc>
        <w:tc>
          <w:tcPr>
            <w:tcW w:w="2268" w:type="dxa"/>
            <w:vAlign w:val="center"/>
          </w:tcPr>
          <w:p>
            <w:pPr>
              <w:pStyle w:val="13"/>
            </w:pPr>
            <w:r>
              <w:t>≥5人</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高质量参加听证会</w:t>
            </w:r>
          </w:p>
        </w:tc>
        <w:tc>
          <w:tcPr>
            <w:tcW w:w="5386" w:type="dxa"/>
            <w:vAlign w:val="center"/>
          </w:tcPr>
          <w:p>
            <w:pPr>
              <w:pStyle w:val="13"/>
            </w:pPr>
            <w:r>
              <w:t>高质量参加听证会</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提出复议后60日内出复议结果</w:t>
            </w:r>
          </w:p>
        </w:tc>
        <w:tc>
          <w:tcPr>
            <w:tcW w:w="5386" w:type="dxa"/>
            <w:vAlign w:val="center"/>
          </w:tcPr>
          <w:p>
            <w:pPr>
              <w:pStyle w:val="13"/>
            </w:pPr>
            <w:r>
              <w:t>提出复议后60日内出复议结果</w:t>
            </w:r>
          </w:p>
        </w:tc>
        <w:tc>
          <w:tcPr>
            <w:tcW w:w="2268" w:type="dxa"/>
            <w:vAlign w:val="center"/>
          </w:tcPr>
          <w:p>
            <w:pPr>
              <w:pStyle w:val="13"/>
            </w:pPr>
            <w:r>
              <w:t>≤60天</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、司法局政府购买社区服务费用绩效目标表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13063024P00008010002J</w:t>
            </w:r>
          </w:p>
        </w:tc>
        <w:tc>
          <w:tcPr>
            <w:tcW w:w="2835" w:type="dxa"/>
            <w:vAlign w:val="center"/>
          </w:tcPr>
          <w:p>
            <w:pPr>
              <w:pStyle w:val="11"/>
            </w:pPr>
            <w:r>
              <w:t>项目名称</w:t>
            </w:r>
          </w:p>
        </w:tc>
        <w:tc>
          <w:tcPr>
            <w:tcW w:w="6094" w:type="dxa"/>
            <w:gridSpan w:val="3"/>
            <w:vAlign w:val="center"/>
          </w:tcPr>
          <w:p>
            <w:pPr>
              <w:pStyle w:val="13"/>
            </w:pPr>
            <w:r>
              <w:t>司法局政府购买社区服务费用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18.00</w:t>
            </w:r>
          </w:p>
        </w:tc>
        <w:tc>
          <w:tcPr>
            <w:tcW w:w="2835" w:type="dxa"/>
            <w:vAlign w:val="center"/>
          </w:tcPr>
          <w:p>
            <w:pPr>
              <w:pStyle w:val="11"/>
            </w:pPr>
            <w:r>
              <w:t>其中：财政    资金</w:t>
            </w:r>
          </w:p>
        </w:tc>
        <w:tc>
          <w:tcPr>
            <w:tcW w:w="2551" w:type="dxa"/>
            <w:vAlign w:val="center"/>
          </w:tcPr>
          <w:p>
            <w:pPr>
              <w:pStyle w:val="13"/>
            </w:pPr>
            <w:r>
              <w:t>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通过第三方心理辅导、法律宣讲，确保社区矫正非执法类工作开展到位。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8.00</w:t>
            </w:r>
          </w:p>
        </w:tc>
        <w:tc>
          <w:tcPr>
            <w:tcW w:w="3543" w:type="dxa"/>
            <w:gridSpan w:val="2"/>
            <w:vAlign w:val="center"/>
          </w:tcPr>
          <w:p>
            <w:pPr>
              <w:pStyle w:val="14"/>
            </w:pPr>
            <w:r>
              <w:t>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1.通过第三方心理辅导、法律宣讲，确保社区矫正非执法类工作开展到位。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提高法律咨询数量</w:t>
            </w:r>
          </w:p>
        </w:tc>
        <w:tc>
          <w:tcPr>
            <w:tcW w:w="5386" w:type="dxa"/>
            <w:vAlign w:val="center"/>
          </w:tcPr>
          <w:p>
            <w:pPr>
              <w:pStyle w:val="13"/>
            </w:pPr>
            <w:r>
              <w:t>提高法律咨询数量</w:t>
            </w:r>
          </w:p>
        </w:tc>
        <w:tc>
          <w:tcPr>
            <w:tcW w:w="2268" w:type="dxa"/>
            <w:vAlign w:val="center"/>
          </w:tcPr>
          <w:p>
            <w:pPr>
              <w:pStyle w:val="13"/>
            </w:pPr>
            <w:r>
              <w:t>≥50件</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案件结案率</w:t>
            </w:r>
          </w:p>
        </w:tc>
        <w:tc>
          <w:tcPr>
            <w:tcW w:w="5386" w:type="dxa"/>
            <w:vAlign w:val="center"/>
          </w:tcPr>
          <w:p>
            <w:pPr>
              <w:pStyle w:val="13"/>
            </w:pPr>
            <w:r>
              <w:t>案件结案率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及时接收矫正案件</w:t>
            </w:r>
          </w:p>
        </w:tc>
        <w:tc>
          <w:tcPr>
            <w:tcW w:w="5386" w:type="dxa"/>
            <w:vAlign w:val="center"/>
          </w:tcPr>
          <w:p>
            <w:pPr>
              <w:pStyle w:val="13"/>
            </w:pPr>
            <w:r>
              <w:t>及时接收矫正案件</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再犯罪率降低</w:t>
            </w:r>
          </w:p>
        </w:tc>
        <w:tc>
          <w:tcPr>
            <w:tcW w:w="5386" w:type="dxa"/>
            <w:vAlign w:val="center"/>
          </w:tcPr>
          <w:p>
            <w:pPr>
              <w:pStyle w:val="13"/>
            </w:pPr>
            <w:r>
              <w:t>再犯罪率降低</w:t>
            </w:r>
          </w:p>
        </w:tc>
        <w:tc>
          <w:tcPr>
            <w:tcW w:w="2268" w:type="dxa"/>
            <w:vAlign w:val="center"/>
          </w:tcPr>
          <w:p>
            <w:pPr>
              <w:pStyle w:val="13"/>
            </w:pPr>
            <w:r>
              <w:t>&lt;0.2百分比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、司法普法绩效目标表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13063024P000089100039</w:t>
            </w:r>
          </w:p>
        </w:tc>
        <w:tc>
          <w:tcPr>
            <w:tcW w:w="2835" w:type="dxa"/>
            <w:vAlign w:val="center"/>
          </w:tcPr>
          <w:p>
            <w:pPr>
              <w:pStyle w:val="11"/>
            </w:pPr>
            <w:r>
              <w:t>项目名称</w:t>
            </w:r>
          </w:p>
        </w:tc>
        <w:tc>
          <w:tcPr>
            <w:tcW w:w="6094" w:type="dxa"/>
            <w:gridSpan w:val="3"/>
            <w:vAlign w:val="center"/>
          </w:tcPr>
          <w:p>
            <w:pPr>
              <w:pStyle w:val="13"/>
            </w:pPr>
            <w:r>
              <w:t>司法普法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组织普法宣传活动，提高全民学法用法水平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1.组织普法宣传活动，提高全民学法用法水平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w:t>
            </w:r>
          </w:p>
        </w:tc>
        <w:tc>
          <w:tcPr>
            <w:tcW w:w="5386" w:type="dxa"/>
            <w:vAlign w:val="center"/>
          </w:tcPr>
          <w:p>
            <w:pPr>
              <w:pStyle w:val="13"/>
            </w:pPr>
            <w:r>
              <w:t>组织主题宣传活动</w:t>
            </w:r>
          </w:p>
        </w:tc>
        <w:tc>
          <w:tcPr>
            <w:tcW w:w="2268" w:type="dxa"/>
            <w:vAlign w:val="center"/>
          </w:tcPr>
          <w:p>
            <w:pPr>
              <w:pStyle w:val="13"/>
            </w:pPr>
            <w:r>
              <w:t>≥4次</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普法宣传覆盖率</w:t>
            </w:r>
          </w:p>
        </w:tc>
        <w:tc>
          <w:tcPr>
            <w:tcW w:w="5386" w:type="dxa"/>
            <w:vAlign w:val="center"/>
          </w:tcPr>
          <w:p>
            <w:pPr>
              <w:pStyle w:val="13"/>
            </w:pPr>
            <w:r>
              <w:t>普法宣传覆盖率</w:t>
            </w:r>
          </w:p>
        </w:tc>
        <w:tc>
          <w:tcPr>
            <w:tcW w:w="2268" w:type="dxa"/>
            <w:vAlign w:val="center"/>
          </w:tcPr>
          <w:p>
            <w:pPr>
              <w:pStyle w:val="13"/>
            </w:pPr>
            <w:r>
              <w:t>≥90%90百分比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宣传活动及时率</w:t>
            </w:r>
          </w:p>
        </w:tc>
        <w:tc>
          <w:tcPr>
            <w:tcW w:w="5386" w:type="dxa"/>
            <w:vAlign w:val="center"/>
          </w:tcPr>
          <w:p>
            <w:pPr>
              <w:pStyle w:val="13"/>
            </w:pPr>
            <w:r>
              <w:t>按计划完成宣传活动</w:t>
            </w:r>
          </w:p>
        </w:tc>
        <w:tc>
          <w:tcPr>
            <w:tcW w:w="2268" w:type="dxa"/>
            <w:vAlign w:val="center"/>
          </w:tcPr>
          <w:p>
            <w:pPr>
              <w:pStyle w:val="13"/>
            </w:pPr>
            <w:r>
              <w:t>≥90%90百分比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实际支付/预算资金</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提升全民普法</w:t>
            </w:r>
          </w:p>
        </w:tc>
        <w:tc>
          <w:tcPr>
            <w:tcW w:w="5386" w:type="dxa"/>
            <w:vAlign w:val="center"/>
          </w:tcPr>
          <w:p>
            <w:pPr>
              <w:pStyle w:val="13"/>
            </w:pPr>
            <w:r>
              <w:t>有效提升全民普法</w:t>
            </w:r>
          </w:p>
        </w:tc>
        <w:tc>
          <w:tcPr>
            <w:tcW w:w="2268" w:type="dxa"/>
            <w:vAlign w:val="center"/>
          </w:tcPr>
          <w:p>
            <w:pPr>
              <w:pStyle w:val="13"/>
            </w:pPr>
            <w:r>
              <w:t>100有效</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、司法所公用经费绩效目标表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13063024P00009110004N</w:t>
            </w:r>
          </w:p>
        </w:tc>
        <w:tc>
          <w:tcPr>
            <w:tcW w:w="2835" w:type="dxa"/>
            <w:vAlign w:val="center"/>
          </w:tcPr>
          <w:p>
            <w:pPr>
              <w:pStyle w:val="11"/>
            </w:pPr>
            <w:r>
              <w:t>项目名称</w:t>
            </w:r>
          </w:p>
        </w:tc>
        <w:tc>
          <w:tcPr>
            <w:tcW w:w="6094" w:type="dxa"/>
            <w:gridSpan w:val="3"/>
            <w:vAlign w:val="center"/>
          </w:tcPr>
          <w:p>
            <w:pPr>
              <w:pStyle w:val="13"/>
            </w:pPr>
            <w:r>
              <w:t>司法所公用经费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8.50</w:t>
            </w:r>
          </w:p>
        </w:tc>
        <w:tc>
          <w:tcPr>
            <w:tcW w:w="2835" w:type="dxa"/>
            <w:vAlign w:val="center"/>
          </w:tcPr>
          <w:p>
            <w:pPr>
              <w:pStyle w:val="11"/>
            </w:pPr>
            <w:r>
              <w:t>其中：财政    资金</w:t>
            </w:r>
          </w:p>
        </w:tc>
        <w:tc>
          <w:tcPr>
            <w:tcW w:w="2551" w:type="dxa"/>
            <w:vAlign w:val="center"/>
          </w:tcPr>
          <w:p>
            <w:pPr>
              <w:pStyle w:val="13"/>
            </w:pPr>
            <w:r>
              <w:t>8.50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购置办公用品、耗材，保障17个基层司法所正常办公。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3.00</w:t>
            </w:r>
          </w:p>
        </w:tc>
        <w:tc>
          <w:tcPr>
            <w:tcW w:w="3543" w:type="dxa"/>
            <w:gridSpan w:val="2"/>
            <w:vAlign w:val="center"/>
          </w:tcPr>
          <w:p>
            <w:pPr>
              <w:pStyle w:val="14"/>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1.购置办公用品、耗材，保障17个基层司法所正常办公。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覆盖保障基层司法所正常运行</w:t>
            </w:r>
          </w:p>
        </w:tc>
        <w:tc>
          <w:tcPr>
            <w:tcW w:w="5386" w:type="dxa"/>
            <w:vAlign w:val="center"/>
          </w:tcPr>
          <w:p>
            <w:pPr>
              <w:pStyle w:val="13"/>
            </w:pPr>
            <w:r>
              <w:t>覆盖保障基层司法所正常运行</w:t>
            </w:r>
          </w:p>
        </w:tc>
        <w:tc>
          <w:tcPr>
            <w:tcW w:w="2268" w:type="dxa"/>
            <w:vAlign w:val="center"/>
          </w:tcPr>
          <w:p>
            <w:pPr>
              <w:pStyle w:val="13"/>
            </w:pPr>
            <w:r>
              <w:t>17个</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保障司法所无故障运转</w:t>
            </w:r>
          </w:p>
        </w:tc>
        <w:tc>
          <w:tcPr>
            <w:tcW w:w="5386" w:type="dxa"/>
            <w:vAlign w:val="center"/>
          </w:tcPr>
          <w:p>
            <w:pPr>
              <w:pStyle w:val="13"/>
            </w:pPr>
            <w:r>
              <w:t>保障司法所无故障运转</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及时提供法律服务</w:t>
            </w:r>
          </w:p>
        </w:tc>
        <w:tc>
          <w:tcPr>
            <w:tcW w:w="5386" w:type="dxa"/>
            <w:vAlign w:val="center"/>
          </w:tcPr>
          <w:p>
            <w:pPr>
              <w:pStyle w:val="13"/>
            </w:pPr>
            <w:r>
              <w:t>及时提供法律服务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预算控制率</w:t>
            </w:r>
          </w:p>
        </w:tc>
        <w:tc>
          <w:tcPr>
            <w:tcW w:w="5386" w:type="dxa"/>
            <w:vAlign w:val="center"/>
          </w:tcPr>
          <w:p>
            <w:pPr>
              <w:pStyle w:val="13"/>
            </w:pPr>
            <w:r>
              <w:t>预算控制率</w:t>
            </w:r>
          </w:p>
        </w:tc>
        <w:tc>
          <w:tcPr>
            <w:tcW w:w="2268" w:type="dxa"/>
            <w:vAlign w:val="center"/>
          </w:tcPr>
          <w:p>
            <w:pPr>
              <w:pStyle w:val="13"/>
            </w:pPr>
            <w:r>
              <w:t>&lt;100百分比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w:t>
            </w:r>
          </w:p>
        </w:tc>
        <w:tc>
          <w:tcPr>
            <w:tcW w:w="5386" w:type="dxa"/>
            <w:vAlign w:val="center"/>
          </w:tcPr>
          <w:p>
            <w:pPr>
              <w:pStyle w:val="13"/>
            </w:pPr>
            <w:r>
              <w:t>生态效益</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≥90百分比</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20" w:name="_GoBack"/>
      <w:bookmarkEnd w:id="20"/>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315涞源县司法局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涞源县司法局（含所属单位）上年末固定资产金额为0.00万元（详见下表）。本年度拟购置固定资产总额为0.00万元，已按要求列入政府采购预算，详见政府采购预算表。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315涞源县司法局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000000"/>
    <w:rsid w:val="14710FD4"/>
    <w:rsid w:val="174D3720"/>
    <w:rsid w:val="1A8C67B4"/>
    <w:rsid w:val="28472064"/>
    <w:rsid w:val="35527607"/>
    <w:rsid w:val="60296593"/>
    <w:rsid w:val="70CA513F"/>
    <w:rsid w:val="75661BB1"/>
    <w:rsid w:val="7DE63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2024-03-06T10:07:28Z</dcterms:created>
  <dcterms:modified xsi:type="dcterms:W3CDTF">2024-03-06T02:07:28Z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2024-03-06T10:07:28Z</dcterms:created>
  <dcterms:modified xsi:type="dcterms:W3CDTF">2024-03-06T02:07:28Z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2024-03-06T10:07:28Z</dcterms:created>
  <dcterms:modified xsi:type="dcterms:W3CDTF">2024-03-06T02:07:28Z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2024-03-06T10:07:29Z</dcterms:created>
  <dcterms:modified xsi:type="dcterms:W3CDTF">2024-03-06T02:07:29Z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2024-03-06T10:07:26Z</dcterms:created>
  <dcterms:modified xsi:type="dcterms:W3CDTF">2024-03-06T02:07:26Z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2024-03-06T10:07:29Z</dcterms:created>
  <dcterms:modified xsi:type="dcterms:W3CDTF">2024-03-06T02:07:29Z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2024-03-06T10:07:29Z</dcterms:created>
  <dcterms:modified xsi:type="dcterms:W3CDTF">2024-03-06T02:07:29Z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2024-03-06T10:07:30Z</dcterms:created>
  <dcterms:modified xsi:type="dcterms:W3CDTF">2024-03-06T02:07:30Z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2024-03-06T10:07:30Z</dcterms:created>
  <dcterms:modified xsi:type="dcterms:W3CDTF">2024-03-06T02:07:30Z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2024-03-06T10:07:26Z</dcterms:created>
  <dcterms:modified xsi:type="dcterms:W3CDTF">2024-03-06T02:07:25Z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2024-03-06T10:07:30Z</dcterms:created>
  <dcterms:modified xsi:type="dcterms:W3CDTF">2024-03-06T02:07:30Z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2024-03-06T10:07:31Z</dcterms:created>
  <dcterms:modified xsi:type="dcterms:W3CDTF">2024-03-06T02:07:30Z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2024-03-06T10:07:31Z</dcterms:created>
  <dcterms:modified xsi:type="dcterms:W3CDTF">2024-03-06T02:07:31Z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2024-03-06T10:07:31Z</dcterms:created>
  <dcterms:modified xsi:type="dcterms:W3CDTF">2024-03-06T02:07:31Z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2024-03-06T10:07:31Z</dcterms:created>
  <dcterms:modified xsi:type="dcterms:W3CDTF">2024-03-06T02:07:31Z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2024-03-06T10:07:26Z</dcterms:created>
  <dcterms:modified xsi:type="dcterms:W3CDTF">2024-03-06T02:07:26Z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2024-03-06T10:07:32Z</dcterms:created>
  <dcterms:modified xsi:type="dcterms:W3CDTF">2024-03-06T02:07:32Z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2024-03-06T10:07:32Z</dcterms:created>
  <dcterms:modified xsi:type="dcterms:W3CDTF">2024-03-06T02:07:32Z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2024-03-06T10:07:26Z</dcterms:created>
  <dcterms:modified xsi:type="dcterms:W3CDTF">2024-03-06T02:07:26Z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2024-03-06T10:07:23Z</dcterms:created>
  <dcterms:modified xsi:type="dcterms:W3CDTF">2024-03-06T02:07:22Z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2024-03-06T10:07:26Z</dcterms:created>
  <dcterms:modified xsi:type="dcterms:W3CDTF">2024-03-06T02:07:26Z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2024-03-06T10:07:28Z</dcterms:created>
  <dcterms:modified xsi:type="dcterms:W3CDTF">2024-03-06T02:07:28Z</dcterms:modified>
</cp:coreProperties>
</file>

<file path=customXml/itemProps1.xml><?xml version="1.0" encoding="utf-8"?>
<ds:datastoreItem xmlns:ds="http://schemas.openxmlformats.org/officeDocument/2006/customXml" ds:itemID="{41201c5c-f850-423b-8e3d-fb05be0666bb}">
  <ds:schemaRefs/>
</ds:datastoreItem>
</file>

<file path=customXml/itemProps10.xml><?xml version="1.0" encoding="utf-8"?>
<ds:datastoreItem xmlns:ds="http://schemas.openxmlformats.org/officeDocument/2006/customXml" ds:itemID="{af572484-712a-436d-b686-9bcbfbcb2f81}">
  <ds:schemaRefs/>
</ds:datastoreItem>
</file>

<file path=customXml/itemProps11.xml><?xml version="1.0" encoding="utf-8"?>
<ds:datastoreItem xmlns:ds="http://schemas.openxmlformats.org/officeDocument/2006/customXml" ds:itemID="{2fd475b6-21d6-4e10-8090-743464b8b7e5}">
  <ds:schemaRefs/>
</ds:datastoreItem>
</file>

<file path=customXml/itemProps12.xml><?xml version="1.0" encoding="utf-8"?>
<ds:datastoreItem xmlns:ds="http://schemas.openxmlformats.org/officeDocument/2006/customXml" ds:itemID="{fc68f276-6dc7-4f52-8007-971757451d24}">
  <ds:schemaRefs/>
</ds:datastoreItem>
</file>

<file path=customXml/itemProps13.xml><?xml version="1.0" encoding="utf-8"?>
<ds:datastoreItem xmlns:ds="http://schemas.openxmlformats.org/officeDocument/2006/customXml" ds:itemID="{455913e4-6805-4e53-babb-005cabed16b0}">
  <ds:schemaRefs/>
</ds:datastoreItem>
</file>

<file path=customXml/itemProps14.xml><?xml version="1.0" encoding="utf-8"?>
<ds:datastoreItem xmlns:ds="http://schemas.openxmlformats.org/officeDocument/2006/customXml" ds:itemID="{c17d9478-03b1-4b26-9173-91d6946cc3ba}">
  <ds:schemaRefs/>
</ds:datastoreItem>
</file>

<file path=customXml/itemProps15.xml><?xml version="1.0" encoding="utf-8"?>
<ds:datastoreItem xmlns:ds="http://schemas.openxmlformats.org/officeDocument/2006/customXml" ds:itemID="{d6f82a85-a8dd-41c6-bb4f-ea1ee7f07a42}">
  <ds:schemaRefs/>
</ds:datastoreItem>
</file>

<file path=customXml/itemProps16.xml><?xml version="1.0" encoding="utf-8"?>
<ds:datastoreItem xmlns:ds="http://schemas.openxmlformats.org/officeDocument/2006/customXml" ds:itemID="{9c82a09e-3bba-489e-825f-fac0743908d9}">
  <ds:schemaRefs/>
</ds:datastoreItem>
</file>

<file path=customXml/itemProps17.xml><?xml version="1.0" encoding="utf-8"?>
<ds:datastoreItem xmlns:ds="http://schemas.openxmlformats.org/officeDocument/2006/customXml" ds:itemID="{ae5532eb-86ff-4769-adad-44116a746da2}">
  <ds:schemaRefs/>
</ds:datastoreItem>
</file>

<file path=customXml/itemProps18.xml><?xml version="1.0" encoding="utf-8"?>
<ds:datastoreItem xmlns:ds="http://schemas.openxmlformats.org/officeDocument/2006/customXml" ds:itemID="{2977643f-e403-4f3e-80ee-8f2f4c64ee67}">
  <ds:schemaRefs/>
</ds:datastoreItem>
</file>

<file path=customXml/itemProps19.xml><?xml version="1.0" encoding="utf-8"?>
<ds:datastoreItem xmlns:ds="http://schemas.openxmlformats.org/officeDocument/2006/customXml" ds:itemID="{cf5673f0-c5df-40e3-a68e-f0451070ea67}">
  <ds:schemaRefs/>
</ds:datastoreItem>
</file>

<file path=customXml/itemProps2.xml><?xml version="1.0" encoding="utf-8"?>
<ds:datastoreItem xmlns:ds="http://schemas.openxmlformats.org/officeDocument/2006/customXml" ds:itemID="{ed77cb3b-269b-4eda-80b6-08d774a56861}">
  <ds:schemaRefs/>
</ds:datastoreItem>
</file>

<file path=customXml/itemProps20.xml><?xml version="1.0" encoding="utf-8"?>
<ds:datastoreItem xmlns:ds="http://schemas.openxmlformats.org/officeDocument/2006/customXml" ds:itemID="{db37460e-87f7-4435-b42e-895e0266329a}">
  <ds:schemaRefs/>
</ds:datastoreItem>
</file>

<file path=customXml/itemProps21.xml><?xml version="1.0" encoding="utf-8"?>
<ds:datastoreItem xmlns:ds="http://schemas.openxmlformats.org/officeDocument/2006/customXml" ds:itemID="{587a8393-39f1-4ba3-aa8b-efe9985dec70}">
  <ds:schemaRefs/>
</ds:datastoreItem>
</file>

<file path=customXml/itemProps22.xml><?xml version="1.0" encoding="utf-8"?>
<ds:datastoreItem xmlns:ds="http://schemas.openxmlformats.org/officeDocument/2006/customXml" ds:itemID="{884f9925-74e0-4ba4-a796-6a1320fd5cff}">
  <ds:schemaRefs/>
</ds:datastoreItem>
</file>

<file path=customXml/itemProps23.xml><?xml version="1.0" encoding="utf-8"?>
<ds:datastoreItem xmlns:ds="http://schemas.openxmlformats.org/officeDocument/2006/customXml" ds:itemID="{6eeb1db6-a791-4f20-8a77-77b1106984ee}">
  <ds:schemaRefs/>
</ds:datastoreItem>
</file>

<file path=customXml/itemProps24.xml><?xml version="1.0" encoding="utf-8"?>
<ds:datastoreItem xmlns:ds="http://schemas.openxmlformats.org/officeDocument/2006/customXml" ds:itemID="{e68f8416-7c15-4b79-ae9d-5a6150196090}">
  <ds:schemaRefs/>
</ds:datastoreItem>
</file>

<file path=customXml/itemProps25.xml><?xml version="1.0" encoding="utf-8"?>
<ds:datastoreItem xmlns:ds="http://schemas.openxmlformats.org/officeDocument/2006/customXml" ds:itemID="{fc426ab4-5d39-4d23-8cc6-e7d69564883a}">
  <ds:schemaRefs/>
</ds:datastoreItem>
</file>

<file path=customXml/itemProps26.xml><?xml version="1.0" encoding="utf-8"?>
<ds:datastoreItem xmlns:ds="http://schemas.openxmlformats.org/officeDocument/2006/customXml" ds:itemID="{15bc5304-bcfb-4728-9294-5156943e05bc}">
  <ds:schemaRefs/>
</ds:datastoreItem>
</file>

<file path=customXml/itemProps27.xml><?xml version="1.0" encoding="utf-8"?>
<ds:datastoreItem xmlns:ds="http://schemas.openxmlformats.org/officeDocument/2006/customXml" ds:itemID="{dbb9ccb1-a581-450d-b29d-a2da2d7c64ab}">
  <ds:schemaRefs/>
</ds:datastoreItem>
</file>

<file path=customXml/itemProps28.xml><?xml version="1.0" encoding="utf-8"?>
<ds:datastoreItem xmlns:ds="http://schemas.openxmlformats.org/officeDocument/2006/customXml" ds:itemID="{86639bb2-60de-436d-b6cc-baa212750fdb}">
  <ds:schemaRefs/>
</ds:datastoreItem>
</file>

<file path=customXml/itemProps29.xml><?xml version="1.0" encoding="utf-8"?>
<ds:datastoreItem xmlns:ds="http://schemas.openxmlformats.org/officeDocument/2006/customXml" ds:itemID="{d380204a-d74e-4d4f-982f-bbc5bf294c7c}">
  <ds:schemaRefs/>
</ds:datastoreItem>
</file>

<file path=customXml/itemProps3.xml><?xml version="1.0" encoding="utf-8"?>
<ds:datastoreItem xmlns:ds="http://schemas.openxmlformats.org/officeDocument/2006/customXml" ds:itemID="{602346b9-4ef1-49a8-bb45-7672e56040be}">
  <ds:schemaRefs/>
</ds:datastoreItem>
</file>

<file path=customXml/itemProps30.xml><?xml version="1.0" encoding="utf-8"?>
<ds:datastoreItem xmlns:ds="http://schemas.openxmlformats.org/officeDocument/2006/customXml" ds:itemID="{482380d8-9728-48b2-ab9a-bb5946961044}">
  <ds:schemaRefs/>
</ds:datastoreItem>
</file>

<file path=customXml/itemProps31.xml><?xml version="1.0" encoding="utf-8"?>
<ds:datastoreItem xmlns:ds="http://schemas.openxmlformats.org/officeDocument/2006/customXml" ds:itemID="{d15e04c4-c211-4be4-b1ab-bc1f1cfb2143}">
  <ds:schemaRefs/>
</ds:datastoreItem>
</file>

<file path=customXml/itemProps32.xml><?xml version="1.0" encoding="utf-8"?>
<ds:datastoreItem xmlns:ds="http://schemas.openxmlformats.org/officeDocument/2006/customXml" ds:itemID="{050cc44e-3ac4-432b-80f3-83d0ce01d8d5}">
  <ds:schemaRefs/>
</ds:datastoreItem>
</file>

<file path=customXml/itemProps33.xml><?xml version="1.0" encoding="utf-8"?>
<ds:datastoreItem xmlns:ds="http://schemas.openxmlformats.org/officeDocument/2006/customXml" ds:itemID="{ba387742-bcf9-491d-879c-55d516c0af61}">
  <ds:schemaRefs/>
</ds:datastoreItem>
</file>

<file path=customXml/itemProps34.xml><?xml version="1.0" encoding="utf-8"?>
<ds:datastoreItem xmlns:ds="http://schemas.openxmlformats.org/officeDocument/2006/customXml" ds:itemID="{3b155423-7952-40ad-9bcd-bd7aabfa3eb1}">
  <ds:schemaRefs/>
</ds:datastoreItem>
</file>

<file path=customXml/itemProps35.xml><?xml version="1.0" encoding="utf-8"?>
<ds:datastoreItem xmlns:ds="http://schemas.openxmlformats.org/officeDocument/2006/customXml" ds:itemID="{a160f7bb-a0a4-4c5d-b32b-ed21e19f02f0}">
  <ds:schemaRefs/>
</ds:datastoreItem>
</file>

<file path=customXml/itemProps36.xml><?xml version="1.0" encoding="utf-8"?>
<ds:datastoreItem xmlns:ds="http://schemas.openxmlformats.org/officeDocument/2006/customXml" ds:itemID="{4d4b7c79-8782-4c56-b75f-dc9772f640e4}">
  <ds:schemaRefs/>
</ds:datastoreItem>
</file>

<file path=customXml/itemProps37.xml><?xml version="1.0" encoding="utf-8"?>
<ds:datastoreItem xmlns:ds="http://schemas.openxmlformats.org/officeDocument/2006/customXml" ds:itemID="{5cb5afb0-0716-4485-b3b6-d51f1bd99a00}">
  <ds:schemaRefs/>
</ds:datastoreItem>
</file>

<file path=customXml/itemProps38.xml><?xml version="1.0" encoding="utf-8"?>
<ds:datastoreItem xmlns:ds="http://schemas.openxmlformats.org/officeDocument/2006/customXml" ds:itemID="{ed42e95f-4229-448d-add9-eafa1e2307c5}">
  <ds:schemaRefs/>
</ds:datastoreItem>
</file>

<file path=customXml/itemProps39.xml><?xml version="1.0" encoding="utf-8"?>
<ds:datastoreItem xmlns:ds="http://schemas.openxmlformats.org/officeDocument/2006/customXml" ds:itemID="{e8982140-22a9-41e3-8526-7b4bed45b7aa}">
  <ds:schemaRefs/>
</ds:datastoreItem>
</file>

<file path=customXml/itemProps4.xml><?xml version="1.0" encoding="utf-8"?>
<ds:datastoreItem xmlns:ds="http://schemas.openxmlformats.org/officeDocument/2006/customXml" ds:itemID="{c2bf30b0-2b5f-4cb8-9af0-22dbe39c7895}">
  <ds:schemaRefs/>
</ds:datastoreItem>
</file>

<file path=customXml/itemProps40.xml><?xml version="1.0" encoding="utf-8"?>
<ds:datastoreItem xmlns:ds="http://schemas.openxmlformats.org/officeDocument/2006/customXml" ds:itemID="{a8999c9a-266d-49ec-9f9a-be281f15b5cb}">
  <ds:schemaRefs/>
</ds:datastoreItem>
</file>

<file path=customXml/itemProps41.xml><?xml version="1.0" encoding="utf-8"?>
<ds:datastoreItem xmlns:ds="http://schemas.openxmlformats.org/officeDocument/2006/customXml" ds:itemID="{1c5d3d45-9d5a-42e0-a7a3-cbdcafa26e15}">
  <ds:schemaRefs/>
</ds:datastoreItem>
</file>

<file path=customXml/itemProps42.xml><?xml version="1.0" encoding="utf-8"?>
<ds:datastoreItem xmlns:ds="http://schemas.openxmlformats.org/officeDocument/2006/customXml" ds:itemID="{399471f6-3238-4d05-9c78-dac48e4b99be}">
  <ds:schemaRefs/>
</ds:datastoreItem>
</file>

<file path=customXml/itemProps43.xml><?xml version="1.0" encoding="utf-8"?>
<ds:datastoreItem xmlns:ds="http://schemas.openxmlformats.org/officeDocument/2006/customXml" ds:itemID="{33f767ad-075c-4f94-a8c4-9f1a4b04cf44}">
  <ds:schemaRefs/>
</ds:datastoreItem>
</file>

<file path=customXml/itemProps44.xml><?xml version="1.0" encoding="utf-8"?>
<ds:datastoreItem xmlns:ds="http://schemas.openxmlformats.org/officeDocument/2006/customXml" ds:itemID="{a2987e8e-45ef-4050-8b27-49b57996a448}">
  <ds:schemaRefs/>
</ds:datastoreItem>
</file>

<file path=customXml/itemProps5.xml><?xml version="1.0" encoding="utf-8"?>
<ds:datastoreItem xmlns:ds="http://schemas.openxmlformats.org/officeDocument/2006/customXml" ds:itemID="{ebaf884e-ed60-42ee-a6ae-8cfcbb0e22fa}">
  <ds:schemaRefs/>
</ds:datastoreItem>
</file>

<file path=customXml/itemProps6.xml><?xml version="1.0" encoding="utf-8"?>
<ds:datastoreItem xmlns:ds="http://schemas.openxmlformats.org/officeDocument/2006/customXml" ds:itemID="{596b70c4-ab2e-44f9-9083-8101337f39bf}">
  <ds:schemaRefs/>
</ds:datastoreItem>
</file>

<file path=customXml/itemProps7.xml><?xml version="1.0" encoding="utf-8"?>
<ds:datastoreItem xmlns:ds="http://schemas.openxmlformats.org/officeDocument/2006/customXml" ds:itemID="{ff272588-5a70-47a1-af39-906d689fe66a}">
  <ds:schemaRefs/>
</ds:datastoreItem>
</file>

<file path=customXml/itemProps8.xml><?xml version="1.0" encoding="utf-8"?>
<ds:datastoreItem xmlns:ds="http://schemas.openxmlformats.org/officeDocument/2006/customXml" ds:itemID="{211b60da-f72f-496e-9c06-bb1518656bcc}">
  <ds:schemaRefs/>
</ds:datastoreItem>
</file>

<file path=customXml/itemProps9.xml><?xml version="1.0" encoding="utf-8"?>
<ds:datastoreItem xmlns:ds="http://schemas.openxmlformats.org/officeDocument/2006/customXml" ds:itemID="{ff1e4ab8-defc-4085-a4c0-1c1ebd4a0f4e}">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2024-03-06T10:07:00Z</dcterms:created>
  <dc:creator>a</dc:creator>
  <cp:lastModifiedBy>（    ）</cp:lastModifiedBy>
  <cp:lastPrinted>2024-03-07T06:29:00Z</cp:lastPrinted>
  <dcterms:modified xsi:type="dcterms:W3CDTF">2024-03-07T07:32:29Z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196B0242BF424ADDB64CFD5BCAB01C31_13</vt:lpwstr>
  </property>
</Properties>
</file>