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806涞源县医疗保障局</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550.08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508.38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550.08</w:t>
            </w:r>
          </w:p>
        </w:tc>
        <w:tc>
          <w:tcPr>
            <w:tcW w:w="4535" w:type="dxa"/>
            <w:vAlign w:val="center"/>
          </w:tcPr>
          <w:p>
            <w:pPr>
              <w:pStyle w:val="16"/>
            </w:pPr>
            <w:r>
              <w:t>本年支出合计</w:t>
            </w:r>
          </w:p>
        </w:tc>
        <w:tc>
          <w:tcPr>
            <w:tcW w:w="2126" w:type="dxa"/>
            <w:vAlign w:val="center"/>
          </w:tcPr>
          <w:p>
            <w:pPr>
              <w:pStyle w:val="17"/>
            </w:pPr>
            <w:r>
              <w:t>550.08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550.08</w:t>
            </w:r>
          </w:p>
        </w:tc>
        <w:tc>
          <w:tcPr>
            <w:tcW w:w="4535" w:type="dxa"/>
            <w:vAlign w:val="center"/>
          </w:tcPr>
          <w:p>
            <w:pPr>
              <w:pStyle w:val="16"/>
            </w:pPr>
            <w:r>
              <w:t>支出总计</w:t>
            </w:r>
          </w:p>
        </w:tc>
        <w:tc>
          <w:tcPr>
            <w:tcW w:w="2126" w:type="dxa"/>
            <w:vAlign w:val="center"/>
          </w:tcPr>
          <w:p>
            <w:pPr>
              <w:pStyle w:val="17"/>
            </w:pPr>
            <w:r>
              <w:t>550.08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806涞源县医疗保障局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550.08</w:t>
            </w:r>
          </w:p>
        </w:tc>
        <w:tc>
          <w:tcPr>
            <w:tcW w:w="1134" w:type="dxa"/>
            <w:vAlign w:val="center"/>
          </w:tcPr>
          <w:p>
            <w:pPr>
              <w:pStyle w:val="17"/>
            </w:pPr>
            <w:r>
              <w:t>550.08</w:t>
            </w:r>
          </w:p>
        </w:tc>
        <w:tc>
          <w:tcPr>
            <w:tcW w:w="1134" w:type="dxa"/>
            <w:vAlign w:val="center"/>
          </w:tcPr>
          <w:p>
            <w:pPr>
              <w:pStyle w:val="17"/>
            </w:pPr>
            <w:r>
              <w:t>550.08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32.34</w:t>
            </w:r>
          </w:p>
        </w:tc>
        <w:tc>
          <w:tcPr>
            <w:tcW w:w="1134" w:type="dxa"/>
            <w:vAlign w:val="center"/>
          </w:tcPr>
          <w:p>
            <w:pPr>
              <w:pStyle w:val="13"/>
            </w:pPr>
            <w:r>
              <w:t>32.34</w:t>
            </w:r>
          </w:p>
        </w:tc>
        <w:tc>
          <w:tcPr>
            <w:tcW w:w="1134" w:type="dxa"/>
            <w:vAlign w:val="center"/>
          </w:tcPr>
          <w:p>
            <w:pPr>
              <w:pStyle w:val="13"/>
            </w:pPr>
            <w:r>
              <w:t>32.34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29.34</w:t>
            </w:r>
          </w:p>
        </w:tc>
        <w:tc>
          <w:tcPr>
            <w:tcW w:w="1134" w:type="dxa"/>
            <w:vAlign w:val="center"/>
          </w:tcPr>
          <w:p>
            <w:pPr>
              <w:pStyle w:val="13"/>
            </w:pPr>
            <w:r>
              <w:t>29.34</w:t>
            </w:r>
          </w:p>
        </w:tc>
        <w:tc>
          <w:tcPr>
            <w:tcW w:w="1134" w:type="dxa"/>
            <w:vAlign w:val="center"/>
          </w:tcPr>
          <w:p>
            <w:pPr>
              <w:pStyle w:val="13"/>
            </w:pPr>
            <w:r>
              <w:t>29.34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1.26</w:t>
            </w:r>
          </w:p>
        </w:tc>
        <w:tc>
          <w:tcPr>
            <w:tcW w:w="1134" w:type="dxa"/>
            <w:vAlign w:val="center"/>
          </w:tcPr>
          <w:p>
            <w:pPr>
              <w:pStyle w:val="13"/>
            </w:pPr>
            <w:r>
              <w:t>1.26</w:t>
            </w:r>
          </w:p>
        </w:tc>
        <w:tc>
          <w:tcPr>
            <w:tcW w:w="1134" w:type="dxa"/>
            <w:vAlign w:val="center"/>
          </w:tcPr>
          <w:p>
            <w:pPr>
              <w:pStyle w:val="13"/>
            </w:pPr>
            <w:r>
              <w:t>1.26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18.72</w:t>
            </w:r>
          </w:p>
        </w:tc>
        <w:tc>
          <w:tcPr>
            <w:tcW w:w="1134" w:type="dxa"/>
            <w:vAlign w:val="center"/>
          </w:tcPr>
          <w:p>
            <w:pPr>
              <w:pStyle w:val="13"/>
            </w:pPr>
            <w:r>
              <w:t>18.72</w:t>
            </w:r>
          </w:p>
        </w:tc>
        <w:tc>
          <w:tcPr>
            <w:tcW w:w="1134" w:type="dxa"/>
            <w:vAlign w:val="center"/>
          </w:tcPr>
          <w:p>
            <w:pPr>
              <w:pStyle w:val="13"/>
            </w:pPr>
            <w:r>
              <w:t>18.72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9.36</w:t>
            </w:r>
          </w:p>
        </w:tc>
        <w:tc>
          <w:tcPr>
            <w:tcW w:w="1134" w:type="dxa"/>
            <w:vAlign w:val="center"/>
          </w:tcPr>
          <w:p>
            <w:pPr>
              <w:pStyle w:val="13"/>
            </w:pPr>
            <w:r>
              <w:t>9.36</w:t>
            </w:r>
          </w:p>
        </w:tc>
        <w:tc>
          <w:tcPr>
            <w:tcW w:w="1134" w:type="dxa"/>
            <w:vAlign w:val="center"/>
          </w:tcPr>
          <w:p>
            <w:pPr>
              <w:pStyle w:val="13"/>
            </w:pPr>
            <w:r>
              <w:t>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508.38</w:t>
            </w:r>
          </w:p>
        </w:tc>
        <w:tc>
          <w:tcPr>
            <w:tcW w:w="1134" w:type="dxa"/>
            <w:vAlign w:val="center"/>
          </w:tcPr>
          <w:p>
            <w:pPr>
              <w:pStyle w:val="13"/>
            </w:pPr>
            <w:r>
              <w:t>508.38</w:t>
            </w:r>
          </w:p>
        </w:tc>
        <w:tc>
          <w:tcPr>
            <w:tcW w:w="1134" w:type="dxa"/>
            <w:vAlign w:val="center"/>
          </w:tcPr>
          <w:p>
            <w:pPr>
              <w:pStyle w:val="13"/>
            </w:pPr>
            <w:r>
              <w:t>508.38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21015</w:t>
            </w:r>
          </w:p>
        </w:tc>
        <w:tc>
          <w:tcPr>
            <w:tcW w:w="1559" w:type="dxa"/>
            <w:vAlign w:val="center"/>
          </w:tcPr>
          <w:p>
            <w:pPr>
              <w:pStyle w:val="14"/>
            </w:pPr>
            <w:r>
              <w:t>医疗保障管理事务</w:t>
            </w:r>
          </w:p>
        </w:tc>
        <w:tc>
          <w:tcPr>
            <w:tcW w:w="1134" w:type="dxa"/>
            <w:vAlign w:val="center"/>
          </w:tcPr>
          <w:p>
            <w:pPr>
              <w:pStyle w:val="13"/>
            </w:pPr>
            <w:r>
              <w:t>508.38</w:t>
            </w:r>
          </w:p>
        </w:tc>
        <w:tc>
          <w:tcPr>
            <w:tcW w:w="1134" w:type="dxa"/>
            <w:vAlign w:val="center"/>
          </w:tcPr>
          <w:p>
            <w:pPr>
              <w:pStyle w:val="13"/>
            </w:pPr>
            <w:r>
              <w:t>508.38</w:t>
            </w:r>
          </w:p>
        </w:tc>
        <w:tc>
          <w:tcPr>
            <w:tcW w:w="1134" w:type="dxa"/>
            <w:vAlign w:val="center"/>
          </w:tcPr>
          <w:p>
            <w:pPr>
              <w:pStyle w:val="13"/>
            </w:pPr>
            <w:r>
              <w:t>508.38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2101501</w:t>
            </w:r>
          </w:p>
        </w:tc>
        <w:tc>
          <w:tcPr>
            <w:tcW w:w="1559" w:type="dxa"/>
            <w:vAlign w:val="center"/>
          </w:tcPr>
          <w:p>
            <w:pPr>
              <w:pStyle w:val="14"/>
            </w:pPr>
            <w:r>
              <w:t>行政运行</w:t>
            </w:r>
          </w:p>
        </w:tc>
        <w:tc>
          <w:tcPr>
            <w:tcW w:w="1134" w:type="dxa"/>
            <w:vAlign w:val="center"/>
          </w:tcPr>
          <w:p>
            <w:pPr>
              <w:pStyle w:val="13"/>
            </w:pPr>
            <w:r>
              <w:t>456.73</w:t>
            </w:r>
          </w:p>
        </w:tc>
        <w:tc>
          <w:tcPr>
            <w:tcW w:w="1134" w:type="dxa"/>
            <w:vAlign w:val="center"/>
          </w:tcPr>
          <w:p>
            <w:pPr>
              <w:pStyle w:val="13"/>
            </w:pPr>
            <w:r>
              <w:t>456.73</w:t>
            </w:r>
          </w:p>
        </w:tc>
        <w:tc>
          <w:tcPr>
            <w:tcW w:w="1134" w:type="dxa"/>
            <w:vAlign w:val="center"/>
          </w:tcPr>
          <w:p>
            <w:pPr>
              <w:pStyle w:val="13"/>
            </w:pPr>
            <w:r>
              <w:t>456.73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2101502</w:t>
            </w:r>
          </w:p>
        </w:tc>
        <w:tc>
          <w:tcPr>
            <w:tcW w:w="1559" w:type="dxa"/>
            <w:vAlign w:val="center"/>
          </w:tcPr>
          <w:p>
            <w:pPr>
              <w:pStyle w:val="14"/>
            </w:pPr>
            <w:r>
              <w:t>一般行政管理事务</w:t>
            </w:r>
          </w:p>
        </w:tc>
        <w:tc>
          <w:tcPr>
            <w:tcW w:w="1134" w:type="dxa"/>
            <w:vAlign w:val="center"/>
          </w:tcPr>
          <w:p>
            <w:pPr>
              <w:pStyle w:val="13"/>
            </w:pPr>
            <w:r>
              <w:t>46.65</w:t>
            </w:r>
          </w:p>
        </w:tc>
        <w:tc>
          <w:tcPr>
            <w:tcW w:w="1134" w:type="dxa"/>
            <w:vAlign w:val="center"/>
          </w:tcPr>
          <w:p>
            <w:pPr>
              <w:pStyle w:val="13"/>
            </w:pPr>
            <w:r>
              <w:t>46.65</w:t>
            </w:r>
          </w:p>
        </w:tc>
        <w:tc>
          <w:tcPr>
            <w:tcW w:w="1134" w:type="dxa"/>
            <w:vAlign w:val="center"/>
          </w:tcPr>
          <w:p>
            <w:pPr>
              <w:pStyle w:val="13"/>
            </w:pPr>
            <w:r>
              <w:t>46.65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2101506</w:t>
            </w:r>
          </w:p>
        </w:tc>
        <w:tc>
          <w:tcPr>
            <w:tcW w:w="1559" w:type="dxa"/>
            <w:vAlign w:val="center"/>
          </w:tcPr>
          <w:p>
            <w:pPr>
              <w:pStyle w:val="14"/>
            </w:pPr>
            <w:r>
              <w:t>医疗保障经办事务</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9.36</w:t>
            </w:r>
          </w:p>
        </w:tc>
        <w:tc>
          <w:tcPr>
            <w:tcW w:w="1134" w:type="dxa"/>
            <w:vAlign w:val="center"/>
          </w:tcPr>
          <w:p>
            <w:pPr>
              <w:pStyle w:val="13"/>
            </w:pPr>
            <w:r>
              <w:t>9.36</w:t>
            </w:r>
          </w:p>
        </w:tc>
        <w:tc>
          <w:tcPr>
            <w:tcW w:w="1134" w:type="dxa"/>
            <w:vAlign w:val="center"/>
          </w:tcPr>
          <w:p>
            <w:pPr>
              <w:pStyle w:val="13"/>
            </w:pPr>
            <w:r>
              <w:t>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9.36</w:t>
            </w:r>
          </w:p>
        </w:tc>
        <w:tc>
          <w:tcPr>
            <w:tcW w:w="1134" w:type="dxa"/>
            <w:vAlign w:val="center"/>
          </w:tcPr>
          <w:p>
            <w:pPr>
              <w:pStyle w:val="13"/>
            </w:pPr>
            <w:r>
              <w:t>9.36</w:t>
            </w:r>
          </w:p>
        </w:tc>
        <w:tc>
          <w:tcPr>
            <w:tcW w:w="1134" w:type="dxa"/>
            <w:vAlign w:val="center"/>
          </w:tcPr>
          <w:p>
            <w:pPr>
              <w:pStyle w:val="13"/>
            </w:pPr>
            <w:r>
              <w:t>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9.36</w:t>
            </w:r>
          </w:p>
        </w:tc>
        <w:tc>
          <w:tcPr>
            <w:tcW w:w="1134" w:type="dxa"/>
            <w:vAlign w:val="center"/>
          </w:tcPr>
          <w:p>
            <w:pPr>
              <w:pStyle w:val="13"/>
            </w:pPr>
            <w:r>
              <w:t>9.36</w:t>
            </w:r>
          </w:p>
        </w:tc>
        <w:tc>
          <w:tcPr>
            <w:tcW w:w="1134" w:type="dxa"/>
            <w:vAlign w:val="center"/>
          </w:tcPr>
          <w:p>
            <w:pPr>
              <w:pStyle w:val="13"/>
            </w:pPr>
            <w:r>
              <w:t>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806涞源县医疗保障局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550.08</w:t>
            </w:r>
          </w:p>
        </w:tc>
        <w:tc>
          <w:tcPr>
            <w:tcW w:w="1361" w:type="dxa"/>
            <w:vAlign w:val="center"/>
          </w:tcPr>
          <w:p>
            <w:pPr>
              <w:pStyle w:val="17"/>
            </w:pPr>
            <w:r>
              <w:t>463.23</w:t>
            </w:r>
          </w:p>
        </w:tc>
        <w:tc>
          <w:tcPr>
            <w:tcW w:w="1361" w:type="dxa"/>
            <w:vAlign w:val="center"/>
          </w:tcPr>
          <w:p>
            <w:pPr>
              <w:pStyle w:val="17"/>
            </w:pPr>
            <w:r>
              <w:t>86.85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32.34</w:t>
            </w:r>
          </w:p>
        </w:tc>
        <w:tc>
          <w:tcPr>
            <w:tcW w:w="1361" w:type="dxa"/>
            <w:vAlign w:val="center"/>
          </w:tcPr>
          <w:p>
            <w:pPr>
              <w:pStyle w:val="13"/>
            </w:pPr>
            <w:r>
              <w:t>29.34</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29.34</w:t>
            </w:r>
          </w:p>
        </w:tc>
        <w:tc>
          <w:tcPr>
            <w:tcW w:w="1361" w:type="dxa"/>
            <w:vAlign w:val="center"/>
          </w:tcPr>
          <w:p>
            <w:pPr>
              <w:pStyle w:val="13"/>
            </w:pPr>
            <w:r>
              <w:t>29.34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1.26</w:t>
            </w:r>
          </w:p>
        </w:tc>
        <w:tc>
          <w:tcPr>
            <w:tcW w:w="1361" w:type="dxa"/>
            <w:vAlign w:val="center"/>
          </w:tcPr>
          <w:p>
            <w:pPr>
              <w:pStyle w:val="13"/>
            </w:pPr>
            <w:r>
              <w:t>1.26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18.72</w:t>
            </w:r>
          </w:p>
        </w:tc>
        <w:tc>
          <w:tcPr>
            <w:tcW w:w="1361" w:type="dxa"/>
            <w:vAlign w:val="center"/>
          </w:tcPr>
          <w:p>
            <w:pPr>
              <w:pStyle w:val="13"/>
            </w:pPr>
            <w:r>
              <w:t>18.72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9.36</w:t>
            </w:r>
          </w:p>
        </w:tc>
        <w:tc>
          <w:tcPr>
            <w:tcW w:w="1361" w:type="dxa"/>
            <w:vAlign w:val="center"/>
          </w:tcPr>
          <w:p>
            <w:pPr>
              <w:pStyle w:val="13"/>
            </w:pPr>
            <w:r>
              <w:t>9.36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508.38</w:t>
            </w:r>
          </w:p>
        </w:tc>
        <w:tc>
          <w:tcPr>
            <w:tcW w:w="1361" w:type="dxa"/>
            <w:vAlign w:val="center"/>
          </w:tcPr>
          <w:p>
            <w:pPr>
              <w:pStyle w:val="13"/>
            </w:pPr>
            <w:r>
              <w:t>424.53</w:t>
            </w:r>
          </w:p>
        </w:tc>
        <w:tc>
          <w:tcPr>
            <w:tcW w:w="1361" w:type="dxa"/>
            <w:vAlign w:val="center"/>
          </w:tcPr>
          <w:p>
            <w:pPr>
              <w:pStyle w:val="13"/>
            </w:pPr>
            <w:r>
              <w:t>83.85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21015</w:t>
            </w:r>
          </w:p>
        </w:tc>
        <w:tc>
          <w:tcPr>
            <w:tcW w:w="4535" w:type="dxa"/>
            <w:vAlign w:val="center"/>
          </w:tcPr>
          <w:p>
            <w:pPr>
              <w:pStyle w:val="14"/>
            </w:pPr>
            <w:r>
              <w:t>医疗保障管理事务</w:t>
            </w:r>
          </w:p>
        </w:tc>
        <w:tc>
          <w:tcPr>
            <w:tcW w:w="1361" w:type="dxa"/>
            <w:vAlign w:val="center"/>
          </w:tcPr>
          <w:p>
            <w:pPr>
              <w:pStyle w:val="13"/>
            </w:pPr>
            <w:r>
              <w:t>508.38</w:t>
            </w:r>
          </w:p>
        </w:tc>
        <w:tc>
          <w:tcPr>
            <w:tcW w:w="1361" w:type="dxa"/>
            <w:vAlign w:val="center"/>
          </w:tcPr>
          <w:p>
            <w:pPr>
              <w:pStyle w:val="13"/>
            </w:pPr>
            <w:r>
              <w:t>424.53</w:t>
            </w:r>
          </w:p>
        </w:tc>
        <w:tc>
          <w:tcPr>
            <w:tcW w:w="1361" w:type="dxa"/>
            <w:vAlign w:val="center"/>
          </w:tcPr>
          <w:p>
            <w:pPr>
              <w:pStyle w:val="13"/>
            </w:pPr>
            <w:r>
              <w:t>83.85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2101501</w:t>
            </w:r>
          </w:p>
        </w:tc>
        <w:tc>
          <w:tcPr>
            <w:tcW w:w="4535" w:type="dxa"/>
            <w:vAlign w:val="center"/>
          </w:tcPr>
          <w:p>
            <w:pPr>
              <w:pStyle w:val="14"/>
            </w:pPr>
            <w:r>
              <w:t>行政运行</w:t>
            </w:r>
          </w:p>
        </w:tc>
        <w:tc>
          <w:tcPr>
            <w:tcW w:w="1361" w:type="dxa"/>
            <w:vAlign w:val="center"/>
          </w:tcPr>
          <w:p>
            <w:pPr>
              <w:pStyle w:val="13"/>
            </w:pPr>
            <w:r>
              <w:t>456.73</w:t>
            </w:r>
          </w:p>
        </w:tc>
        <w:tc>
          <w:tcPr>
            <w:tcW w:w="1361" w:type="dxa"/>
            <w:vAlign w:val="center"/>
          </w:tcPr>
          <w:p>
            <w:pPr>
              <w:pStyle w:val="13"/>
            </w:pPr>
            <w:r>
              <w:t>424.53</w:t>
            </w:r>
          </w:p>
        </w:tc>
        <w:tc>
          <w:tcPr>
            <w:tcW w:w="1361" w:type="dxa"/>
            <w:vAlign w:val="center"/>
          </w:tcPr>
          <w:p>
            <w:pPr>
              <w:pStyle w:val="13"/>
            </w:pPr>
            <w:r>
              <w:t>32.20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2101502</w:t>
            </w:r>
          </w:p>
        </w:tc>
        <w:tc>
          <w:tcPr>
            <w:tcW w:w="4535" w:type="dxa"/>
            <w:vAlign w:val="center"/>
          </w:tcPr>
          <w:p>
            <w:pPr>
              <w:pStyle w:val="14"/>
            </w:pPr>
            <w:r>
              <w:t>一般行政管理事务</w:t>
            </w:r>
          </w:p>
        </w:tc>
        <w:tc>
          <w:tcPr>
            <w:tcW w:w="1361" w:type="dxa"/>
            <w:vAlign w:val="center"/>
          </w:tcPr>
          <w:p>
            <w:pPr>
              <w:pStyle w:val="13"/>
            </w:pPr>
            <w:r>
              <w:t>46.65</w:t>
            </w:r>
          </w:p>
        </w:tc>
        <w:tc>
          <w:tcPr>
            <w:tcW w:w="1361" w:type="dxa"/>
            <w:vAlign w:val="center"/>
          </w:tcPr>
          <w:p>
            <w:pPr>
              <w:pStyle w:val="13"/>
            </w:pPr>
          </w:p>
        </w:tc>
        <w:tc>
          <w:tcPr>
            <w:tcW w:w="1361" w:type="dxa"/>
            <w:vAlign w:val="center"/>
          </w:tcPr>
          <w:p>
            <w:pPr>
              <w:pStyle w:val="13"/>
            </w:pPr>
            <w:r>
              <w:t>46.65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2101506</w:t>
            </w:r>
          </w:p>
        </w:tc>
        <w:tc>
          <w:tcPr>
            <w:tcW w:w="4535" w:type="dxa"/>
            <w:vAlign w:val="center"/>
          </w:tcPr>
          <w:p>
            <w:pPr>
              <w:pStyle w:val="14"/>
            </w:pPr>
            <w:r>
              <w:t>医疗保障经办事务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9.36</w:t>
            </w:r>
          </w:p>
        </w:tc>
        <w:tc>
          <w:tcPr>
            <w:tcW w:w="1361" w:type="dxa"/>
            <w:vAlign w:val="center"/>
          </w:tcPr>
          <w:p>
            <w:pPr>
              <w:pStyle w:val="13"/>
            </w:pPr>
            <w:r>
              <w:t>9.36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9.36</w:t>
            </w:r>
          </w:p>
        </w:tc>
        <w:tc>
          <w:tcPr>
            <w:tcW w:w="1361" w:type="dxa"/>
            <w:vAlign w:val="center"/>
          </w:tcPr>
          <w:p>
            <w:pPr>
              <w:pStyle w:val="13"/>
            </w:pPr>
            <w:r>
              <w:t>9.36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9.36</w:t>
            </w:r>
          </w:p>
        </w:tc>
        <w:tc>
          <w:tcPr>
            <w:tcW w:w="1361" w:type="dxa"/>
            <w:vAlign w:val="center"/>
          </w:tcPr>
          <w:p>
            <w:pPr>
              <w:pStyle w:val="13"/>
            </w:pPr>
            <w:r>
              <w:t>9.36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806涞源县医疗保障局</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550.08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32.34</w:t>
            </w:r>
          </w:p>
        </w:tc>
        <w:tc>
          <w:tcPr>
            <w:tcW w:w="1474" w:type="dxa"/>
            <w:vAlign w:val="center"/>
          </w:tcPr>
          <w:p>
            <w:pPr>
              <w:pStyle w:val="13"/>
            </w:pPr>
            <w:r>
              <w:t>32.34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508.38</w:t>
            </w:r>
          </w:p>
        </w:tc>
        <w:tc>
          <w:tcPr>
            <w:tcW w:w="1474" w:type="dxa"/>
            <w:vAlign w:val="center"/>
          </w:tcPr>
          <w:p>
            <w:pPr>
              <w:pStyle w:val="13"/>
            </w:pPr>
            <w:r>
              <w:t>508.38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9.36</w:t>
            </w:r>
          </w:p>
        </w:tc>
        <w:tc>
          <w:tcPr>
            <w:tcW w:w="1474" w:type="dxa"/>
            <w:vAlign w:val="center"/>
          </w:tcPr>
          <w:p>
            <w:pPr>
              <w:pStyle w:val="13"/>
            </w:pPr>
            <w:r>
              <w:t>9.36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550.08</w:t>
            </w:r>
          </w:p>
        </w:tc>
        <w:tc>
          <w:tcPr>
            <w:tcW w:w="3402" w:type="dxa"/>
            <w:vAlign w:val="center"/>
          </w:tcPr>
          <w:p>
            <w:pPr>
              <w:pStyle w:val="16"/>
            </w:pPr>
            <w:r>
              <w:t>本年支出合计</w:t>
            </w:r>
          </w:p>
        </w:tc>
        <w:tc>
          <w:tcPr>
            <w:tcW w:w="1474" w:type="dxa"/>
            <w:vAlign w:val="center"/>
          </w:tcPr>
          <w:p>
            <w:pPr>
              <w:pStyle w:val="17"/>
            </w:pPr>
            <w:r>
              <w:t>550.08</w:t>
            </w:r>
          </w:p>
        </w:tc>
        <w:tc>
          <w:tcPr>
            <w:tcW w:w="1474" w:type="dxa"/>
            <w:vAlign w:val="center"/>
          </w:tcPr>
          <w:p>
            <w:pPr>
              <w:pStyle w:val="17"/>
            </w:pPr>
            <w:r>
              <w:t>550.08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550.08</w:t>
            </w:r>
          </w:p>
        </w:tc>
        <w:tc>
          <w:tcPr>
            <w:tcW w:w="3402" w:type="dxa"/>
            <w:vAlign w:val="center"/>
          </w:tcPr>
          <w:p>
            <w:pPr>
              <w:pStyle w:val="16"/>
            </w:pPr>
            <w:r>
              <w:t>支出总计</w:t>
            </w:r>
          </w:p>
        </w:tc>
        <w:tc>
          <w:tcPr>
            <w:tcW w:w="1474" w:type="dxa"/>
            <w:vAlign w:val="center"/>
          </w:tcPr>
          <w:p>
            <w:pPr>
              <w:pStyle w:val="17"/>
            </w:pPr>
            <w:r>
              <w:t>550.08</w:t>
            </w:r>
          </w:p>
        </w:tc>
        <w:tc>
          <w:tcPr>
            <w:tcW w:w="1474" w:type="dxa"/>
            <w:vAlign w:val="center"/>
          </w:tcPr>
          <w:p>
            <w:pPr>
              <w:pStyle w:val="17"/>
            </w:pPr>
            <w:r>
              <w:t>550.08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806涞源县医疗保障局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550.08</w:t>
            </w:r>
          </w:p>
        </w:tc>
        <w:tc>
          <w:tcPr>
            <w:tcW w:w="2551" w:type="dxa"/>
            <w:vAlign w:val="center"/>
          </w:tcPr>
          <w:p>
            <w:pPr>
              <w:pStyle w:val="17"/>
            </w:pPr>
            <w:r>
              <w:t>463.23</w:t>
            </w:r>
          </w:p>
        </w:tc>
        <w:tc>
          <w:tcPr>
            <w:tcW w:w="2551" w:type="dxa"/>
            <w:vAlign w:val="center"/>
          </w:tcPr>
          <w:p>
            <w:pPr>
              <w:pStyle w:val="17"/>
            </w:pPr>
            <w:r>
              <w:t>86.85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32.34</w:t>
            </w:r>
          </w:p>
        </w:tc>
        <w:tc>
          <w:tcPr>
            <w:tcW w:w="2551" w:type="dxa"/>
            <w:vAlign w:val="center"/>
          </w:tcPr>
          <w:p>
            <w:pPr>
              <w:pStyle w:val="13"/>
            </w:pPr>
            <w:r>
              <w:t>29.34</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29.34</w:t>
            </w:r>
          </w:p>
        </w:tc>
        <w:tc>
          <w:tcPr>
            <w:tcW w:w="2551" w:type="dxa"/>
            <w:vAlign w:val="center"/>
          </w:tcPr>
          <w:p>
            <w:pPr>
              <w:pStyle w:val="13"/>
            </w:pPr>
            <w:r>
              <w:t>29.34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1.26</w:t>
            </w:r>
          </w:p>
        </w:tc>
        <w:tc>
          <w:tcPr>
            <w:tcW w:w="2551" w:type="dxa"/>
            <w:vAlign w:val="center"/>
          </w:tcPr>
          <w:p>
            <w:pPr>
              <w:pStyle w:val="13"/>
            </w:pPr>
            <w:r>
              <w:t>1.26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18.72</w:t>
            </w:r>
          </w:p>
        </w:tc>
        <w:tc>
          <w:tcPr>
            <w:tcW w:w="2551" w:type="dxa"/>
            <w:vAlign w:val="center"/>
          </w:tcPr>
          <w:p>
            <w:pPr>
              <w:pStyle w:val="13"/>
            </w:pPr>
            <w:r>
              <w:t>18.72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9.36</w:t>
            </w:r>
          </w:p>
        </w:tc>
        <w:tc>
          <w:tcPr>
            <w:tcW w:w="2551" w:type="dxa"/>
            <w:vAlign w:val="center"/>
          </w:tcPr>
          <w:p>
            <w:pPr>
              <w:pStyle w:val="13"/>
            </w:pPr>
            <w:r>
              <w:t>9.36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508.38</w:t>
            </w:r>
          </w:p>
        </w:tc>
        <w:tc>
          <w:tcPr>
            <w:tcW w:w="2551" w:type="dxa"/>
            <w:vAlign w:val="center"/>
          </w:tcPr>
          <w:p>
            <w:pPr>
              <w:pStyle w:val="13"/>
            </w:pPr>
            <w:r>
              <w:t>424.53</w:t>
            </w:r>
          </w:p>
        </w:tc>
        <w:tc>
          <w:tcPr>
            <w:tcW w:w="2551" w:type="dxa"/>
            <w:vAlign w:val="center"/>
          </w:tcPr>
          <w:p>
            <w:pPr>
              <w:pStyle w:val="13"/>
            </w:pPr>
            <w:r>
              <w:t>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21015</w:t>
            </w:r>
          </w:p>
        </w:tc>
        <w:tc>
          <w:tcPr>
            <w:tcW w:w="4535" w:type="dxa"/>
            <w:vAlign w:val="center"/>
          </w:tcPr>
          <w:p>
            <w:pPr>
              <w:pStyle w:val="14"/>
            </w:pPr>
            <w:r>
              <w:t>医疗保障管理事务</w:t>
            </w:r>
          </w:p>
        </w:tc>
        <w:tc>
          <w:tcPr>
            <w:tcW w:w="2551" w:type="dxa"/>
            <w:vAlign w:val="center"/>
          </w:tcPr>
          <w:p>
            <w:pPr>
              <w:pStyle w:val="13"/>
            </w:pPr>
            <w:r>
              <w:t>508.38</w:t>
            </w:r>
          </w:p>
        </w:tc>
        <w:tc>
          <w:tcPr>
            <w:tcW w:w="2551" w:type="dxa"/>
            <w:vAlign w:val="center"/>
          </w:tcPr>
          <w:p>
            <w:pPr>
              <w:pStyle w:val="13"/>
            </w:pPr>
            <w:r>
              <w:t>424.53</w:t>
            </w:r>
          </w:p>
        </w:tc>
        <w:tc>
          <w:tcPr>
            <w:tcW w:w="2551" w:type="dxa"/>
            <w:vAlign w:val="center"/>
          </w:tcPr>
          <w:p>
            <w:pPr>
              <w:pStyle w:val="13"/>
            </w:pPr>
            <w:r>
              <w:t>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2101501</w:t>
            </w:r>
          </w:p>
        </w:tc>
        <w:tc>
          <w:tcPr>
            <w:tcW w:w="4535" w:type="dxa"/>
            <w:vAlign w:val="center"/>
          </w:tcPr>
          <w:p>
            <w:pPr>
              <w:pStyle w:val="14"/>
            </w:pPr>
            <w:r>
              <w:t>行政运行</w:t>
            </w:r>
          </w:p>
        </w:tc>
        <w:tc>
          <w:tcPr>
            <w:tcW w:w="2551" w:type="dxa"/>
            <w:vAlign w:val="center"/>
          </w:tcPr>
          <w:p>
            <w:pPr>
              <w:pStyle w:val="13"/>
            </w:pPr>
            <w:r>
              <w:t>456.73</w:t>
            </w:r>
          </w:p>
        </w:tc>
        <w:tc>
          <w:tcPr>
            <w:tcW w:w="2551" w:type="dxa"/>
            <w:vAlign w:val="center"/>
          </w:tcPr>
          <w:p>
            <w:pPr>
              <w:pStyle w:val="13"/>
            </w:pPr>
            <w:r>
              <w:t>424.53</w:t>
            </w:r>
          </w:p>
        </w:tc>
        <w:tc>
          <w:tcPr>
            <w:tcW w:w="2551" w:type="dxa"/>
            <w:vAlign w:val="center"/>
          </w:tcPr>
          <w:p>
            <w:pPr>
              <w:pStyle w:val="13"/>
            </w:pPr>
            <w:r>
              <w:t>32.20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2101502</w:t>
            </w:r>
          </w:p>
        </w:tc>
        <w:tc>
          <w:tcPr>
            <w:tcW w:w="4535" w:type="dxa"/>
            <w:vAlign w:val="center"/>
          </w:tcPr>
          <w:p>
            <w:pPr>
              <w:pStyle w:val="14"/>
            </w:pPr>
            <w:r>
              <w:t>一般行政管理事务</w:t>
            </w:r>
          </w:p>
        </w:tc>
        <w:tc>
          <w:tcPr>
            <w:tcW w:w="2551" w:type="dxa"/>
            <w:vAlign w:val="center"/>
          </w:tcPr>
          <w:p>
            <w:pPr>
              <w:pStyle w:val="13"/>
            </w:pPr>
            <w:r>
              <w:t>46.65</w:t>
            </w:r>
          </w:p>
        </w:tc>
        <w:tc>
          <w:tcPr>
            <w:tcW w:w="2551" w:type="dxa"/>
            <w:vAlign w:val="center"/>
          </w:tcPr>
          <w:p>
            <w:pPr>
              <w:pStyle w:val="13"/>
            </w:pPr>
          </w:p>
        </w:tc>
        <w:tc>
          <w:tcPr>
            <w:tcW w:w="2551" w:type="dxa"/>
            <w:vAlign w:val="center"/>
          </w:tcPr>
          <w:p>
            <w:pPr>
              <w:pStyle w:val="13"/>
            </w:pPr>
            <w:r>
              <w:t>46.65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2101506</w:t>
            </w:r>
          </w:p>
        </w:tc>
        <w:tc>
          <w:tcPr>
            <w:tcW w:w="4535" w:type="dxa"/>
            <w:vAlign w:val="center"/>
          </w:tcPr>
          <w:p>
            <w:pPr>
              <w:pStyle w:val="14"/>
            </w:pPr>
            <w:r>
              <w:t>医疗保障经办事务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9.36</w:t>
            </w:r>
          </w:p>
        </w:tc>
        <w:tc>
          <w:tcPr>
            <w:tcW w:w="2551" w:type="dxa"/>
            <w:vAlign w:val="center"/>
          </w:tcPr>
          <w:p>
            <w:pPr>
              <w:pStyle w:val="13"/>
            </w:pPr>
            <w:r>
              <w:t>9.36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9.36</w:t>
            </w:r>
          </w:p>
        </w:tc>
        <w:tc>
          <w:tcPr>
            <w:tcW w:w="2551" w:type="dxa"/>
            <w:vAlign w:val="center"/>
          </w:tcPr>
          <w:p>
            <w:pPr>
              <w:pStyle w:val="13"/>
            </w:pPr>
            <w:r>
              <w:t>9.36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9.36</w:t>
            </w:r>
          </w:p>
        </w:tc>
        <w:tc>
          <w:tcPr>
            <w:tcW w:w="2551" w:type="dxa"/>
            <w:vAlign w:val="center"/>
          </w:tcPr>
          <w:p>
            <w:pPr>
              <w:pStyle w:val="13"/>
            </w:pPr>
            <w:r>
              <w:t>9.36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806涞源县医疗保障局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463.23</w:t>
            </w:r>
          </w:p>
        </w:tc>
        <w:tc>
          <w:tcPr>
            <w:tcW w:w="2551" w:type="dxa"/>
            <w:vAlign w:val="center"/>
          </w:tcPr>
          <w:p>
            <w:pPr>
              <w:pStyle w:val="17"/>
            </w:pPr>
            <w:r>
              <w:t>426.39</w:t>
            </w:r>
          </w:p>
        </w:tc>
        <w:tc>
          <w:tcPr>
            <w:tcW w:w="2551" w:type="dxa"/>
            <w:vAlign w:val="center"/>
          </w:tcPr>
          <w:p>
            <w:pPr>
              <w:pStyle w:val="17"/>
            </w:pPr>
            <w:r>
              <w:t>36.84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425.13</w:t>
            </w:r>
          </w:p>
        </w:tc>
        <w:tc>
          <w:tcPr>
            <w:tcW w:w="2551" w:type="dxa"/>
            <w:vAlign w:val="center"/>
          </w:tcPr>
          <w:p>
            <w:pPr>
              <w:pStyle w:val="13"/>
            </w:pPr>
            <w:r>
              <w:t>425.13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299.74</w:t>
            </w:r>
          </w:p>
        </w:tc>
        <w:tc>
          <w:tcPr>
            <w:tcW w:w="2551" w:type="dxa"/>
            <w:vAlign w:val="center"/>
          </w:tcPr>
          <w:p>
            <w:pPr>
              <w:pStyle w:val="13"/>
            </w:pPr>
            <w:r>
              <w:t>299.74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38.14</w:t>
            </w:r>
          </w:p>
        </w:tc>
        <w:tc>
          <w:tcPr>
            <w:tcW w:w="2551" w:type="dxa"/>
            <w:vAlign w:val="center"/>
          </w:tcPr>
          <w:p>
            <w:pPr>
              <w:pStyle w:val="13"/>
            </w:pPr>
            <w:r>
              <w:t>38.14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8.54</w:t>
            </w:r>
          </w:p>
        </w:tc>
        <w:tc>
          <w:tcPr>
            <w:tcW w:w="2551" w:type="dxa"/>
            <w:vAlign w:val="center"/>
          </w:tcPr>
          <w:p>
            <w:pPr>
              <w:pStyle w:val="13"/>
            </w:pPr>
            <w:r>
              <w:t>8.54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32.70</w:t>
            </w:r>
          </w:p>
        </w:tc>
        <w:tc>
          <w:tcPr>
            <w:tcW w:w="2551" w:type="dxa"/>
            <w:vAlign w:val="center"/>
          </w:tcPr>
          <w:p>
            <w:pPr>
              <w:pStyle w:val="13"/>
            </w:pPr>
            <w:r>
              <w:t>32.70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18.72</w:t>
            </w:r>
          </w:p>
        </w:tc>
        <w:tc>
          <w:tcPr>
            <w:tcW w:w="2551" w:type="dxa"/>
            <w:vAlign w:val="center"/>
          </w:tcPr>
          <w:p>
            <w:pPr>
              <w:pStyle w:val="13"/>
            </w:pPr>
            <w:r>
              <w:t>18.72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9.36</w:t>
            </w:r>
          </w:p>
        </w:tc>
        <w:tc>
          <w:tcPr>
            <w:tcW w:w="2551" w:type="dxa"/>
            <w:vAlign w:val="center"/>
          </w:tcPr>
          <w:p>
            <w:pPr>
              <w:pStyle w:val="13"/>
            </w:pPr>
            <w:r>
              <w:t>9.36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7.57</w:t>
            </w:r>
          </w:p>
        </w:tc>
        <w:tc>
          <w:tcPr>
            <w:tcW w:w="2551" w:type="dxa"/>
            <w:vAlign w:val="center"/>
          </w:tcPr>
          <w:p>
            <w:pPr>
              <w:pStyle w:val="13"/>
            </w:pPr>
            <w:r>
              <w:t>7.57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9.36</w:t>
            </w:r>
          </w:p>
        </w:tc>
        <w:tc>
          <w:tcPr>
            <w:tcW w:w="2551" w:type="dxa"/>
            <w:vAlign w:val="center"/>
          </w:tcPr>
          <w:p>
            <w:pPr>
              <w:pStyle w:val="13"/>
            </w:pPr>
            <w:r>
              <w:t>9.36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36.84</w:t>
            </w:r>
          </w:p>
        </w:tc>
        <w:tc>
          <w:tcPr>
            <w:tcW w:w="2551" w:type="dxa"/>
            <w:vAlign w:val="center"/>
          </w:tcPr>
          <w:p>
            <w:pPr>
              <w:pStyle w:val="13"/>
            </w:pPr>
          </w:p>
        </w:tc>
        <w:tc>
          <w:tcPr>
            <w:tcW w:w="2551" w:type="dxa"/>
            <w:vAlign w:val="center"/>
          </w:tcPr>
          <w:p>
            <w:pPr>
              <w:pStyle w:val="13"/>
            </w:pPr>
            <w:r>
              <w:t>36.84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1.08</w:t>
            </w:r>
          </w:p>
        </w:tc>
        <w:tc>
          <w:tcPr>
            <w:tcW w:w="2551" w:type="dxa"/>
            <w:vAlign w:val="center"/>
          </w:tcPr>
          <w:p>
            <w:pPr>
              <w:pStyle w:val="13"/>
            </w:pPr>
          </w:p>
        </w:tc>
        <w:tc>
          <w:tcPr>
            <w:tcW w:w="2551"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6.50</w:t>
            </w:r>
          </w:p>
        </w:tc>
        <w:tc>
          <w:tcPr>
            <w:tcW w:w="2551" w:type="dxa"/>
            <w:vAlign w:val="center"/>
          </w:tcPr>
          <w:p>
            <w:pPr>
              <w:pStyle w:val="13"/>
            </w:pPr>
          </w:p>
        </w:tc>
        <w:tc>
          <w:tcPr>
            <w:tcW w:w="2551"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3.54</w:t>
            </w:r>
          </w:p>
        </w:tc>
        <w:tc>
          <w:tcPr>
            <w:tcW w:w="2551" w:type="dxa"/>
            <w:vAlign w:val="center"/>
          </w:tcPr>
          <w:p>
            <w:pPr>
              <w:pStyle w:val="13"/>
            </w:pPr>
          </w:p>
        </w:tc>
        <w:tc>
          <w:tcPr>
            <w:tcW w:w="2551" w:type="dxa"/>
            <w:vAlign w:val="center"/>
          </w:tcPr>
          <w:p>
            <w:pPr>
              <w:pStyle w:val="13"/>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0.32</w:t>
            </w:r>
          </w:p>
        </w:tc>
        <w:tc>
          <w:tcPr>
            <w:tcW w:w="2551" w:type="dxa"/>
            <w:vAlign w:val="center"/>
          </w:tcPr>
          <w:p>
            <w:pPr>
              <w:pStyle w:val="13"/>
            </w:pPr>
          </w:p>
        </w:tc>
        <w:tc>
          <w:tcPr>
            <w:tcW w:w="2551"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1.26</w:t>
            </w:r>
          </w:p>
        </w:tc>
        <w:tc>
          <w:tcPr>
            <w:tcW w:w="2551" w:type="dxa"/>
            <w:vAlign w:val="center"/>
          </w:tcPr>
          <w:p>
            <w:pPr>
              <w:pStyle w:val="13"/>
            </w:pPr>
            <w:r>
              <w:t>1.26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1.26</w:t>
            </w:r>
          </w:p>
        </w:tc>
        <w:tc>
          <w:tcPr>
            <w:tcW w:w="2551" w:type="dxa"/>
            <w:vAlign w:val="center"/>
          </w:tcPr>
          <w:p>
            <w:pPr>
              <w:pStyle w:val="13"/>
            </w:pPr>
            <w:r>
              <w:t>1.26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806涞源县医疗保障局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806涞源县医疗保障局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806涞源县医疗保障局</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10.90</w:t>
            </w:r>
          </w:p>
        </w:tc>
        <w:tc>
          <w:tcPr>
            <w:tcW w:w="2381" w:type="dxa"/>
            <w:vAlign w:val="center"/>
          </w:tcPr>
          <w:p>
            <w:pPr>
              <w:pStyle w:val="17"/>
            </w:pPr>
            <w:r>
              <w:t>10.90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8.90</w:t>
            </w:r>
          </w:p>
        </w:tc>
        <w:tc>
          <w:tcPr>
            <w:tcW w:w="2381" w:type="dxa"/>
            <w:vAlign w:val="center"/>
          </w:tcPr>
          <w:p>
            <w:pPr>
              <w:pStyle w:val="13"/>
            </w:pPr>
            <w:r>
              <w:t>8.90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6.50</w:t>
            </w:r>
          </w:p>
        </w:tc>
        <w:tc>
          <w:tcPr>
            <w:tcW w:w="2381" w:type="dxa"/>
            <w:vAlign w:val="center"/>
          </w:tcPr>
          <w:p>
            <w:pPr>
              <w:pStyle w:val="13"/>
            </w:pPr>
            <w:r>
              <w:t>6.50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6.50</w:t>
            </w:r>
          </w:p>
        </w:tc>
        <w:tc>
          <w:tcPr>
            <w:tcW w:w="2381" w:type="dxa"/>
            <w:vAlign w:val="center"/>
          </w:tcPr>
          <w:p>
            <w:pPr>
              <w:pStyle w:val="13"/>
            </w:pPr>
            <w:r>
              <w:t>6.50</w:t>
            </w:r>
          </w:p>
        </w:tc>
        <w:tc>
          <w:tcPr>
            <w:tcW w:w="2381" w:type="dxa"/>
            <w:vAlign w:val="center"/>
          </w:tcPr>
          <w:p>
            <w:pPr>
              <w:pStyle w:val="13"/>
            </w:pPr>
            <w:bookmarkStart w:id="20" w:name="_GoBack"/>
            <w:bookmarkEnd w:id="20"/>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2.40</w:t>
            </w:r>
          </w:p>
        </w:tc>
        <w:tc>
          <w:tcPr>
            <w:tcW w:w="2381" w:type="dxa"/>
            <w:vAlign w:val="center"/>
          </w:tcPr>
          <w:p>
            <w:pPr>
              <w:pStyle w:val="13"/>
            </w:pPr>
            <w:r>
              <w:t>2.40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rPr>
                <w:rFonts w:hint="default" w:eastAsia="方正书宋_GBK"/>
                <w:lang w:val="en-US" w:eastAsia="zh-CN"/>
              </w:rPr>
            </w:pPr>
            <w:r>
              <w:rPr>
                <w:rFonts w:hint="eastAsia"/>
                <w:lang w:val="en-US" w:eastAsia="zh-CN"/>
              </w:rPr>
              <w:t>2.00</w:t>
            </w:r>
          </w:p>
        </w:tc>
        <w:tc>
          <w:tcPr>
            <w:tcW w:w="2381" w:type="dxa"/>
            <w:vAlign w:val="center"/>
          </w:tcPr>
          <w:p>
            <w:pPr>
              <w:pStyle w:val="13"/>
              <w:rPr>
                <w:rFonts w:hint="default" w:eastAsia="方正书宋_GBK"/>
                <w:lang w:val="en-US" w:eastAsia="zh-CN"/>
              </w:rPr>
            </w:pPr>
            <w:r>
              <w:rPr>
                <w:rFonts w:hint="eastAsia"/>
                <w:lang w:val="en-US" w:eastAsia="zh-CN"/>
              </w:rP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涞源县医疗保障局2024年部门预算信息公开情况说明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涞源县医疗保障局2024年部门预算信息公开情况说明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按照《中华人民共和国预算法》、《地方预决算公开操作规程》和《关于进一步推进预算公开工作的实施意见》规定，现将涞源县医疗保障局2024年部门预算公开如下：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7"/>
      </w:pPr>
      <w:r>
        <w:t>（一）贯彻落实中央、省、市关于城镇职工和城乡居民医疗保险、生育保险、长期护理保险、医疗救助、补充医疗保险等医疗保障政策。拟定并组织实施地方性政策、制度、规划和标准。</w:t>
      </w:r>
    </w:p>
    <w:p>
      <w:pPr>
        <w:pStyle w:val="27"/>
      </w:pPr>
      <w:r>
        <w:t>（二）拟定完善全县医疗保障基金监督管理办法，建立健全医疗保障基金安全防控机制，组织建设网络信息和智能监控平台，推进医疗保障基金支付方式改革，并组织实施。</w:t>
      </w:r>
    </w:p>
    <w:p>
      <w:pPr>
        <w:pStyle w:val="27"/>
      </w:pPr>
      <w:r>
        <w:t>（三）组织制定全县城镇职工、城乡居民参保筹资和保障待遇政策，统筹医疗保障政策标准，建立健全与筹资水平相适应的待遇调整机制。拟定长期护理保险制度方案及政策标准并组织实施。</w:t>
      </w:r>
    </w:p>
    <w:p>
      <w:pPr>
        <w:pStyle w:val="27"/>
      </w:pPr>
      <w:r>
        <w:t>（四）组织实施并监督全县药品、医用耗材价格和医疗服务项目、医疗服务设施收费等政策的落实。建立医保支付医药服务价格合理确定和动态调整机制，依法管理全县药品、医用耗材、医疗服务价格政策执行情况。组织实施并监督全县药品、医用耗材招标采购政策的落实，指导药品、医用耗材招标采购平台建设。</w:t>
      </w:r>
    </w:p>
    <w:p>
      <w:pPr>
        <w:pStyle w:val="27"/>
      </w:pPr>
      <w:r>
        <w:t>（五）负责医保扶贫政策宣传、政策落实等各项工作的协调和组织实施。负责全县城乡居民和城镇职工门诊特殊疾病鉴定工作。</w:t>
      </w: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涞源县医疗保障局本级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按照预算管理有关规定，目前部门预算的编制实行综合预算管理，即全部收入和支出都反映在预算中。涞源县医疗保障局机关及所属事业单位的收支包含在部门预算中。</w:t>
      </w:r>
    </w:p>
    <w:p>
      <w:pPr>
        <w:pStyle w:val="20"/>
      </w:pPr>
      <w:r>
        <w:t>1、收入说明</w:t>
      </w:r>
    </w:p>
    <w:p>
      <w:pPr>
        <w:pStyle w:val="20"/>
      </w:pPr>
      <w:r>
        <w:t>反映本部门当年全部收入。2024年预算收入550.08万元，其中：一般公共预算收入550.08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涞源县医疗保障局年度部门预算中支出预算的总体情况。2024年支出预算550.08万元，其中基本支出463.23万元，包括人员经费426.39万元和日常公用经费36.84万元；项目支出86.85万元，主要为意外伤害调查服务费、村级卫生室网络费、骨干网络建设、软件维护及局域网服务、劳务费、2024年代办员补助资金、2024年中央医疗服务与保障能力提升等支出。</w:t>
      </w:r>
    </w:p>
    <w:p>
      <w:pPr>
        <w:pStyle w:val="20"/>
      </w:pPr>
      <w:r>
        <w:t>3、比上年增减情况</w:t>
      </w:r>
    </w:p>
    <w:p>
      <w:pPr>
        <w:pStyle w:val="20"/>
      </w:pPr>
      <w:r>
        <w:t>2024年预算收支安排550.08万元，较2023年预算减少438.56万元，其中：基本支出减少31.09万元，主要为减少人员支出。项目支出减少407.47万元，主要为减少医疗救助支出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2024年，我部门机关运行经费共计安排36.84万元，主要用于日常维修、办公用房水电费、办公用房取暖费、办公用房物业管理费等日常运行支出。</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
        <w:spacing w:before="120" w:line="250" w:lineRule="auto"/>
        <w:ind w:right="103" w:firstLine="548" w:firstLineChars="200"/>
        <w:jc w:val="both"/>
      </w:pPr>
      <w:r>
        <w:rPr>
          <w:rFonts w:ascii="Times New Roman" w:hAnsi="Times New Roman" w:eastAsia="Times New Roman" w:cs="Times New Roman"/>
          <w:spacing w:val="-3"/>
        </w:rPr>
        <w:t xml:space="preserve">2024 </w:t>
      </w:r>
      <w:r>
        <w:rPr>
          <w:spacing w:val="-3"/>
        </w:rPr>
        <w:t>年，我</w:t>
      </w:r>
      <w:r>
        <w:rPr>
          <w:rFonts w:hint="eastAsia"/>
          <w:spacing w:val="-3"/>
          <w:lang w:eastAsia="zh-CN"/>
        </w:rPr>
        <w:t>单位</w:t>
      </w:r>
      <w:r>
        <w:rPr>
          <w:spacing w:val="-3"/>
        </w:rPr>
        <w:t>财政拨款</w:t>
      </w:r>
      <w:r>
        <w:rPr>
          <w:rFonts w:ascii="Times New Roman" w:hAnsi="Times New Roman" w:eastAsia="Times New Roman" w:cs="Times New Roman"/>
          <w:spacing w:val="-3"/>
        </w:rPr>
        <w:t>“</w:t>
      </w:r>
      <w:r>
        <w:rPr>
          <w:rFonts w:ascii="Times New Roman" w:hAnsi="Times New Roman" w:eastAsia="Times New Roman" w:cs="Times New Roman"/>
          <w:spacing w:val="-29"/>
        </w:rPr>
        <w:t xml:space="preserve"> </w:t>
      </w:r>
      <w:r>
        <w:rPr>
          <w:spacing w:val="-3"/>
        </w:rPr>
        <w:t>三公</w:t>
      </w:r>
      <w:r>
        <w:rPr>
          <w:rFonts w:ascii="Times New Roman" w:hAnsi="Times New Roman" w:eastAsia="Times New Roman" w:cs="Times New Roman"/>
          <w:spacing w:val="-3"/>
        </w:rPr>
        <w:t>”</w:t>
      </w:r>
      <w:r>
        <w:rPr>
          <w:rFonts w:ascii="Times New Roman" w:hAnsi="Times New Roman" w:eastAsia="Times New Roman" w:cs="Times New Roman"/>
          <w:spacing w:val="-50"/>
        </w:rPr>
        <w:t xml:space="preserve"> </w:t>
      </w:r>
      <w:r>
        <w:rPr>
          <w:spacing w:val="-3"/>
        </w:rPr>
        <w:t xml:space="preserve">经费预算安排 </w:t>
      </w:r>
      <w:r>
        <w:rPr>
          <w:rFonts w:hint="eastAsia" w:ascii="Times New Roman" w:hAnsi="Times New Roman" w:eastAsia="宋体" w:cs="Times New Roman"/>
          <w:spacing w:val="-3"/>
          <w:lang w:val="en-US" w:eastAsia="zh-CN"/>
        </w:rPr>
        <w:t>8.9</w:t>
      </w:r>
      <w:r>
        <w:rPr>
          <w:rFonts w:ascii="Times New Roman" w:hAnsi="Times New Roman" w:eastAsia="Times New Roman" w:cs="Times New Roman"/>
          <w:spacing w:val="-3"/>
        </w:rPr>
        <w:t xml:space="preserve"> </w:t>
      </w:r>
      <w:r>
        <w:rPr>
          <w:spacing w:val="-3"/>
        </w:rPr>
        <w:t>万元，其中因公出国（境）费</w:t>
      </w:r>
      <w:r>
        <w:rPr>
          <w:spacing w:val="56"/>
          <w:w w:val="101"/>
        </w:rPr>
        <w:t xml:space="preserve"> </w:t>
      </w:r>
      <w:r>
        <w:rPr>
          <w:rFonts w:hint="eastAsia" w:ascii="Times New Roman" w:hAnsi="Times New Roman" w:eastAsia="宋体" w:cs="Times New Roman"/>
          <w:spacing w:val="-3"/>
          <w:lang w:val="en-US" w:eastAsia="zh-CN"/>
        </w:rPr>
        <w:t>0</w:t>
      </w:r>
      <w:r>
        <w:rPr>
          <w:rFonts w:ascii="Times New Roman" w:hAnsi="Times New Roman" w:eastAsia="Times New Roman" w:cs="Times New Roman"/>
          <w:spacing w:val="-3"/>
        </w:rPr>
        <w:t xml:space="preserve">.00 </w:t>
      </w:r>
      <w:r>
        <w:rPr>
          <w:spacing w:val="-3"/>
        </w:rPr>
        <w:t>万元；公务用车购置及运</w:t>
      </w:r>
      <w:r>
        <w:t xml:space="preserve"> </w:t>
      </w:r>
      <w:r>
        <w:rPr>
          <w:spacing w:val="-2"/>
        </w:rPr>
        <w:t xml:space="preserve">维费 </w:t>
      </w:r>
      <w:r>
        <w:rPr>
          <w:rFonts w:hint="eastAsia" w:ascii="Times New Roman" w:hAnsi="Times New Roman" w:eastAsia="宋体" w:cs="Times New Roman"/>
          <w:spacing w:val="-2"/>
          <w:lang w:val="en-US" w:eastAsia="zh-CN"/>
        </w:rPr>
        <w:t>6.50</w:t>
      </w:r>
      <w:r>
        <w:rPr>
          <w:rFonts w:ascii="Times New Roman" w:hAnsi="Times New Roman" w:eastAsia="Times New Roman" w:cs="Times New Roman"/>
          <w:spacing w:val="-2"/>
        </w:rPr>
        <w:t xml:space="preserve"> </w:t>
      </w:r>
      <w:r>
        <w:rPr>
          <w:spacing w:val="-2"/>
        </w:rPr>
        <w:t xml:space="preserve">万元（其中：公务用车购置费为 </w:t>
      </w:r>
      <w:r>
        <w:rPr>
          <w:rFonts w:ascii="Times New Roman" w:hAnsi="Times New Roman" w:eastAsia="Times New Roman" w:cs="Times New Roman"/>
          <w:spacing w:val="-2"/>
        </w:rPr>
        <w:t xml:space="preserve">0.00 </w:t>
      </w:r>
      <w:r>
        <w:rPr>
          <w:spacing w:val="-2"/>
        </w:rPr>
        <w:t xml:space="preserve">万元，公务用车运维费 </w:t>
      </w:r>
      <w:r>
        <w:rPr>
          <w:rFonts w:hint="eastAsia" w:ascii="Times New Roman" w:hAnsi="Times New Roman" w:eastAsia="宋体" w:cs="Times New Roman"/>
          <w:spacing w:val="-2"/>
          <w:lang w:val="en-US" w:eastAsia="zh-CN"/>
        </w:rPr>
        <w:t>6.50</w:t>
      </w:r>
      <w:r>
        <w:rPr>
          <w:rFonts w:ascii="Times New Roman" w:hAnsi="Times New Roman" w:eastAsia="Times New Roman" w:cs="Times New Roman"/>
          <w:spacing w:val="-2"/>
        </w:rPr>
        <w:t xml:space="preserve"> </w:t>
      </w:r>
      <w:r>
        <w:rPr>
          <w:spacing w:val="-2"/>
        </w:rPr>
        <w:t>万元</w:t>
      </w:r>
      <w:r>
        <w:rPr>
          <w:rFonts w:ascii="Times New Roman" w:hAnsi="Times New Roman" w:eastAsia="Times New Roman" w:cs="Times New Roman"/>
          <w:spacing w:val="-2"/>
        </w:rPr>
        <w:t>)</w:t>
      </w:r>
      <w:r>
        <w:rPr>
          <w:spacing w:val="-2"/>
        </w:rPr>
        <w:t>；公务接待费</w:t>
      </w:r>
      <w:r>
        <w:rPr>
          <w:rFonts w:hint="default" w:ascii="Times New Roman" w:hAnsi="Times New Roman" w:cs="Times New Roman"/>
          <w:spacing w:val="-2"/>
          <w:lang w:val="en-US" w:eastAsia="zh-CN"/>
        </w:rPr>
        <w:t>2.40</w:t>
      </w:r>
      <w:r>
        <w:rPr>
          <w:spacing w:val="-3"/>
        </w:rPr>
        <w:t xml:space="preserve">万元。与 </w:t>
      </w:r>
      <w:r>
        <w:rPr>
          <w:rFonts w:ascii="Times New Roman" w:hAnsi="Times New Roman" w:eastAsia="Times New Roman" w:cs="Times New Roman"/>
          <w:spacing w:val="-3"/>
        </w:rPr>
        <w:t xml:space="preserve">2023 </w:t>
      </w:r>
      <w:r>
        <w:rPr>
          <w:spacing w:val="-3"/>
        </w:rPr>
        <w:t>年</w:t>
      </w:r>
      <w:r>
        <w:rPr>
          <w:spacing w:val="-2"/>
        </w:rPr>
        <w:t>相比减少</w:t>
      </w:r>
      <w:r>
        <w:rPr>
          <w:spacing w:val="20"/>
        </w:rPr>
        <w:t xml:space="preserve"> </w:t>
      </w:r>
      <w:r>
        <w:rPr>
          <w:rFonts w:hint="eastAsia" w:ascii="Times New Roman" w:hAnsi="Times New Roman" w:eastAsia="宋体" w:cs="Times New Roman"/>
          <w:spacing w:val="-2"/>
          <w:lang w:val="en-US" w:eastAsia="zh-CN"/>
        </w:rPr>
        <w:t>0.10</w:t>
      </w:r>
      <w:r>
        <w:rPr>
          <w:rFonts w:ascii="Times New Roman" w:hAnsi="Times New Roman" w:eastAsia="Times New Roman" w:cs="Times New Roman"/>
          <w:spacing w:val="-2"/>
        </w:rPr>
        <w:t xml:space="preserve"> </w:t>
      </w:r>
      <w:r>
        <w:rPr>
          <w:spacing w:val="-2"/>
        </w:rPr>
        <w:t>万元，增减变化的主要原因是</w:t>
      </w:r>
      <w:r>
        <w:rPr>
          <w:spacing w:val="-3"/>
        </w:rPr>
        <w:t>公务接待费减少。</w:t>
      </w:r>
    </w:p>
    <w:p>
      <w:pPr>
        <w:numPr>
          <w:ilvl w:val="0"/>
          <w:numId w:val="0"/>
        </w:numPr>
        <w:spacing w:before="10" w:after="10" w:line="360" w:lineRule="auto"/>
        <w:jc w:val="left"/>
        <w:outlineLvl w:val="2"/>
        <w:rPr>
          <w:rFonts w:hint="default" w:ascii="黑体" w:hAnsi="黑体" w:eastAsia="黑体" w:cs="黑体"/>
          <w:color w:val="000000"/>
          <w:sz w:val="32"/>
          <w:lang w:val="en-US" w:eastAsia="zh-CN"/>
        </w:rPr>
      </w:pPr>
    </w:p>
    <w:p>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一是持续巩固医疗保障脱贫成果，助力乡村振兴发展。</w:t>
      </w:r>
    </w:p>
    <w:p>
      <w:pPr>
        <w:pStyle w:val="23"/>
      </w:pPr>
      <w:r>
        <w:t>二是扎实推进实施全民参保计划，努力实现应保尽保。</w:t>
      </w:r>
    </w:p>
    <w:p>
      <w:pPr>
        <w:pStyle w:val="23"/>
      </w:pPr>
      <w:r>
        <w:t>三是不断加大医保基金监管力度，切实维护基金安全。</w:t>
      </w:r>
    </w:p>
    <w:p>
      <w:pPr>
        <w:pStyle w:val="23"/>
      </w:pPr>
      <w:r>
        <w:t>四是继续跟进落实药品和医用耗材集中带量采购政策，做好结余留用资金拨付工作。</w:t>
      </w:r>
    </w:p>
    <w:p>
      <w:pPr>
        <w:pStyle w:val="23"/>
      </w:pPr>
      <w:r>
        <w:t>五是深入推进医保支付方式改革，提高基金使用效率。</w:t>
      </w:r>
    </w:p>
    <w:p>
      <w:pPr>
        <w:pStyle w:val="23"/>
      </w:pPr>
      <w:r>
        <w:t xml:space="preserve">六是进一步加强政风行风建设，提升经办服务水平。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是扎实推进全民参保计划实施。坚持以人民健康为中心，以实现全面覆盖、依法征缴、提高质量、应保尽保为目标，深入实施全民参保计划。锁定城乡居民医疗保险覆盖人群，提升参保便捷程度，巩固并不断提升基本医疗保险参保率，确保应保尽保、推进全员参保，推动实现人人享有医保。加大政策宣传力度，灵活宣传方式，拓展宣传渠道，全方位做好参保缴费政策宣传，及时回应社会关切，合理引导预期，努力营造群众积极参保的氛围。加强协同配合，主动对接税务、民政、残联、乡村振兴等部门，不断完善部门间信息数据共享机制，对困难群众参加居民医保个人缴费部分实行分类资助，总体参保率达到95%以上且不低于2023年城乡居民参保人数。</w:t>
      </w:r>
    </w:p>
    <w:p>
      <w:pPr>
        <w:pStyle w:val="24"/>
      </w:pPr>
      <w:r>
        <w:t>二是持续巩固医疗保障脱贫成果。根据政策调整，对低收入人口参加居民医保个人缴费部分实行分类资助，享受省规定参保资助的脱贫人口、特困人员、低保对象、易返贫致贫人口、乡村振兴部门认定的返贫致贫人口和低保边缘家庭成员参保率达到100%。</w:t>
      </w:r>
    </w:p>
    <w:p>
      <w:pPr>
        <w:pStyle w:val="24"/>
      </w:pPr>
      <w:r>
        <w:t>三是不断加大医保基金监管力度。开展基金监管集中宣传月活动，持续加大对《医疗保障基金使用监督管理条例》的宣传贯彻力度，在全社会营造良好的基金监管氛围。推进国家医保信息平台床位监管子系统应用，有效提升基金监管科学化水平。充分运用大数据分析、智能监控、预警提醒、日常巡查等监管手段，加强日常监管，加大日常稽核频次，实现医保基金监管“常态化、制度化、精细化”。积极配合国家和省、市飞行检查，及时通报曝光欺诈骗保典型案件，发挥重点案件警示教育作用，鼓励社会各界积极主动参与监管工作，完善社会监督员制度。主动协调卫健、市场监管、公安等部门，推进部门间联合执法、信息共享和互联互通，形成监管合力，促进监管结果协同运用。</w:t>
      </w:r>
    </w:p>
    <w:p>
      <w:pPr>
        <w:pStyle w:val="24"/>
      </w:pPr>
      <w:r>
        <w:t>四是有效提升医保标准化信息化水平。继续强化“互联网+医保”应用，认真梳理医疗保障经办政务服务事项，进一步优化流程、精简环节，坚持“能上尽上”原则，推动实现更多经办服务事项网上办理。加快医保电子凭证推广应用，积极拓展应用场景，加快实现在定点医疗机构、定点零售药店扫码、刷脸、刷身份证就医、购药和结算。充分发挥乡、镇医保骨干网便民惠民作用，方便参保群众就近办理医保业务。</w:t>
      </w:r>
    </w:p>
    <w:p>
      <w:pPr>
        <w:pStyle w:val="25"/>
      </w:pPr>
      <w:r>
        <w:t>（三）工作保障措施</w:t>
      </w:r>
    </w:p>
    <w:p>
      <w:pPr>
        <w:pStyle w:val="25"/>
      </w:pPr>
      <w:r>
        <w:t>1、完善制度建设。修订完善各业务股室绩效管理制度。</w:t>
      </w:r>
    </w:p>
    <w:p>
      <w:pPr>
        <w:pStyle w:val="25"/>
      </w:pPr>
      <w:r>
        <w:t>2、加强支出管理。根据预算优化支出结构、编细编实预算、及时支付资金。</w:t>
      </w:r>
    </w:p>
    <w:p>
      <w:pPr>
        <w:pStyle w:val="25"/>
      </w:pPr>
      <w:r>
        <w:t>3、加强绩效运行监控。每年开展至少一次绩效监控工作，发现问题及时采取措施，确保绩效目标如期保质实现。</w:t>
      </w:r>
    </w:p>
    <w:p>
      <w:pPr>
        <w:pStyle w:val="25"/>
      </w:pPr>
      <w:r>
        <w:t>4、做好绩效自评。按要求对上年度部门绩效工作进行自评，对评价中发现的问题及时整改。</w:t>
      </w:r>
    </w:p>
    <w:p>
      <w:pPr>
        <w:pStyle w:val="25"/>
      </w:pPr>
      <w:r>
        <w:t>5、规范财务资产管理。制定财务管理制度，严格审批程序加强固定资产登记、使用和报废处置管理，做到支出合理，物尽其用。</w:t>
      </w:r>
    </w:p>
    <w:p>
      <w:pPr>
        <w:pStyle w:val="25"/>
      </w:pPr>
      <w:r>
        <w:t>6、加强内部监督。制定内部监督制度，对绩效运行情况、重大支出决策进行督导。</w:t>
      </w:r>
    </w:p>
    <w:p>
      <w:pPr>
        <w:pStyle w:val="25"/>
      </w:pPr>
      <w:r>
        <w:t>7、加强宣传培训。每季度对各部门人员进行相关业务培训，提高本部门职工业务素质;加大宣传力度，强化绩效管理意识，促进绩效管理水平进一步提升。</w:t>
      </w:r>
    </w:p>
    <w:p>
      <w:pPr>
        <w:pStyle w:val="25"/>
      </w:pPr>
      <w:r>
        <w:t>8、成立领导小组，确保总体绩效目标实现。</w:t>
      </w:r>
    </w:p>
    <w:p>
      <w:pPr>
        <w:pStyle w:val="25"/>
      </w:pPr>
    </w:p>
    <w:p>
      <w:pPr>
        <w:pStyle w:val="25"/>
        <w:sectPr>
          <w:pgSz w:w="16840" w:h="11900" w:orient="landscape"/>
          <w:pgMar w:top="1361" w:right="1020" w:bottom="1361" w:left="1020" w:header="720" w:footer="720" w:gutter="0"/>
          <w:cols w:space="720" w:num="1"/>
        </w:sectPr>
      </w:pPr>
    </w:p>
    <w:p>
      <w:pPr>
        <w:numPr>
          <w:ilvl w:val="0"/>
          <w:numId w:val="0"/>
        </w:numPr>
        <w:spacing w:before="10" w:after="10" w:line="360" w:lineRule="auto"/>
        <w:ind w:left="640" w:leftChars="0"/>
        <w:jc w:val="left"/>
        <w:outlineLvl w:val="2"/>
        <w:rPr>
          <w:rFonts w:ascii="黑体" w:hAnsi="黑体" w:eastAsia="黑体" w:cs="黑体"/>
          <w:color w:val="000000"/>
          <w:sz w:val="32"/>
        </w:rPr>
      </w:pPr>
      <w:bookmarkStart w:id="14" w:name="_Toc_3_3_0000000015"/>
      <w:r>
        <w:rPr>
          <w:rFonts w:hint="eastAsia" w:ascii="黑体" w:hAnsi="黑体" w:eastAsia="黑体" w:cs="黑体"/>
          <w:color w:val="000000"/>
          <w:sz w:val="32"/>
          <w:lang w:eastAsia="zh-CN"/>
        </w:rPr>
        <w:t>六、</w:t>
      </w:r>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spacing w:before="0" w:after="0"/>
        <w:ind w:firstLine="560"/>
        <w:jc w:val="left"/>
        <w:outlineLvl w:val="9"/>
      </w:pPr>
      <w:r>
        <w:rPr>
          <w:rFonts w:ascii="方正仿宋_GBK" w:hAnsi="方正仿宋_GBK" w:eastAsia="方正仿宋_GBK" w:cs="方正仿宋_GBK"/>
          <w:color w:val="000000"/>
          <w:sz w:val="28"/>
        </w:rPr>
        <w:t>1、2024年医保局办公楼租赁费绩效目标表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13063024P00016610001A</w:t>
            </w:r>
          </w:p>
        </w:tc>
        <w:tc>
          <w:tcPr>
            <w:tcW w:w="2835" w:type="dxa"/>
            <w:vAlign w:val="center"/>
          </w:tcPr>
          <w:p>
            <w:pPr>
              <w:pStyle w:val="12"/>
            </w:pPr>
            <w:r>
              <w:t>项目名称</w:t>
            </w:r>
          </w:p>
        </w:tc>
        <w:tc>
          <w:tcPr>
            <w:tcW w:w="6094" w:type="dxa"/>
            <w:gridSpan w:val="3"/>
            <w:vAlign w:val="center"/>
          </w:tcPr>
          <w:p>
            <w:pPr>
              <w:pStyle w:val="14"/>
            </w:pPr>
            <w:r>
              <w:t>2024年医保局办公楼租赁费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7.20</w:t>
            </w:r>
          </w:p>
        </w:tc>
        <w:tc>
          <w:tcPr>
            <w:tcW w:w="2835" w:type="dxa"/>
            <w:vAlign w:val="center"/>
          </w:tcPr>
          <w:p>
            <w:pPr>
              <w:pStyle w:val="12"/>
            </w:pPr>
            <w:r>
              <w:t>其中：财政    资金</w:t>
            </w:r>
          </w:p>
        </w:tc>
        <w:tc>
          <w:tcPr>
            <w:tcW w:w="2551" w:type="dxa"/>
            <w:vAlign w:val="center"/>
          </w:tcPr>
          <w:p>
            <w:pPr>
              <w:pStyle w:val="14"/>
            </w:pPr>
            <w:r>
              <w:t>7.20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为进一步提升医疗保障服务质量，提高医疗资源使用效率和医疗保障水平，为医保服务提供高效的办公场所，更好的服务百姓。我单位在开元路16号租赁楼房717平米，房租每年7.2万元。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7.20</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1.目标内容1保证本单位正常办公，提高医疗保障水平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租赁面积</w:t>
            </w:r>
          </w:p>
        </w:tc>
        <w:tc>
          <w:tcPr>
            <w:tcW w:w="5386" w:type="dxa"/>
            <w:vAlign w:val="center"/>
          </w:tcPr>
          <w:p>
            <w:pPr>
              <w:pStyle w:val="14"/>
            </w:pPr>
            <w:r>
              <w:t>办公楼租赁面积</w:t>
            </w:r>
          </w:p>
        </w:tc>
        <w:tc>
          <w:tcPr>
            <w:tcW w:w="2268" w:type="dxa"/>
            <w:vAlign w:val="center"/>
          </w:tcPr>
          <w:p>
            <w:pPr>
              <w:pStyle w:val="14"/>
            </w:pPr>
            <w:r>
              <w:t>717717平米</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办公场所使用率</w:t>
            </w:r>
          </w:p>
        </w:tc>
        <w:tc>
          <w:tcPr>
            <w:tcW w:w="5386" w:type="dxa"/>
            <w:vAlign w:val="center"/>
          </w:tcPr>
          <w:p>
            <w:pPr>
              <w:pStyle w:val="14"/>
            </w:pPr>
            <w:r>
              <w:t>保证租赁房屋能够正常使用</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按时支付率</w:t>
            </w:r>
          </w:p>
        </w:tc>
        <w:tc>
          <w:tcPr>
            <w:tcW w:w="5386" w:type="dxa"/>
            <w:vAlign w:val="center"/>
          </w:tcPr>
          <w:p>
            <w:pPr>
              <w:pStyle w:val="14"/>
            </w:pPr>
            <w:r>
              <w:t>财政拨付资金后，按时支付给对方。</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5386" w:type="dxa"/>
            <w:vAlign w:val="center"/>
          </w:tcPr>
          <w:p>
            <w:pPr>
              <w:pStyle w:val="14"/>
            </w:pPr>
            <w:r>
              <w:t>实际支出/预算数*100%</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5386" w:type="dxa"/>
            <w:vAlign w:val="center"/>
          </w:tcPr>
          <w:p>
            <w:pPr>
              <w:pStyle w:val="14"/>
            </w:pPr>
            <w:r>
              <w:t>成本利用率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提高办公效率</w:t>
            </w:r>
          </w:p>
        </w:tc>
        <w:tc>
          <w:tcPr>
            <w:tcW w:w="5386" w:type="dxa"/>
            <w:vAlign w:val="center"/>
          </w:tcPr>
          <w:p>
            <w:pPr>
              <w:pStyle w:val="14"/>
            </w:pPr>
            <w:r>
              <w:t>提高医保办公条件，提高医疗保障服务水平，更好的服务百姓</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5386" w:type="dxa"/>
            <w:vAlign w:val="center"/>
          </w:tcPr>
          <w:p>
            <w:pPr>
              <w:pStyle w:val="14"/>
            </w:pPr>
            <w:r>
              <w:t>无生态效益</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5386" w:type="dxa"/>
            <w:vAlign w:val="center"/>
          </w:tcPr>
          <w:p>
            <w:pPr>
              <w:pStyle w:val="14"/>
            </w:pPr>
            <w:r>
              <w:t>提升公共服务水平和质量</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工作人员满意度</w:t>
            </w:r>
          </w:p>
        </w:tc>
        <w:tc>
          <w:tcPr>
            <w:tcW w:w="2268" w:type="dxa"/>
            <w:vAlign w:val="center"/>
          </w:tcPr>
          <w:p>
            <w:pPr>
              <w:pStyle w:val="14"/>
            </w:pPr>
            <w:r>
              <w:t>100</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2、2024年医保局城乡居民意外伤害调查服务费绩效目标表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13063024P000170100023</w:t>
            </w:r>
          </w:p>
        </w:tc>
        <w:tc>
          <w:tcPr>
            <w:tcW w:w="2835" w:type="dxa"/>
            <w:vAlign w:val="center"/>
          </w:tcPr>
          <w:p>
            <w:pPr>
              <w:pStyle w:val="12"/>
            </w:pPr>
            <w:r>
              <w:t>项目名称</w:t>
            </w:r>
          </w:p>
        </w:tc>
        <w:tc>
          <w:tcPr>
            <w:tcW w:w="6094" w:type="dxa"/>
            <w:gridSpan w:val="3"/>
            <w:vAlign w:val="center"/>
          </w:tcPr>
          <w:p>
            <w:pPr>
              <w:pStyle w:val="14"/>
            </w:pPr>
            <w:r>
              <w:t>2024年医保局城乡居民意外伤害调查服务费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提高居民意外伤害医保待遇经办管理水平，解决调查界定能力不足、现场调查率低、报销周期长等问题，维护参保人员医保权益和医保基金安全。中国人保涞源支公司调查意外住院人员765件，每件单价209元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5.00</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1.目标内容1解决调查界定能力不足、现场调查率低、报销周期长等问题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意外调查案件数量</w:t>
            </w:r>
          </w:p>
        </w:tc>
        <w:tc>
          <w:tcPr>
            <w:tcW w:w="5386" w:type="dxa"/>
            <w:vAlign w:val="center"/>
          </w:tcPr>
          <w:p>
            <w:pPr>
              <w:pStyle w:val="14"/>
            </w:pPr>
            <w:r>
              <w:t>全年意外伤害调查的案件个数</w:t>
            </w:r>
          </w:p>
        </w:tc>
        <w:tc>
          <w:tcPr>
            <w:tcW w:w="2268" w:type="dxa"/>
            <w:vAlign w:val="center"/>
          </w:tcPr>
          <w:p>
            <w:pPr>
              <w:pStyle w:val="14"/>
            </w:pPr>
            <w:r>
              <w:t>≥765765件</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结案率</w:t>
            </w:r>
          </w:p>
        </w:tc>
        <w:tc>
          <w:tcPr>
            <w:tcW w:w="5386" w:type="dxa"/>
            <w:vAlign w:val="center"/>
          </w:tcPr>
          <w:p>
            <w:pPr>
              <w:pStyle w:val="14"/>
            </w:pPr>
            <w:r>
              <w:t>意外伤害调查结案/意外伤害案件数*100%</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5386" w:type="dxa"/>
            <w:vAlign w:val="center"/>
          </w:tcPr>
          <w:p>
            <w:pPr>
              <w:pStyle w:val="14"/>
            </w:pPr>
            <w:r>
              <w:t>意外伤害现场调查及时性和支付外伤人员医药费及时性，缩短报销周期</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5386" w:type="dxa"/>
            <w:vAlign w:val="center"/>
          </w:tcPr>
          <w:p>
            <w:pPr>
              <w:pStyle w:val="14"/>
            </w:pPr>
            <w:r>
              <w:t>实际支出/预算数*100%</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社会效益指标</w:t>
            </w:r>
          </w:p>
        </w:tc>
        <w:tc>
          <w:tcPr>
            <w:tcW w:w="5386" w:type="dxa"/>
            <w:vAlign w:val="center"/>
          </w:tcPr>
          <w:p>
            <w:pPr>
              <w:pStyle w:val="14"/>
            </w:pPr>
            <w:r>
              <w:t>社会效益指标</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提高办案水平</w:t>
            </w:r>
          </w:p>
        </w:tc>
        <w:tc>
          <w:tcPr>
            <w:tcW w:w="5386" w:type="dxa"/>
            <w:vAlign w:val="center"/>
          </w:tcPr>
          <w:p>
            <w:pPr>
              <w:pStyle w:val="14"/>
            </w:pPr>
            <w:r>
              <w:t>提高居民意外伤害医保待遇经办管理水平，维护参保人员医保权益和医保基金安全</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5386" w:type="dxa"/>
            <w:vAlign w:val="center"/>
          </w:tcPr>
          <w:p>
            <w:pPr>
              <w:pStyle w:val="14"/>
            </w:pPr>
            <w:r>
              <w:t>生态效益指标</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正常运转指标</w:t>
            </w:r>
          </w:p>
        </w:tc>
        <w:tc>
          <w:tcPr>
            <w:tcW w:w="5386" w:type="dxa"/>
            <w:vAlign w:val="center"/>
          </w:tcPr>
          <w:p>
            <w:pPr>
              <w:pStyle w:val="14"/>
            </w:pPr>
            <w:r>
              <w:t>正常运转指标</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100</w:t>
            </w:r>
          </w:p>
        </w:tc>
        <w:tc>
          <w:tcPr>
            <w:tcW w:w="127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3、2024年医保局村级卫生网络费绩效目标表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13063024P000168100029</w:t>
            </w:r>
          </w:p>
        </w:tc>
        <w:tc>
          <w:tcPr>
            <w:tcW w:w="2835" w:type="dxa"/>
            <w:vAlign w:val="center"/>
          </w:tcPr>
          <w:p>
            <w:pPr>
              <w:pStyle w:val="12"/>
            </w:pPr>
            <w:r>
              <w:t>项目名称</w:t>
            </w:r>
          </w:p>
        </w:tc>
        <w:tc>
          <w:tcPr>
            <w:tcW w:w="6094" w:type="dxa"/>
            <w:gridSpan w:val="3"/>
            <w:vAlign w:val="center"/>
          </w:tcPr>
          <w:p>
            <w:pPr>
              <w:pStyle w:val="14"/>
            </w:pPr>
            <w:r>
              <w:t>2024年医保局村级卫生网络费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8.28</w:t>
            </w:r>
          </w:p>
        </w:tc>
        <w:tc>
          <w:tcPr>
            <w:tcW w:w="2835" w:type="dxa"/>
            <w:vAlign w:val="center"/>
          </w:tcPr>
          <w:p>
            <w:pPr>
              <w:pStyle w:val="12"/>
            </w:pPr>
            <w:r>
              <w:t>其中：财政    资金</w:t>
            </w:r>
          </w:p>
        </w:tc>
        <w:tc>
          <w:tcPr>
            <w:tcW w:w="2551" w:type="dxa"/>
            <w:vAlign w:val="center"/>
          </w:tcPr>
          <w:p>
            <w:pPr>
              <w:pStyle w:val="14"/>
            </w:pPr>
            <w:r>
              <w:t>8.28</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为进一步提升医疗保障服务质量，提高医疗保障资源使用效率和医疗保障水平,保证居民就近就医，让农村居民真正得到实惠，让村级卫生室有医保专网。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8.28</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1.目标内容1为进一步提升医疗保障服务质量，提高医疗保障资源使用效率和医疗保障水平,保证居民就近就医，让农村居民真正得到实惠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业务覆盖村级卫生室数量</w:t>
            </w:r>
          </w:p>
        </w:tc>
        <w:tc>
          <w:tcPr>
            <w:tcW w:w="5386" w:type="dxa"/>
            <w:vAlign w:val="center"/>
          </w:tcPr>
          <w:p>
            <w:pPr>
              <w:pStyle w:val="14"/>
            </w:pPr>
            <w:r>
              <w:t>医保报销支付系统</w:t>
            </w:r>
          </w:p>
        </w:tc>
        <w:tc>
          <w:tcPr>
            <w:tcW w:w="2268" w:type="dxa"/>
            <w:vAlign w:val="center"/>
          </w:tcPr>
          <w:p>
            <w:pPr>
              <w:pStyle w:val="14"/>
            </w:pPr>
            <w:r>
              <w:t>≥138</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系统正常运转率</w:t>
            </w:r>
          </w:p>
        </w:tc>
        <w:tc>
          <w:tcPr>
            <w:tcW w:w="5386" w:type="dxa"/>
            <w:vAlign w:val="center"/>
          </w:tcPr>
          <w:p>
            <w:pPr>
              <w:pStyle w:val="14"/>
            </w:pPr>
            <w:r>
              <w:t>保证乡级网络正常运转</w:t>
            </w:r>
          </w:p>
        </w:tc>
        <w:tc>
          <w:tcPr>
            <w:tcW w:w="2268" w:type="dxa"/>
            <w:vAlign w:val="center"/>
          </w:tcPr>
          <w:p>
            <w:pPr>
              <w:pStyle w:val="14"/>
            </w:pPr>
            <w:r>
              <w:t>138</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5386" w:type="dxa"/>
            <w:vAlign w:val="center"/>
          </w:tcPr>
          <w:p>
            <w:pPr>
              <w:pStyle w:val="14"/>
            </w:pPr>
            <w:r>
              <w:t>按时做好乡级医保参保登记变更、审批等业务经办工作</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5386" w:type="dxa"/>
            <w:vAlign w:val="center"/>
          </w:tcPr>
          <w:p>
            <w:pPr>
              <w:pStyle w:val="14"/>
            </w:pPr>
            <w:r>
              <w:t>实际支出金额/预算金额*100%</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5386" w:type="dxa"/>
            <w:vAlign w:val="center"/>
          </w:tcPr>
          <w:p>
            <w:pPr>
              <w:pStyle w:val="14"/>
            </w:pPr>
            <w:r>
              <w:t>经济效益指标</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工作效率提升</w:t>
            </w:r>
          </w:p>
        </w:tc>
        <w:tc>
          <w:tcPr>
            <w:tcW w:w="5386" w:type="dxa"/>
            <w:vAlign w:val="center"/>
          </w:tcPr>
          <w:p>
            <w:pPr>
              <w:pStyle w:val="14"/>
            </w:pPr>
            <w:r>
              <w:t>工作效率提升，方便城乡居民</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5386" w:type="dxa"/>
            <w:vAlign w:val="center"/>
          </w:tcPr>
          <w:p>
            <w:pPr>
              <w:pStyle w:val="14"/>
            </w:pPr>
            <w:r>
              <w:t>生态影响</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5386" w:type="dxa"/>
            <w:vAlign w:val="center"/>
          </w:tcPr>
          <w:p>
            <w:pPr>
              <w:pStyle w:val="14"/>
            </w:pPr>
            <w:r>
              <w:t>可持续性服务</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100</w:t>
            </w:r>
          </w:p>
        </w:tc>
        <w:tc>
          <w:tcPr>
            <w:tcW w:w="1276" w:type="dxa"/>
            <w:vAlign w:val="center"/>
          </w:tcPr>
          <w:p>
            <w:pPr>
              <w:pStyle w:val="14"/>
            </w:pPr>
            <w:r>
              <w:t>市级要求，工作计划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4、2024年医保局骨干网络建设维护费绩效目标表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13063024P00016410001Y</w:t>
            </w:r>
          </w:p>
        </w:tc>
        <w:tc>
          <w:tcPr>
            <w:tcW w:w="2835" w:type="dxa"/>
            <w:vAlign w:val="center"/>
          </w:tcPr>
          <w:p>
            <w:pPr>
              <w:pStyle w:val="12"/>
            </w:pPr>
            <w:r>
              <w:t>项目名称</w:t>
            </w:r>
          </w:p>
        </w:tc>
        <w:tc>
          <w:tcPr>
            <w:tcW w:w="6094" w:type="dxa"/>
            <w:gridSpan w:val="3"/>
            <w:vAlign w:val="center"/>
          </w:tcPr>
          <w:p>
            <w:pPr>
              <w:pStyle w:val="14"/>
            </w:pPr>
            <w:r>
              <w:t>2024年医保局骨干网络建设维护费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10.37</w:t>
            </w:r>
          </w:p>
        </w:tc>
        <w:tc>
          <w:tcPr>
            <w:tcW w:w="2835" w:type="dxa"/>
            <w:vAlign w:val="center"/>
          </w:tcPr>
          <w:p>
            <w:pPr>
              <w:pStyle w:val="12"/>
            </w:pPr>
            <w:r>
              <w:t>其中：财政    资金</w:t>
            </w:r>
          </w:p>
        </w:tc>
        <w:tc>
          <w:tcPr>
            <w:tcW w:w="2551" w:type="dxa"/>
            <w:vAlign w:val="center"/>
          </w:tcPr>
          <w:p>
            <w:pPr>
              <w:pStyle w:val="14"/>
            </w:pPr>
            <w:r>
              <w:t>10.37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全市医疗保障部门要进一步完善市、县医保核心业务骨干网络建设，纵向接入市、县、乡，做好乡级医保参保登记变更、审批等业务经办工作。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10.37</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1.目标内容1做好乡级医保参保登记变更、审批等业务经办工作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业务化覆盖业务种类</w:t>
            </w:r>
          </w:p>
        </w:tc>
        <w:tc>
          <w:tcPr>
            <w:tcW w:w="5386" w:type="dxa"/>
            <w:vAlign w:val="center"/>
          </w:tcPr>
          <w:p>
            <w:pPr>
              <w:pStyle w:val="14"/>
            </w:pPr>
            <w:r>
              <w:t>业务化覆盖业务种类</w:t>
            </w:r>
          </w:p>
        </w:tc>
        <w:tc>
          <w:tcPr>
            <w:tcW w:w="2268" w:type="dxa"/>
            <w:vAlign w:val="center"/>
          </w:tcPr>
          <w:p>
            <w:pPr>
              <w:pStyle w:val="14"/>
            </w:pPr>
            <w:r>
              <w:t>33项业务</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业务覆盖数量</w:t>
            </w:r>
          </w:p>
        </w:tc>
        <w:tc>
          <w:tcPr>
            <w:tcW w:w="5386" w:type="dxa"/>
            <w:vAlign w:val="center"/>
          </w:tcPr>
          <w:p>
            <w:pPr>
              <w:pStyle w:val="14"/>
            </w:pPr>
            <w:r>
              <w:t>业务覆盖各个乡镇数量</w:t>
            </w:r>
          </w:p>
        </w:tc>
        <w:tc>
          <w:tcPr>
            <w:tcW w:w="2268" w:type="dxa"/>
            <w:vAlign w:val="center"/>
          </w:tcPr>
          <w:p>
            <w:pPr>
              <w:pStyle w:val="14"/>
            </w:pPr>
            <w:r>
              <w:t>1717个乡镇</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系统正常运转率</w:t>
            </w:r>
          </w:p>
        </w:tc>
        <w:tc>
          <w:tcPr>
            <w:tcW w:w="5386" w:type="dxa"/>
            <w:vAlign w:val="center"/>
          </w:tcPr>
          <w:p>
            <w:pPr>
              <w:pStyle w:val="14"/>
            </w:pPr>
            <w:r>
              <w:t>保证乡级骨干网正常运转</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完成及时率</w:t>
            </w:r>
          </w:p>
        </w:tc>
        <w:tc>
          <w:tcPr>
            <w:tcW w:w="5386" w:type="dxa"/>
            <w:vAlign w:val="center"/>
          </w:tcPr>
          <w:p>
            <w:pPr>
              <w:pStyle w:val="14"/>
            </w:pPr>
            <w:r>
              <w:t>按时做好乡级医保参保登记变更、审批等业务经办工作</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5386" w:type="dxa"/>
            <w:vAlign w:val="center"/>
          </w:tcPr>
          <w:p>
            <w:pPr>
              <w:pStyle w:val="14"/>
            </w:pPr>
            <w:r>
              <w:t>成本利用率</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工作效率提升</w:t>
            </w:r>
          </w:p>
        </w:tc>
        <w:tc>
          <w:tcPr>
            <w:tcW w:w="5386" w:type="dxa"/>
            <w:vAlign w:val="center"/>
          </w:tcPr>
          <w:p>
            <w:pPr>
              <w:pStyle w:val="14"/>
            </w:pPr>
            <w:r>
              <w:t>工作效率提升</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5386" w:type="dxa"/>
            <w:vAlign w:val="center"/>
          </w:tcPr>
          <w:p>
            <w:pPr>
              <w:pStyle w:val="14"/>
            </w:pPr>
            <w:r>
              <w:t>无生态效益</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工作效率提升</w:t>
            </w:r>
          </w:p>
        </w:tc>
        <w:tc>
          <w:tcPr>
            <w:tcW w:w="5386" w:type="dxa"/>
            <w:vAlign w:val="center"/>
          </w:tcPr>
          <w:p>
            <w:pPr>
              <w:pStyle w:val="14"/>
            </w:pPr>
            <w:r>
              <w:t>工作效率提升，加快乡级医保参保登记变更、审批等业务经办工作</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100</w:t>
            </w:r>
          </w:p>
        </w:tc>
        <w:tc>
          <w:tcPr>
            <w:tcW w:w="1276" w:type="dxa"/>
            <w:vAlign w:val="center"/>
          </w:tcPr>
          <w:p>
            <w:pPr>
              <w:pStyle w:val="14"/>
            </w:pPr>
            <w:r>
              <w:t>市级要求，工作计划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5、2024年医保局医保软件维护及局域网服务费绩效目标表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13063024P000159100014</w:t>
            </w:r>
          </w:p>
        </w:tc>
        <w:tc>
          <w:tcPr>
            <w:tcW w:w="2835" w:type="dxa"/>
            <w:vAlign w:val="center"/>
          </w:tcPr>
          <w:p>
            <w:pPr>
              <w:pStyle w:val="12"/>
            </w:pPr>
            <w:r>
              <w:t>项目名称</w:t>
            </w:r>
          </w:p>
        </w:tc>
        <w:tc>
          <w:tcPr>
            <w:tcW w:w="6094" w:type="dxa"/>
            <w:gridSpan w:val="3"/>
            <w:vAlign w:val="center"/>
          </w:tcPr>
          <w:p>
            <w:pPr>
              <w:pStyle w:val="14"/>
            </w:pPr>
            <w:r>
              <w:t>2024年医保局医保软件维护及局域网服务费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深化医疗保障制度改革，切实提高医疗保障能力和服务水平，保证信息化系统高效运行，实现医保证医保信息系统顺利运行，实现医疗保障系统经办服务的信息化、数字化、精细化、智能化，为人民群众提供优质、高效、便捷的服务。</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10.00</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1.目标内容1保障单位信息化及网络正常运行，切实提高医疗保障能力和服务水平。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硬件维护数量</w:t>
            </w:r>
          </w:p>
        </w:tc>
        <w:tc>
          <w:tcPr>
            <w:tcW w:w="5386" w:type="dxa"/>
            <w:vAlign w:val="center"/>
          </w:tcPr>
          <w:p>
            <w:pPr>
              <w:pStyle w:val="14"/>
            </w:pPr>
            <w:r>
              <w:t>硬件维护数量</w:t>
            </w:r>
          </w:p>
        </w:tc>
        <w:tc>
          <w:tcPr>
            <w:tcW w:w="2268" w:type="dxa"/>
            <w:vAlign w:val="center"/>
          </w:tcPr>
          <w:p>
            <w:pPr>
              <w:pStyle w:val="14"/>
            </w:pPr>
            <w:r>
              <w:t>≥30数量</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网络覆盖率</w:t>
            </w:r>
          </w:p>
        </w:tc>
        <w:tc>
          <w:tcPr>
            <w:tcW w:w="5386" w:type="dxa"/>
            <w:vAlign w:val="center"/>
          </w:tcPr>
          <w:p>
            <w:pPr>
              <w:pStyle w:val="14"/>
            </w:pPr>
            <w:r>
              <w:t>单位业务用网覆盖率</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故障维护及时率</w:t>
            </w:r>
          </w:p>
        </w:tc>
        <w:tc>
          <w:tcPr>
            <w:tcW w:w="5386" w:type="dxa"/>
            <w:vAlign w:val="center"/>
          </w:tcPr>
          <w:p>
            <w:pPr>
              <w:pStyle w:val="14"/>
            </w:pPr>
            <w:r>
              <w:t>及时维护的故障数量占总故障数量的比率</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5386" w:type="dxa"/>
            <w:vAlign w:val="center"/>
          </w:tcPr>
          <w:p>
            <w:pPr>
              <w:pStyle w:val="14"/>
            </w:pPr>
            <w:r>
              <w:t>实际支出/预算数*100%</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5386" w:type="dxa"/>
            <w:vAlign w:val="center"/>
          </w:tcPr>
          <w:p>
            <w:pPr>
              <w:pStyle w:val="14"/>
            </w:pPr>
            <w:r>
              <w:t>成本利用率</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工作效率提升</w:t>
            </w:r>
          </w:p>
        </w:tc>
        <w:tc>
          <w:tcPr>
            <w:tcW w:w="5386" w:type="dxa"/>
            <w:vAlign w:val="center"/>
          </w:tcPr>
          <w:p>
            <w:pPr>
              <w:pStyle w:val="14"/>
            </w:pPr>
            <w:r>
              <w:t>提升工作效率情况，实现医疗保障系统经办服务的信息化、数字化、精细化、智能化，为人民群众提供优质、高效、便捷的服务</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5386" w:type="dxa"/>
            <w:vAlign w:val="center"/>
          </w:tcPr>
          <w:p>
            <w:pPr>
              <w:pStyle w:val="14"/>
            </w:pPr>
            <w:r>
              <w:t>无生态效益</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5386" w:type="dxa"/>
            <w:vAlign w:val="center"/>
          </w:tcPr>
          <w:p>
            <w:pPr>
              <w:pStyle w:val="14"/>
            </w:pPr>
            <w:r>
              <w:t>提升公共服务水平和质量</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100</w:t>
            </w:r>
          </w:p>
        </w:tc>
        <w:tc>
          <w:tcPr>
            <w:tcW w:w="127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6、[13063023X000029996055]2024年劳务费绩效目标表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13063023P00605510001N</w:t>
            </w:r>
          </w:p>
        </w:tc>
        <w:tc>
          <w:tcPr>
            <w:tcW w:w="2835" w:type="dxa"/>
            <w:vAlign w:val="center"/>
          </w:tcPr>
          <w:p>
            <w:pPr>
              <w:pStyle w:val="12"/>
            </w:pPr>
            <w:r>
              <w:t>项目名称</w:t>
            </w:r>
          </w:p>
        </w:tc>
        <w:tc>
          <w:tcPr>
            <w:tcW w:w="6094" w:type="dxa"/>
            <w:gridSpan w:val="3"/>
            <w:vAlign w:val="center"/>
          </w:tcPr>
          <w:p>
            <w:pPr>
              <w:pStyle w:val="14"/>
            </w:pPr>
            <w:r>
              <w:t>[13063023X000029996055]2024年劳务费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单位劳务派遣人员和门卫工资及保险</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3.75</w:t>
            </w:r>
          </w:p>
        </w:tc>
        <w:tc>
          <w:tcPr>
            <w:tcW w:w="2835" w:type="dxa"/>
            <w:vAlign w:val="center"/>
          </w:tcPr>
          <w:p>
            <w:pPr>
              <w:pStyle w:val="15"/>
            </w:pPr>
            <w:r>
              <w:t>3.75</w:t>
            </w:r>
          </w:p>
        </w:tc>
        <w:tc>
          <w:tcPr>
            <w:tcW w:w="2551" w:type="dxa"/>
            <w:vAlign w:val="center"/>
          </w:tcPr>
          <w:p>
            <w:pPr>
              <w:pStyle w:val="15"/>
            </w:pPr>
            <w:r>
              <w:t>3.75</w:t>
            </w:r>
          </w:p>
        </w:tc>
        <w:tc>
          <w:tcPr>
            <w:tcW w:w="3543" w:type="dxa"/>
            <w:gridSpan w:val="2"/>
            <w:vAlign w:val="center"/>
          </w:tcPr>
          <w:p>
            <w:pPr>
              <w:pStyle w:val="15"/>
            </w:pPr>
            <w:r>
              <w:t>3.75</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人数</w:t>
            </w:r>
          </w:p>
        </w:tc>
        <w:tc>
          <w:tcPr>
            <w:tcW w:w="5386" w:type="dxa"/>
            <w:vAlign w:val="center"/>
          </w:tcPr>
          <w:p>
            <w:pPr>
              <w:pStyle w:val="14"/>
            </w:pPr>
            <w:r>
              <w:t>劳务派遣人数</w:t>
            </w:r>
          </w:p>
        </w:tc>
        <w:tc>
          <w:tcPr>
            <w:tcW w:w="2268" w:type="dxa"/>
            <w:vAlign w:val="center"/>
          </w:tcPr>
          <w:p>
            <w:pPr>
              <w:pStyle w:val="14"/>
            </w:pPr>
            <w:r>
              <w:t>44人</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毕业生就业率（%）</w:t>
            </w:r>
          </w:p>
        </w:tc>
        <w:tc>
          <w:tcPr>
            <w:tcW w:w="5386" w:type="dxa"/>
            <w:vAlign w:val="center"/>
          </w:tcPr>
          <w:p>
            <w:pPr>
              <w:pStyle w:val="14"/>
            </w:pPr>
            <w:r>
              <w:t>毕业生就业率（%）</w:t>
            </w:r>
          </w:p>
        </w:tc>
        <w:tc>
          <w:tcPr>
            <w:tcW w:w="2268" w:type="dxa"/>
            <w:vAlign w:val="center"/>
          </w:tcPr>
          <w:p>
            <w:pPr>
              <w:pStyle w:val="14"/>
            </w:pPr>
            <w:r>
              <w:t>≥100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5386" w:type="dxa"/>
            <w:vAlign w:val="center"/>
          </w:tcPr>
          <w:p>
            <w:pPr>
              <w:pStyle w:val="14"/>
            </w:pPr>
            <w:r>
              <w:t>及时率</w:t>
            </w:r>
          </w:p>
        </w:tc>
        <w:tc>
          <w:tcPr>
            <w:tcW w:w="2268" w:type="dxa"/>
            <w:vAlign w:val="center"/>
          </w:tcPr>
          <w:p>
            <w:pPr>
              <w:pStyle w:val="14"/>
            </w:pPr>
            <w:r>
              <w:t>100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5386" w:type="dxa"/>
            <w:vAlign w:val="center"/>
          </w:tcPr>
          <w:p>
            <w:pPr>
              <w:pStyle w:val="14"/>
            </w:pPr>
            <w:r>
              <w:t>成本控制</w:t>
            </w:r>
          </w:p>
        </w:tc>
        <w:tc>
          <w:tcPr>
            <w:tcW w:w="2268" w:type="dxa"/>
            <w:vAlign w:val="center"/>
          </w:tcPr>
          <w:p>
            <w:pPr>
              <w:pStyle w:val="14"/>
            </w:pPr>
            <w:r>
              <w:t>≥95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5386" w:type="dxa"/>
            <w:vAlign w:val="center"/>
          </w:tcPr>
          <w:p>
            <w:pPr>
              <w:pStyle w:val="14"/>
            </w:pPr>
            <w:r>
              <w:t>成本节约</w:t>
            </w:r>
          </w:p>
        </w:tc>
        <w:tc>
          <w:tcPr>
            <w:tcW w:w="2268" w:type="dxa"/>
            <w:vAlign w:val="center"/>
          </w:tcPr>
          <w:p>
            <w:pPr>
              <w:pStyle w:val="14"/>
            </w:pPr>
            <w:r>
              <w:t>≥95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5386" w:type="dxa"/>
            <w:vAlign w:val="center"/>
          </w:tcPr>
          <w:p>
            <w:pPr>
              <w:pStyle w:val="14"/>
            </w:pPr>
            <w:r>
              <w:t>社会效益显著</w:t>
            </w:r>
          </w:p>
        </w:tc>
        <w:tc>
          <w:tcPr>
            <w:tcW w:w="2268" w:type="dxa"/>
            <w:vAlign w:val="center"/>
          </w:tcPr>
          <w:p>
            <w:pPr>
              <w:pStyle w:val="14"/>
            </w:pPr>
            <w:r>
              <w:t>≥95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无生态效益</w:t>
            </w:r>
          </w:p>
        </w:tc>
        <w:tc>
          <w:tcPr>
            <w:tcW w:w="5386" w:type="dxa"/>
            <w:vAlign w:val="center"/>
          </w:tcPr>
          <w:p>
            <w:pPr>
              <w:pStyle w:val="14"/>
            </w:pPr>
            <w:r>
              <w:t>无</w:t>
            </w:r>
          </w:p>
        </w:tc>
        <w:tc>
          <w:tcPr>
            <w:tcW w:w="2268" w:type="dxa"/>
            <w:vAlign w:val="center"/>
          </w:tcPr>
          <w:p>
            <w:pPr>
              <w:pStyle w:val="14"/>
            </w:pPr>
            <w:r>
              <w:t>≥95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提高工作效率</w:t>
            </w:r>
          </w:p>
        </w:tc>
        <w:tc>
          <w:tcPr>
            <w:tcW w:w="5386" w:type="dxa"/>
            <w:vAlign w:val="center"/>
          </w:tcPr>
          <w:p>
            <w:pPr>
              <w:pStyle w:val="14"/>
            </w:pPr>
            <w:r>
              <w:t>提高工作效率</w:t>
            </w:r>
          </w:p>
        </w:tc>
        <w:tc>
          <w:tcPr>
            <w:tcW w:w="2268" w:type="dxa"/>
            <w:vAlign w:val="center"/>
          </w:tcPr>
          <w:p>
            <w:pPr>
              <w:pStyle w:val="14"/>
            </w:pPr>
            <w:r>
              <w:t>≥95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5386" w:type="dxa"/>
            <w:vAlign w:val="center"/>
          </w:tcPr>
          <w:p>
            <w:pPr>
              <w:pStyle w:val="14"/>
            </w:pPr>
            <w:r>
              <w:t>社会公众满意度（%）</w:t>
            </w:r>
          </w:p>
        </w:tc>
        <w:tc>
          <w:tcPr>
            <w:tcW w:w="2268" w:type="dxa"/>
            <w:vAlign w:val="center"/>
          </w:tcPr>
          <w:p>
            <w:pPr>
              <w:pStyle w:val="14"/>
            </w:pPr>
            <w:r>
              <w:t>≥95</w:t>
            </w:r>
          </w:p>
        </w:tc>
        <w:tc>
          <w:tcPr>
            <w:tcW w:w="1276"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7、]冀财社[2023]225号 关于提前下达2024年省级财政城乡居民社会保险代办员补助资金的通知（医保）绩效目标表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13063024P00053610001K</w:t>
            </w:r>
          </w:p>
        </w:tc>
        <w:tc>
          <w:tcPr>
            <w:tcW w:w="2835" w:type="dxa"/>
            <w:vAlign w:val="center"/>
          </w:tcPr>
          <w:p>
            <w:pPr>
              <w:pStyle w:val="12"/>
            </w:pPr>
            <w:r>
              <w:t>项目名称</w:t>
            </w:r>
          </w:p>
        </w:tc>
        <w:tc>
          <w:tcPr>
            <w:tcW w:w="6094" w:type="dxa"/>
            <w:gridSpan w:val="3"/>
            <w:vAlign w:val="center"/>
          </w:tcPr>
          <w:p>
            <w:pPr>
              <w:pStyle w:val="14"/>
            </w:pPr>
            <w:r>
              <w:t>]冀财社[2023]225号 关于提前下达2024年省级财政城乡居民社会保险代办员补助资金的通知（医保）</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支持基本医疗保险全民参保</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3.00</w:t>
            </w:r>
          </w:p>
        </w:tc>
        <w:tc>
          <w:tcPr>
            <w:tcW w:w="3543" w:type="dxa"/>
            <w:gridSpan w:val="2"/>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5386" w:type="dxa"/>
            <w:vAlign w:val="center"/>
          </w:tcPr>
          <w:p>
            <w:pPr>
              <w:pStyle w:val="14"/>
            </w:pPr>
            <w:r>
              <w:t>完成率</w:t>
            </w:r>
          </w:p>
        </w:tc>
        <w:tc>
          <w:tcPr>
            <w:tcW w:w="2268" w:type="dxa"/>
            <w:vAlign w:val="center"/>
          </w:tcPr>
          <w:p>
            <w:pPr>
              <w:pStyle w:val="14"/>
            </w:pPr>
            <w:r>
              <w:t>100</w:t>
            </w:r>
          </w:p>
        </w:tc>
        <w:tc>
          <w:tcPr>
            <w:tcW w:w="1276" w:type="dxa"/>
            <w:vAlign w:val="center"/>
          </w:tcPr>
          <w:p>
            <w:pPr>
              <w:pStyle w:val="14"/>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专款专用率</w:t>
            </w:r>
          </w:p>
        </w:tc>
        <w:tc>
          <w:tcPr>
            <w:tcW w:w="5386" w:type="dxa"/>
            <w:vAlign w:val="center"/>
          </w:tcPr>
          <w:p>
            <w:pPr>
              <w:pStyle w:val="14"/>
            </w:pPr>
            <w:r>
              <w:t>专款专用率</w:t>
            </w:r>
          </w:p>
        </w:tc>
        <w:tc>
          <w:tcPr>
            <w:tcW w:w="2268" w:type="dxa"/>
            <w:vAlign w:val="center"/>
          </w:tcPr>
          <w:p>
            <w:pPr>
              <w:pStyle w:val="14"/>
            </w:pPr>
            <w:r>
              <w:t>100</w:t>
            </w:r>
          </w:p>
        </w:tc>
        <w:tc>
          <w:tcPr>
            <w:tcW w:w="1276" w:type="dxa"/>
            <w:vAlign w:val="center"/>
          </w:tcPr>
          <w:p>
            <w:pPr>
              <w:pStyle w:val="14"/>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按时支出</w:t>
            </w:r>
          </w:p>
        </w:tc>
        <w:tc>
          <w:tcPr>
            <w:tcW w:w="5386" w:type="dxa"/>
            <w:vAlign w:val="center"/>
          </w:tcPr>
          <w:p>
            <w:pPr>
              <w:pStyle w:val="14"/>
            </w:pPr>
            <w:r>
              <w:t>按时支出</w:t>
            </w:r>
          </w:p>
        </w:tc>
        <w:tc>
          <w:tcPr>
            <w:tcW w:w="2268" w:type="dxa"/>
            <w:vAlign w:val="center"/>
          </w:tcPr>
          <w:p>
            <w:pPr>
              <w:pStyle w:val="14"/>
            </w:pPr>
            <w:r>
              <w:t>100</w:t>
            </w:r>
          </w:p>
        </w:tc>
        <w:tc>
          <w:tcPr>
            <w:tcW w:w="1276" w:type="dxa"/>
            <w:vAlign w:val="center"/>
          </w:tcPr>
          <w:p>
            <w:pPr>
              <w:pStyle w:val="14"/>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w:t>
            </w:r>
          </w:p>
        </w:tc>
        <w:tc>
          <w:tcPr>
            <w:tcW w:w="5386" w:type="dxa"/>
            <w:vAlign w:val="center"/>
          </w:tcPr>
          <w:p>
            <w:pPr>
              <w:pStyle w:val="14"/>
            </w:pPr>
            <w:r>
              <w:t>完成年度预算资金安排</w:t>
            </w:r>
          </w:p>
        </w:tc>
        <w:tc>
          <w:tcPr>
            <w:tcW w:w="2268" w:type="dxa"/>
            <w:vAlign w:val="center"/>
          </w:tcPr>
          <w:p>
            <w:pPr>
              <w:pStyle w:val="14"/>
            </w:pPr>
            <w:r>
              <w:t>100</w:t>
            </w:r>
          </w:p>
        </w:tc>
        <w:tc>
          <w:tcPr>
            <w:tcW w:w="1276" w:type="dxa"/>
            <w:vAlign w:val="center"/>
          </w:tcPr>
          <w:p>
            <w:pPr>
              <w:pStyle w:val="14"/>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5386" w:type="dxa"/>
            <w:vAlign w:val="center"/>
          </w:tcPr>
          <w:p>
            <w:pPr>
              <w:pStyle w:val="14"/>
            </w:pPr>
            <w:r>
              <w:t>成本利用率</w:t>
            </w:r>
          </w:p>
        </w:tc>
        <w:tc>
          <w:tcPr>
            <w:tcW w:w="2268" w:type="dxa"/>
            <w:vAlign w:val="center"/>
          </w:tcPr>
          <w:p>
            <w:pPr>
              <w:pStyle w:val="14"/>
            </w:pPr>
            <w:r>
              <w:t>100</w:t>
            </w:r>
          </w:p>
        </w:tc>
        <w:tc>
          <w:tcPr>
            <w:tcW w:w="1276" w:type="dxa"/>
            <w:vAlign w:val="center"/>
          </w:tcPr>
          <w:p>
            <w:pPr>
              <w:pStyle w:val="14"/>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5386" w:type="dxa"/>
            <w:vAlign w:val="center"/>
          </w:tcPr>
          <w:p>
            <w:pPr>
              <w:pStyle w:val="14"/>
            </w:pPr>
            <w:r>
              <w:t>社会效益显著</w:t>
            </w:r>
          </w:p>
        </w:tc>
        <w:tc>
          <w:tcPr>
            <w:tcW w:w="2268" w:type="dxa"/>
            <w:vAlign w:val="center"/>
          </w:tcPr>
          <w:p>
            <w:pPr>
              <w:pStyle w:val="14"/>
            </w:pPr>
            <w:r>
              <w:t>100</w:t>
            </w:r>
          </w:p>
        </w:tc>
        <w:tc>
          <w:tcPr>
            <w:tcW w:w="1276" w:type="dxa"/>
            <w:vAlign w:val="center"/>
          </w:tcPr>
          <w:p>
            <w:pPr>
              <w:pStyle w:val="14"/>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5386" w:type="dxa"/>
            <w:vAlign w:val="center"/>
          </w:tcPr>
          <w:p>
            <w:pPr>
              <w:pStyle w:val="14"/>
            </w:pPr>
            <w:r>
              <w:t>生态影响</w:t>
            </w:r>
          </w:p>
        </w:tc>
        <w:tc>
          <w:tcPr>
            <w:tcW w:w="2268" w:type="dxa"/>
            <w:vAlign w:val="center"/>
          </w:tcPr>
          <w:p>
            <w:pPr>
              <w:pStyle w:val="14"/>
            </w:pPr>
            <w:r>
              <w:t>100</w:t>
            </w:r>
          </w:p>
        </w:tc>
        <w:tc>
          <w:tcPr>
            <w:tcW w:w="1276" w:type="dxa"/>
            <w:vAlign w:val="center"/>
          </w:tcPr>
          <w:p>
            <w:pPr>
              <w:pStyle w:val="14"/>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5386" w:type="dxa"/>
            <w:vAlign w:val="center"/>
          </w:tcPr>
          <w:p>
            <w:pPr>
              <w:pStyle w:val="14"/>
            </w:pPr>
            <w:r>
              <w:t>可持续性服务</w:t>
            </w:r>
          </w:p>
        </w:tc>
        <w:tc>
          <w:tcPr>
            <w:tcW w:w="2268" w:type="dxa"/>
            <w:vAlign w:val="center"/>
          </w:tcPr>
          <w:p>
            <w:pPr>
              <w:pStyle w:val="14"/>
            </w:pPr>
            <w:r>
              <w:t>100</w:t>
            </w:r>
          </w:p>
        </w:tc>
        <w:tc>
          <w:tcPr>
            <w:tcW w:w="1276" w:type="dxa"/>
            <w:vAlign w:val="center"/>
          </w:tcPr>
          <w:p>
            <w:pPr>
              <w:pStyle w:val="14"/>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工作人员满意度</w:t>
            </w:r>
          </w:p>
        </w:tc>
        <w:tc>
          <w:tcPr>
            <w:tcW w:w="2268" w:type="dxa"/>
            <w:vAlign w:val="center"/>
          </w:tcPr>
          <w:p>
            <w:pPr>
              <w:pStyle w:val="14"/>
            </w:pPr>
            <w:r>
              <w:t>100</w:t>
            </w:r>
          </w:p>
        </w:tc>
        <w:tc>
          <w:tcPr>
            <w:tcW w:w="1276" w:type="dxa"/>
            <w:vAlign w:val="center"/>
          </w:tcPr>
          <w:p>
            <w:pPr>
              <w:pStyle w:val="14"/>
            </w:pPr>
            <w:r>
              <w:t>冀财社{2023}225号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8、冀财社（2023）208号关于提前下达2024年中央财政医疗服务与保障能力补助资金预算的通知绩效目标表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13063024P00056710001Y</w:t>
            </w:r>
          </w:p>
        </w:tc>
        <w:tc>
          <w:tcPr>
            <w:tcW w:w="2835" w:type="dxa"/>
            <w:vAlign w:val="center"/>
          </w:tcPr>
          <w:p>
            <w:pPr>
              <w:pStyle w:val="12"/>
            </w:pPr>
            <w:r>
              <w:t>项目名称</w:t>
            </w:r>
          </w:p>
        </w:tc>
        <w:tc>
          <w:tcPr>
            <w:tcW w:w="6094" w:type="dxa"/>
            <w:gridSpan w:val="3"/>
            <w:vAlign w:val="center"/>
          </w:tcPr>
          <w:p>
            <w:pPr>
              <w:pStyle w:val="14"/>
            </w:pPr>
            <w:r>
              <w:t>冀财社（2023）208号关于提前下达2024年中央财政医疗服务与保障能力补助资金预算的通知</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28.00</w:t>
            </w:r>
          </w:p>
        </w:tc>
        <w:tc>
          <w:tcPr>
            <w:tcW w:w="2835" w:type="dxa"/>
            <w:vAlign w:val="center"/>
          </w:tcPr>
          <w:p>
            <w:pPr>
              <w:pStyle w:val="12"/>
            </w:pPr>
            <w:r>
              <w:t>其中：财政    资金</w:t>
            </w:r>
          </w:p>
        </w:tc>
        <w:tc>
          <w:tcPr>
            <w:tcW w:w="2551" w:type="dxa"/>
            <w:vAlign w:val="center"/>
          </w:tcPr>
          <w:p>
            <w:pPr>
              <w:pStyle w:val="14"/>
            </w:pPr>
            <w:r>
              <w:t>28.00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提升医保服务水平</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14.00</w:t>
            </w:r>
          </w:p>
        </w:tc>
        <w:tc>
          <w:tcPr>
            <w:tcW w:w="2551" w:type="dxa"/>
            <w:vAlign w:val="center"/>
          </w:tcPr>
          <w:p>
            <w:pPr>
              <w:pStyle w:val="15"/>
            </w:pPr>
            <w:r>
              <w:t xml:space="preserve"> </w:t>
            </w:r>
          </w:p>
        </w:tc>
        <w:tc>
          <w:tcPr>
            <w:tcW w:w="3543" w:type="dxa"/>
            <w:gridSpan w:val="2"/>
            <w:vAlign w:val="center"/>
          </w:tcPr>
          <w:p>
            <w:pPr>
              <w:pStyle w:val="15"/>
            </w:pPr>
            <w:r>
              <w:t>14.00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基金监管宣传覆盖人数</w:t>
            </w:r>
          </w:p>
        </w:tc>
        <w:tc>
          <w:tcPr>
            <w:tcW w:w="5386" w:type="dxa"/>
            <w:vAlign w:val="center"/>
          </w:tcPr>
          <w:p>
            <w:pPr>
              <w:pStyle w:val="14"/>
            </w:pPr>
            <w:r>
              <w:t>基金监管宣传覆盖人数</w:t>
            </w:r>
          </w:p>
        </w:tc>
        <w:tc>
          <w:tcPr>
            <w:tcW w:w="2268" w:type="dxa"/>
            <w:vAlign w:val="center"/>
          </w:tcPr>
          <w:p>
            <w:pPr>
              <w:pStyle w:val="14"/>
            </w:pPr>
            <w:r>
              <w:t>100</w:t>
            </w:r>
          </w:p>
        </w:tc>
        <w:tc>
          <w:tcPr>
            <w:tcW w:w="1276" w:type="dxa"/>
            <w:vAlign w:val="center"/>
          </w:tcPr>
          <w:p>
            <w:pPr>
              <w:pStyle w:val="14"/>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100</w:t>
            </w:r>
          </w:p>
        </w:tc>
        <w:tc>
          <w:tcPr>
            <w:tcW w:w="1276" w:type="dxa"/>
            <w:vAlign w:val="center"/>
          </w:tcPr>
          <w:p>
            <w:pPr>
              <w:pStyle w:val="14"/>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完成时间</w:t>
            </w:r>
          </w:p>
        </w:tc>
        <w:tc>
          <w:tcPr>
            <w:tcW w:w="2268" w:type="dxa"/>
            <w:vAlign w:val="center"/>
          </w:tcPr>
          <w:p>
            <w:pPr>
              <w:pStyle w:val="14"/>
            </w:pPr>
            <w:r>
              <w:t>100</w:t>
            </w:r>
          </w:p>
        </w:tc>
        <w:tc>
          <w:tcPr>
            <w:tcW w:w="1276" w:type="dxa"/>
            <w:vAlign w:val="center"/>
          </w:tcPr>
          <w:p>
            <w:pPr>
              <w:pStyle w:val="14"/>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w:t>
            </w:r>
          </w:p>
        </w:tc>
        <w:tc>
          <w:tcPr>
            <w:tcW w:w="5386" w:type="dxa"/>
            <w:vAlign w:val="center"/>
          </w:tcPr>
          <w:p>
            <w:pPr>
              <w:pStyle w:val="14"/>
            </w:pPr>
            <w:r>
              <w:t>完成年度预算资金安排</w:t>
            </w:r>
          </w:p>
        </w:tc>
        <w:tc>
          <w:tcPr>
            <w:tcW w:w="2268" w:type="dxa"/>
            <w:vAlign w:val="center"/>
          </w:tcPr>
          <w:p>
            <w:pPr>
              <w:pStyle w:val="14"/>
            </w:pPr>
            <w:r>
              <w:t>100</w:t>
            </w:r>
          </w:p>
        </w:tc>
        <w:tc>
          <w:tcPr>
            <w:tcW w:w="1276" w:type="dxa"/>
            <w:vAlign w:val="center"/>
          </w:tcPr>
          <w:p>
            <w:pPr>
              <w:pStyle w:val="14"/>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5386" w:type="dxa"/>
            <w:vAlign w:val="center"/>
          </w:tcPr>
          <w:p>
            <w:pPr>
              <w:pStyle w:val="14"/>
            </w:pPr>
            <w:r>
              <w:t>成本利用率</w:t>
            </w:r>
          </w:p>
        </w:tc>
        <w:tc>
          <w:tcPr>
            <w:tcW w:w="2268" w:type="dxa"/>
            <w:vAlign w:val="center"/>
          </w:tcPr>
          <w:p>
            <w:pPr>
              <w:pStyle w:val="14"/>
            </w:pPr>
            <w:r>
              <w:t>100</w:t>
            </w:r>
          </w:p>
        </w:tc>
        <w:tc>
          <w:tcPr>
            <w:tcW w:w="1276" w:type="dxa"/>
            <w:vAlign w:val="center"/>
          </w:tcPr>
          <w:p>
            <w:pPr>
              <w:pStyle w:val="14"/>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监管覆盖率</w:t>
            </w:r>
          </w:p>
        </w:tc>
        <w:tc>
          <w:tcPr>
            <w:tcW w:w="5386" w:type="dxa"/>
            <w:vAlign w:val="center"/>
          </w:tcPr>
          <w:p>
            <w:pPr>
              <w:pStyle w:val="14"/>
            </w:pPr>
            <w:r>
              <w:t>监管覆盖率</w:t>
            </w:r>
          </w:p>
        </w:tc>
        <w:tc>
          <w:tcPr>
            <w:tcW w:w="2268" w:type="dxa"/>
            <w:vAlign w:val="center"/>
          </w:tcPr>
          <w:p>
            <w:pPr>
              <w:pStyle w:val="14"/>
            </w:pPr>
            <w:r>
              <w:t>100</w:t>
            </w:r>
          </w:p>
        </w:tc>
        <w:tc>
          <w:tcPr>
            <w:tcW w:w="1276" w:type="dxa"/>
            <w:vAlign w:val="center"/>
          </w:tcPr>
          <w:p>
            <w:pPr>
              <w:pStyle w:val="14"/>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无生态效益</w:t>
            </w:r>
          </w:p>
        </w:tc>
        <w:tc>
          <w:tcPr>
            <w:tcW w:w="5386" w:type="dxa"/>
            <w:vAlign w:val="center"/>
          </w:tcPr>
          <w:p>
            <w:pPr>
              <w:pStyle w:val="14"/>
            </w:pPr>
            <w:r>
              <w:t>无生态效益</w:t>
            </w:r>
          </w:p>
        </w:tc>
        <w:tc>
          <w:tcPr>
            <w:tcW w:w="2268" w:type="dxa"/>
            <w:vAlign w:val="center"/>
          </w:tcPr>
          <w:p>
            <w:pPr>
              <w:pStyle w:val="14"/>
            </w:pPr>
            <w:r>
              <w:t>100</w:t>
            </w:r>
          </w:p>
        </w:tc>
        <w:tc>
          <w:tcPr>
            <w:tcW w:w="1276" w:type="dxa"/>
            <w:vAlign w:val="center"/>
          </w:tcPr>
          <w:p>
            <w:pPr>
              <w:pStyle w:val="14"/>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服务质量提升</w:t>
            </w:r>
          </w:p>
        </w:tc>
        <w:tc>
          <w:tcPr>
            <w:tcW w:w="5386" w:type="dxa"/>
            <w:vAlign w:val="center"/>
          </w:tcPr>
          <w:p>
            <w:pPr>
              <w:pStyle w:val="14"/>
            </w:pPr>
            <w:r>
              <w:t>服务质量提升</w:t>
            </w:r>
          </w:p>
        </w:tc>
        <w:tc>
          <w:tcPr>
            <w:tcW w:w="2268" w:type="dxa"/>
            <w:vAlign w:val="center"/>
          </w:tcPr>
          <w:p>
            <w:pPr>
              <w:pStyle w:val="14"/>
            </w:pPr>
            <w:r>
              <w:t>100</w:t>
            </w:r>
          </w:p>
        </w:tc>
        <w:tc>
          <w:tcPr>
            <w:tcW w:w="1276" w:type="dxa"/>
            <w:vAlign w:val="center"/>
          </w:tcPr>
          <w:p>
            <w:pPr>
              <w:pStyle w:val="14"/>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100</w:t>
            </w:r>
          </w:p>
        </w:tc>
        <w:tc>
          <w:tcPr>
            <w:tcW w:w="1276" w:type="dxa"/>
            <w:vAlign w:val="center"/>
          </w:tcPr>
          <w:p>
            <w:pPr>
              <w:pStyle w:val="14"/>
            </w:pPr>
            <w:r>
              <w:t>冀财社【2023】208</w:t>
            </w:r>
          </w:p>
        </w:tc>
      </w:tr>
    </w:tbl>
    <w:p>
      <w:pPr>
        <w:sectPr>
          <w:pgSz w:w="16840" w:h="11900" w:orient="landscape"/>
          <w:pgMar w:top="1361" w:right="1020" w:bottom="1134" w:left="1020" w:header="720" w:footer="720" w:gutter="0"/>
          <w:cols w:space="720" w:num="1"/>
        </w:sectPr>
      </w:pPr>
    </w:p>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1、2024年医保局办公楼租赁费绩效目标表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13063024P00016610001A</w:t>
            </w:r>
          </w:p>
        </w:tc>
        <w:tc>
          <w:tcPr>
            <w:tcW w:w="2835" w:type="dxa"/>
            <w:vAlign w:val="center"/>
          </w:tcPr>
          <w:p>
            <w:pPr>
              <w:pStyle w:val="12"/>
            </w:pPr>
            <w:r>
              <w:t>项目名称</w:t>
            </w:r>
          </w:p>
        </w:tc>
        <w:tc>
          <w:tcPr>
            <w:tcW w:w="6094" w:type="dxa"/>
            <w:gridSpan w:val="3"/>
            <w:vAlign w:val="center"/>
          </w:tcPr>
          <w:p>
            <w:pPr>
              <w:pStyle w:val="14"/>
            </w:pPr>
            <w:r>
              <w:t>2024年医保局办公楼租赁费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7.20</w:t>
            </w:r>
          </w:p>
        </w:tc>
        <w:tc>
          <w:tcPr>
            <w:tcW w:w="2835" w:type="dxa"/>
            <w:vAlign w:val="center"/>
          </w:tcPr>
          <w:p>
            <w:pPr>
              <w:pStyle w:val="12"/>
            </w:pPr>
            <w:r>
              <w:t>其中：财政    资金</w:t>
            </w:r>
          </w:p>
        </w:tc>
        <w:tc>
          <w:tcPr>
            <w:tcW w:w="2551" w:type="dxa"/>
            <w:vAlign w:val="center"/>
          </w:tcPr>
          <w:p>
            <w:pPr>
              <w:pStyle w:val="14"/>
            </w:pPr>
            <w:r>
              <w:t>7.20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为进一步提升医疗保障服务质量，提高医疗资源使用效率和医疗保障水平，为医保服务提供高效的办公场所，更好的服务百姓。我单位在开元路16号租赁楼房717平米，房租每年7.2万元。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7.20</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1.目标内容1保证本单位正常办公，提高医疗保障水平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租赁面积</w:t>
            </w:r>
          </w:p>
        </w:tc>
        <w:tc>
          <w:tcPr>
            <w:tcW w:w="5386" w:type="dxa"/>
            <w:vAlign w:val="center"/>
          </w:tcPr>
          <w:p>
            <w:pPr>
              <w:pStyle w:val="14"/>
            </w:pPr>
            <w:r>
              <w:t>办公楼租赁面积</w:t>
            </w:r>
          </w:p>
        </w:tc>
        <w:tc>
          <w:tcPr>
            <w:tcW w:w="2268" w:type="dxa"/>
            <w:vAlign w:val="center"/>
          </w:tcPr>
          <w:p>
            <w:pPr>
              <w:pStyle w:val="14"/>
            </w:pPr>
            <w:r>
              <w:t>717717平米</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办公场所使用率</w:t>
            </w:r>
          </w:p>
        </w:tc>
        <w:tc>
          <w:tcPr>
            <w:tcW w:w="5386" w:type="dxa"/>
            <w:vAlign w:val="center"/>
          </w:tcPr>
          <w:p>
            <w:pPr>
              <w:pStyle w:val="14"/>
            </w:pPr>
            <w:r>
              <w:t>保证租赁房屋能够正常使用</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按时支付率</w:t>
            </w:r>
          </w:p>
        </w:tc>
        <w:tc>
          <w:tcPr>
            <w:tcW w:w="5386" w:type="dxa"/>
            <w:vAlign w:val="center"/>
          </w:tcPr>
          <w:p>
            <w:pPr>
              <w:pStyle w:val="14"/>
            </w:pPr>
            <w:r>
              <w:t>财政拨付资金后，按时支付给对方。</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5386" w:type="dxa"/>
            <w:vAlign w:val="center"/>
          </w:tcPr>
          <w:p>
            <w:pPr>
              <w:pStyle w:val="14"/>
            </w:pPr>
            <w:r>
              <w:t>实际支出/预算数*100%</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5386" w:type="dxa"/>
            <w:vAlign w:val="center"/>
          </w:tcPr>
          <w:p>
            <w:pPr>
              <w:pStyle w:val="14"/>
            </w:pPr>
            <w:r>
              <w:t>成本利用率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提高办公效率</w:t>
            </w:r>
          </w:p>
        </w:tc>
        <w:tc>
          <w:tcPr>
            <w:tcW w:w="5386" w:type="dxa"/>
            <w:vAlign w:val="center"/>
          </w:tcPr>
          <w:p>
            <w:pPr>
              <w:pStyle w:val="14"/>
            </w:pPr>
            <w:r>
              <w:t>提高医保办公条件，提高医疗保障服务水平，更好的服务百姓</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5386" w:type="dxa"/>
            <w:vAlign w:val="center"/>
          </w:tcPr>
          <w:p>
            <w:pPr>
              <w:pStyle w:val="14"/>
            </w:pPr>
            <w:r>
              <w:t>无生态效益</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5386" w:type="dxa"/>
            <w:vAlign w:val="center"/>
          </w:tcPr>
          <w:p>
            <w:pPr>
              <w:pStyle w:val="14"/>
            </w:pPr>
            <w:r>
              <w:t>提升公共服务水平和质量</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工作人员满意度</w:t>
            </w:r>
          </w:p>
        </w:tc>
        <w:tc>
          <w:tcPr>
            <w:tcW w:w="2268" w:type="dxa"/>
            <w:vAlign w:val="center"/>
          </w:tcPr>
          <w:p>
            <w:pPr>
              <w:pStyle w:val="14"/>
            </w:pPr>
            <w:r>
              <w:t>100</w:t>
            </w:r>
          </w:p>
        </w:tc>
        <w:tc>
          <w:tcPr>
            <w:tcW w:w="1276" w:type="dxa"/>
            <w:vAlign w:val="center"/>
          </w:tcPr>
          <w:p>
            <w:pPr>
              <w:pStyle w:val="14"/>
            </w:pPr>
            <w:r>
              <w:t>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2、2024年医保局城乡居民意外伤害调查服务费绩效目标表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13063024P000170100023</w:t>
            </w:r>
          </w:p>
        </w:tc>
        <w:tc>
          <w:tcPr>
            <w:tcW w:w="2835" w:type="dxa"/>
            <w:vAlign w:val="center"/>
          </w:tcPr>
          <w:p>
            <w:pPr>
              <w:pStyle w:val="12"/>
            </w:pPr>
            <w:r>
              <w:t>项目名称</w:t>
            </w:r>
          </w:p>
        </w:tc>
        <w:tc>
          <w:tcPr>
            <w:tcW w:w="6094" w:type="dxa"/>
            <w:gridSpan w:val="3"/>
            <w:vAlign w:val="center"/>
          </w:tcPr>
          <w:p>
            <w:pPr>
              <w:pStyle w:val="14"/>
            </w:pPr>
            <w:r>
              <w:t>2024年医保局城乡居民意外伤害调查服务费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提高居民意外伤害医保待遇经办管理水平，解决调查界定能力不足、现场调查率低、报销周期长等问题，维护参保人员医保权益和医保基金安全。中国人保涞源支公司调查意外住院人员765件，每件单价209元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5.00</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1.目标内容1解决调查界定能力不足、现场调查率低、报销周期长等问题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意外调查案件数量</w:t>
            </w:r>
          </w:p>
        </w:tc>
        <w:tc>
          <w:tcPr>
            <w:tcW w:w="5386" w:type="dxa"/>
            <w:vAlign w:val="center"/>
          </w:tcPr>
          <w:p>
            <w:pPr>
              <w:pStyle w:val="14"/>
            </w:pPr>
            <w:r>
              <w:t>全年意外伤害调查的案件个数</w:t>
            </w:r>
          </w:p>
        </w:tc>
        <w:tc>
          <w:tcPr>
            <w:tcW w:w="2268" w:type="dxa"/>
            <w:vAlign w:val="center"/>
          </w:tcPr>
          <w:p>
            <w:pPr>
              <w:pStyle w:val="14"/>
            </w:pPr>
            <w:r>
              <w:t>≥765765件</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结案率</w:t>
            </w:r>
          </w:p>
        </w:tc>
        <w:tc>
          <w:tcPr>
            <w:tcW w:w="5386" w:type="dxa"/>
            <w:vAlign w:val="center"/>
          </w:tcPr>
          <w:p>
            <w:pPr>
              <w:pStyle w:val="14"/>
            </w:pPr>
            <w:r>
              <w:t>意外伤害调查结案/意外伤害案件数*100%</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5386" w:type="dxa"/>
            <w:vAlign w:val="center"/>
          </w:tcPr>
          <w:p>
            <w:pPr>
              <w:pStyle w:val="14"/>
            </w:pPr>
            <w:r>
              <w:t>意外伤害现场调查及时性和支付外伤人员医药费及时性，缩短报销周期</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5386" w:type="dxa"/>
            <w:vAlign w:val="center"/>
          </w:tcPr>
          <w:p>
            <w:pPr>
              <w:pStyle w:val="14"/>
            </w:pPr>
            <w:r>
              <w:t>实际支出/预算数*100%</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社会效益指标</w:t>
            </w:r>
          </w:p>
        </w:tc>
        <w:tc>
          <w:tcPr>
            <w:tcW w:w="5386" w:type="dxa"/>
            <w:vAlign w:val="center"/>
          </w:tcPr>
          <w:p>
            <w:pPr>
              <w:pStyle w:val="14"/>
            </w:pPr>
            <w:r>
              <w:t>社会效益指标</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提高办案水平</w:t>
            </w:r>
          </w:p>
        </w:tc>
        <w:tc>
          <w:tcPr>
            <w:tcW w:w="5386" w:type="dxa"/>
            <w:vAlign w:val="center"/>
          </w:tcPr>
          <w:p>
            <w:pPr>
              <w:pStyle w:val="14"/>
            </w:pPr>
            <w:r>
              <w:t>提高居民意外伤害医保待遇经办管理水平，维护参保人员医保权益和医保基金安全</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5386" w:type="dxa"/>
            <w:vAlign w:val="center"/>
          </w:tcPr>
          <w:p>
            <w:pPr>
              <w:pStyle w:val="14"/>
            </w:pPr>
            <w:r>
              <w:t>生态效益指标</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正常运转指标</w:t>
            </w:r>
          </w:p>
        </w:tc>
        <w:tc>
          <w:tcPr>
            <w:tcW w:w="5386" w:type="dxa"/>
            <w:vAlign w:val="center"/>
          </w:tcPr>
          <w:p>
            <w:pPr>
              <w:pStyle w:val="14"/>
            </w:pPr>
            <w:r>
              <w:t>正常运转指标</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100</w:t>
            </w:r>
          </w:p>
        </w:tc>
        <w:tc>
          <w:tcPr>
            <w:tcW w:w="127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3、2024年医保局村级卫生网络费绩效目标表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13063024P000168100029</w:t>
            </w:r>
          </w:p>
        </w:tc>
        <w:tc>
          <w:tcPr>
            <w:tcW w:w="2835" w:type="dxa"/>
            <w:vAlign w:val="center"/>
          </w:tcPr>
          <w:p>
            <w:pPr>
              <w:pStyle w:val="12"/>
            </w:pPr>
            <w:r>
              <w:t>项目名称</w:t>
            </w:r>
          </w:p>
        </w:tc>
        <w:tc>
          <w:tcPr>
            <w:tcW w:w="6094" w:type="dxa"/>
            <w:gridSpan w:val="3"/>
            <w:vAlign w:val="center"/>
          </w:tcPr>
          <w:p>
            <w:pPr>
              <w:pStyle w:val="14"/>
            </w:pPr>
            <w:r>
              <w:t>2024年医保局村级卫生网络费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8.28</w:t>
            </w:r>
          </w:p>
        </w:tc>
        <w:tc>
          <w:tcPr>
            <w:tcW w:w="2835" w:type="dxa"/>
            <w:vAlign w:val="center"/>
          </w:tcPr>
          <w:p>
            <w:pPr>
              <w:pStyle w:val="12"/>
            </w:pPr>
            <w:r>
              <w:t>其中：财政    资金</w:t>
            </w:r>
          </w:p>
        </w:tc>
        <w:tc>
          <w:tcPr>
            <w:tcW w:w="2551" w:type="dxa"/>
            <w:vAlign w:val="center"/>
          </w:tcPr>
          <w:p>
            <w:pPr>
              <w:pStyle w:val="14"/>
            </w:pPr>
            <w:r>
              <w:t>8.28</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为进一步提升医疗保障服务质量，提高医疗保障资源使用效率和医疗保障水平,保证居民就近就医，让农村居民真正得到实惠，让村级卫生室有医保专网。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8.28</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1.目标内容1为进一步提升医疗保障服务质量，提高医疗保障资源使用效率和医疗保障水平,保证居民就近就医，让农村居民真正得到实惠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业务覆盖村级卫生室数量</w:t>
            </w:r>
          </w:p>
        </w:tc>
        <w:tc>
          <w:tcPr>
            <w:tcW w:w="5386" w:type="dxa"/>
            <w:vAlign w:val="center"/>
          </w:tcPr>
          <w:p>
            <w:pPr>
              <w:pStyle w:val="14"/>
            </w:pPr>
            <w:r>
              <w:t>医保报销支付系统</w:t>
            </w:r>
          </w:p>
        </w:tc>
        <w:tc>
          <w:tcPr>
            <w:tcW w:w="2268" w:type="dxa"/>
            <w:vAlign w:val="center"/>
          </w:tcPr>
          <w:p>
            <w:pPr>
              <w:pStyle w:val="14"/>
            </w:pPr>
            <w:r>
              <w:t>≥138</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系统正常运转率</w:t>
            </w:r>
          </w:p>
        </w:tc>
        <w:tc>
          <w:tcPr>
            <w:tcW w:w="5386" w:type="dxa"/>
            <w:vAlign w:val="center"/>
          </w:tcPr>
          <w:p>
            <w:pPr>
              <w:pStyle w:val="14"/>
            </w:pPr>
            <w:r>
              <w:t>保证乡级网络正常运转</w:t>
            </w:r>
          </w:p>
        </w:tc>
        <w:tc>
          <w:tcPr>
            <w:tcW w:w="2268" w:type="dxa"/>
            <w:vAlign w:val="center"/>
          </w:tcPr>
          <w:p>
            <w:pPr>
              <w:pStyle w:val="14"/>
            </w:pPr>
            <w:r>
              <w:t>138</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5386" w:type="dxa"/>
            <w:vAlign w:val="center"/>
          </w:tcPr>
          <w:p>
            <w:pPr>
              <w:pStyle w:val="14"/>
            </w:pPr>
            <w:r>
              <w:t>按时做好乡级医保参保登记变更、审批等业务经办工作</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5386" w:type="dxa"/>
            <w:vAlign w:val="center"/>
          </w:tcPr>
          <w:p>
            <w:pPr>
              <w:pStyle w:val="14"/>
            </w:pPr>
            <w:r>
              <w:t>实际支出金额/预算金额*100%</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5386" w:type="dxa"/>
            <w:vAlign w:val="center"/>
          </w:tcPr>
          <w:p>
            <w:pPr>
              <w:pStyle w:val="14"/>
            </w:pPr>
            <w:r>
              <w:t>经济效益指标</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工作效率提升</w:t>
            </w:r>
          </w:p>
        </w:tc>
        <w:tc>
          <w:tcPr>
            <w:tcW w:w="5386" w:type="dxa"/>
            <w:vAlign w:val="center"/>
          </w:tcPr>
          <w:p>
            <w:pPr>
              <w:pStyle w:val="14"/>
            </w:pPr>
            <w:r>
              <w:t>工作效率提升，方便城乡居民</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5386" w:type="dxa"/>
            <w:vAlign w:val="center"/>
          </w:tcPr>
          <w:p>
            <w:pPr>
              <w:pStyle w:val="14"/>
            </w:pPr>
            <w:r>
              <w:t>生态影响</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5386" w:type="dxa"/>
            <w:vAlign w:val="center"/>
          </w:tcPr>
          <w:p>
            <w:pPr>
              <w:pStyle w:val="14"/>
            </w:pPr>
            <w:r>
              <w:t>可持续性服务</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100</w:t>
            </w:r>
          </w:p>
        </w:tc>
        <w:tc>
          <w:tcPr>
            <w:tcW w:w="1276" w:type="dxa"/>
            <w:vAlign w:val="center"/>
          </w:tcPr>
          <w:p>
            <w:pPr>
              <w:pStyle w:val="14"/>
            </w:pPr>
            <w:r>
              <w:t>市级要求，工作计划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4、2024年医保局骨干网络建设维护费绩效目标表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13063024P00016410001Y</w:t>
            </w:r>
          </w:p>
        </w:tc>
        <w:tc>
          <w:tcPr>
            <w:tcW w:w="2835" w:type="dxa"/>
            <w:vAlign w:val="center"/>
          </w:tcPr>
          <w:p>
            <w:pPr>
              <w:pStyle w:val="12"/>
            </w:pPr>
            <w:r>
              <w:t>项目名称</w:t>
            </w:r>
          </w:p>
        </w:tc>
        <w:tc>
          <w:tcPr>
            <w:tcW w:w="6094" w:type="dxa"/>
            <w:gridSpan w:val="3"/>
            <w:vAlign w:val="center"/>
          </w:tcPr>
          <w:p>
            <w:pPr>
              <w:pStyle w:val="14"/>
            </w:pPr>
            <w:r>
              <w:t>2024年医保局骨干网络建设维护费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10.37</w:t>
            </w:r>
          </w:p>
        </w:tc>
        <w:tc>
          <w:tcPr>
            <w:tcW w:w="2835" w:type="dxa"/>
            <w:vAlign w:val="center"/>
          </w:tcPr>
          <w:p>
            <w:pPr>
              <w:pStyle w:val="12"/>
            </w:pPr>
            <w:r>
              <w:t>其中：财政    资金</w:t>
            </w:r>
          </w:p>
        </w:tc>
        <w:tc>
          <w:tcPr>
            <w:tcW w:w="2551" w:type="dxa"/>
            <w:vAlign w:val="center"/>
          </w:tcPr>
          <w:p>
            <w:pPr>
              <w:pStyle w:val="14"/>
            </w:pPr>
            <w:r>
              <w:t>10.37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全市医疗保障部门要进一步完善市、县医保核心业务骨干网络建设，纵向接入市、县、乡，做好乡级医保参保登记变更、审批等业务经办工作。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10.37</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1.目标内容1做好乡级医保参保登记变更、审批等业务经办工作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业务化覆盖业务种类</w:t>
            </w:r>
          </w:p>
        </w:tc>
        <w:tc>
          <w:tcPr>
            <w:tcW w:w="5386" w:type="dxa"/>
            <w:vAlign w:val="center"/>
          </w:tcPr>
          <w:p>
            <w:pPr>
              <w:pStyle w:val="14"/>
            </w:pPr>
            <w:r>
              <w:t>业务化覆盖业务种类</w:t>
            </w:r>
          </w:p>
        </w:tc>
        <w:tc>
          <w:tcPr>
            <w:tcW w:w="2268" w:type="dxa"/>
            <w:vAlign w:val="center"/>
          </w:tcPr>
          <w:p>
            <w:pPr>
              <w:pStyle w:val="14"/>
            </w:pPr>
            <w:r>
              <w:t>33项业务</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业务覆盖数量</w:t>
            </w:r>
          </w:p>
        </w:tc>
        <w:tc>
          <w:tcPr>
            <w:tcW w:w="5386" w:type="dxa"/>
            <w:vAlign w:val="center"/>
          </w:tcPr>
          <w:p>
            <w:pPr>
              <w:pStyle w:val="14"/>
            </w:pPr>
            <w:r>
              <w:t>业务覆盖各个乡镇数量</w:t>
            </w:r>
          </w:p>
        </w:tc>
        <w:tc>
          <w:tcPr>
            <w:tcW w:w="2268" w:type="dxa"/>
            <w:vAlign w:val="center"/>
          </w:tcPr>
          <w:p>
            <w:pPr>
              <w:pStyle w:val="14"/>
            </w:pPr>
            <w:r>
              <w:t>1717个乡镇</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系统正常运转率</w:t>
            </w:r>
          </w:p>
        </w:tc>
        <w:tc>
          <w:tcPr>
            <w:tcW w:w="5386" w:type="dxa"/>
            <w:vAlign w:val="center"/>
          </w:tcPr>
          <w:p>
            <w:pPr>
              <w:pStyle w:val="14"/>
            </w:pPr>
            <w:r>
              <w:t>保证乡级骨干网正常运转</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完成及时率</w:t>
            </w:r>
          </w:p>
        </w:tc>
        <w:tc>
          <w:tcPr>
            <w:tcW w:w="5386" w:type="dxa"/>
            <w:vAlign w:val="center"/>
          </w:tcPr>
          <w:p>
            <w:pPr>
              <w:pStyle w:val="14"/>
            </w:pPr>
            <w:r>
              <w:t>按时做好乡级医保参保登记变更、审批等业务经办工作</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5386" w:type="dxa"/>
            <w:vAlign w:val="center"/>
          </w:tcPr>
          <w:p>
            <w:pPr>
              <w:pStyle w:val="14"/>
            </w:pPr>
            <w:r>
              <w:t>成本利用率</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工作效率提升</w:t>
            </w:r>
          </w:p>
        </w:tc>
        <w:tc>
          <w:tcPr>
            <w:tcW w:w="5386" w:type="dxa"/>
            <w:vAlign w:val="center"/>
          </w:tcPr>
          <w:p>
            <w:pPr>
              <w:pStyle w:val="14"/>
            </w:pPr>
            <w:r>
              <w:t>工作效率提升</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5386" w:type="dxa"/>
            <w:vAlign w:val="center"/>
          </w:tcPr>
          <w:p>
            <w:pPr>
              <w:pStyle w:val="14"/>
            </w:pPr>
            <w:r>
              <w:t>无生态效益</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工作效率提升</w:t>
            </w:r>
          </w:p>
        </w:tc>
        <w:tc>
          <w:tcPr>
            <w:tcW w:w="5386" w:type="dxa"/>
            <w:vAlign w:val="center"/>
          </w:tcPr>
          <w:p>
            <w:pPr>
              <w:pStyle w:val="14"/>
            </w:pPr>
            <w:r>
              <w:t>工作效率提升，加快乡级医保参保登记变更、审批等业务经办工作</w:t>
            </w:r>
          </w:p>
        </w:tc>
        <w:tc>
          <w:tcPr>
            <w:tcW w:w="2268" w:type="dxa"/>
            <w:vAlign w:val="center"/>
          </w:tcPr>
          <w:p>
            <w:pPr>
              <w:pStyle w:val="14"/>
            </w:pPr>
            <w:r>
              <w:t>100</w:t>
            </w:r>
          </w:p>
        </w:tc>
        <w:tc>
          <w:tcPr>
            <w:tcW w:w="1276" w:type="dxa"/>
            <w:vAlign w:val="center"/>
          </w:tcPr>
          <w:p>
            <w:pPr>
              <w:pStyle w:val="14"/>
            </w:pPr>
            <w:r>
              <w:t>市级要求，工作计划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100</w:t>
            </w:r>
          </w:p>
        </w:tc>
        <w:tc>
          <w:tcPr>
            <w:tcW w:w="1276" w:type="dxa"/>
            <w:vAlign w:val="center"/>
          </w:tcPr>
          <w:p>
            <w:pPr>
              <w:pStyle w:val="14"/>
            </w:pPr>
            <w:r>
              <w:t>市级要求，工作计划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5、2024年医保局医保软件维护及局域网服务费绩效目标表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13063024P000159100014</w:t>
            </w:r>
          </w:p>
        </w:tc>
        <w:tc>
          <w:tcPr>
            <w:tcW w:w="2835" w:type="dxa"/>
            <w:vAlign w:val="center"/>
          </w:tcPr>
          <w:p>
            <w:pPr>
              <w:pStyle w:val="12"/>
            </w:pPr>
            <w:r>
              <w:t>项目名称</w:t>
            </w:r>
          </w:p>
        </w:tc>
        <w:tc>
          <w:tcPr>
            <w:tcW w:w="6094" w:type="dxa"/>
            <w:gridSpan w:val="3"/>
            <w:vAlign w:val="center"/>
          </w:tcPr>
          <w:p>
            <w:pPr>
              <w:pStyle w:val="14"/>
            </w:pPr>
            <w:r>
              <w:t>2024年医保局医保软件维护及局域网服务费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深化医疗保障制度改革，切实提高医疗保障能力和服务水平，保证信息化系统高效运行，实现医保证医保信息系统顺利运行，实现医疗保障系统经办服务的信息化、数字化、精细化、智能化，为人民群众提供优质、高效、便捷的服务。</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10.00</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1.目标内容1保障单位信息化及网络正常运行，切实提高医疗保障能力和服务水平。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硬件维护数量</w:t>
            </w:r>
          </w:p>
        </w:tc>
        <w:tc>
          <w:tcPr>
            <w:tcW w:w="5386" w:type="dxa"/>
            <w:vAlign w:val="center"/>
          </w:tcPr>
          <w:p>
            <w:pPr>
              <w:pStyle w:val="14"/>
            </w:pPr>
            <w:r>
              <w:t>硬件维护数量</w:t>
            </w:r>
          </w:p>
        </w:tc>
        <w:tc>
          <w:tcPr>
            <w:tcW w:w="2268" w:type="dxa"/>
            <w:vAlign w:val="center"/>
          </w:tcPr>
          <w:p>
            <w:pPr>
              <w:pStyle w:val="14"/>
            </w:pPr>
            <w:r>
              <w:t>≥30数量</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网络覆盖率</w:t>
            </w:r>
          </w:p>
        </w:tc>
        <w:tc>
          <w:tcPr>
            <w:tcW w:w="5386" w:type="dxa"/>
            <w:vAlign w:val="center"/>
          </w:tcPr>
          <w:p>
            <w:pPr>
              <w:pStyle w:val="14"/>
            </w:pPr>
            <w:r>
              <w:t>单位业务用网覆盖率</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故障维护及时率</w:t>
            </w:r>
          </w:p>
        </w:tc>
        <w:tc>
          <w:tcPr>
            <w:tcW w:w="5386" w:type="dxa"/>
            <w:vAlign w:val="center"/>
          </w:tcPr>
          <w:p>
            <w:pPr>
              <w:pStyle w:val="14"/>
            </w:pPr>
            <w:r>
              <w:t>及时维护的故障数量占总故障数量的比率</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5386" w:type="dxa"/>
            <w:vAlign w:val="center"/>
          </w:tcPr>
          <w:p>
            <w:pPr>
              <w:pStyle w:val="14"/>
            </w:pPr>
            <w:r>
              <w:t>实际支出/预算数*100%</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5386" w:type="dxa"/>
            <w:vAlign w:val="center"/>
          </w:tcPr>
          <w:p>
            <w:pPr>
              <w:pStyle w:val="14"/>
            </w:pPr>
            <w:r>
              <w:t>成本利用率</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工作效率提升</w:t>
            </w:r>
          </w:p>
        </w:tc>
        <w:tc>
          <w:tcPr>
            <w:tcW w:w="5386" w:type="dxa"/>
            <w:vAlign w:val="center"/>
          </w:tcPr>
          <w:p>
            <w:pPr>
              <w:pStyle w:val="14"/>
            </w:pPr>
            <w:r>
              <w:t>提升工作效率情况，实现医疗保障系统经办服务的信息化、数字化、精细化、智能化，为人民群众提供优质、高效、便捷的服务</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5386" w:type="dxa"/>
            <w:vAlign w:val="center"/>
          </w:tcPr>
          <w:p>
            <w:pPr>
              <w:pStyle w:val="14"/>
            </w:pPr>
            <w:r>
              <w:t>无生态效益</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5386" w:type="dxa"/>
            <w:vAlign w:val="center"/>
          </w:tcPr>
          <w:p>
            <w:pPr>
              <w:pStyle w:val="14"/>
            </w:pPr>
            <w:r>
              <w:t>提升公共服务水平和质量</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100</w:t>
            </w:r>
          </w:p>
        </w:tc>
        <w:tc>
          <w:tcPr>
            <w:tcW w:w="127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6、[13063023X000029996055]2024年劳务费绩效目标表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13063023P00605510001N</w:t>
            </w:r>
          </w:p>
        </w:tc>
        <w:tc>
          <w:tcPr>
            <w:tcW w:w="2835" w:type="dxa"/>
            <w:vAlign w:val="center"/>
          </w:tcPr>
          <w:p>
            <w:pPr>
              <w:pStyle w:val="12"/>
            </w:pPr>
            <w:r>
              <w:t>项目名称</w:t>
            </w:r>
          </w:p>
        </w:tc>
        <w:tc>
          <w:tcPr>
            <w:tcW w:w="6094" w:type="dxa"/>
            <w:gridSpan w:val="3"/>
            <w:vAlign w:val="center"/>
          </w:tcPr>
          <w:p>
            <w:pPr>
              <w:pStyle w:val="14"/>
            </w:pPr>
            <w:r>
              <w:t>[13063023X000029996055]2024年劳务费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单位劳务派遣人员和门卫工资及保险</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3.75</w:t>
            </w:r>
          </w:p>
        </w:tc>
        <w:tc>
          <w:tcPr>
            <w:tcW w:w="2835" w:type="dxa"/>
            <w:vAlign w:val="center"/>
          </w:tcPr>
          <w:p>
            <w:pPr>
              <w:pStyle w:val="15"/>
            </w:pPr>
            <w:r>
              <w:t>3.75</w:t>
            </w:r>
          </w:p>
        </w:tc>
        <w:tc>
          <w:tcPr>
            <w:tcW w:w="2551" w:type="dxa"/>
            <w:vAlign w:val="center"/>
          </w:tcPr>
          <w:p>
            <w:pPr>
              <w:pStyle w:val="15"/>
            </w:pPr>
            <w:r>
              <w:t>3.75</w:t>
            </w:r>
          </w:p>
        </w:tc>
        <w:tc>
          <w:tcPr>
            <w:tcW w:w="3543" w:type="dxa"/>
            <w:gridSpan w:val="2"/>
            <w:vAlign w:val="center"/>
          </w:tcPr>
          <w:p>
            <w:pPr>
              <w:pStyle w:val="15"/>
            </w:pPr>
            <w:r>
              <w:t>3.75</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人数</w:t>
            </w:r>
          </w:p>
        </w:tc>
        <w:tc>
          <w:tcPr>
            <w:tcW w:w="5386" w:type="dxa"/>
            <w:vAlign w:val="center"/>
          </w:tcPr>
          <w:p>
            <w:pPr>
              <w:pStyle w:val="14"/>
            </w:pPr>
            <w:r>
              <w:t>劳务派遣人数</w:t>
            </w:r>
          </w:p>
        </w:tc>
        <w:tc>
          <w:tcPr>
            <w:tcW w:w="2268" w:type="dxa"/>
            <w:vAlign w:val="center"/>
          </w:tcPr>
          <w:p>
            <w:pPr>
              <w:pStyle w:val="14"/>
            </w:pPr>
            <w:r>
              <w:t>44人</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毕业生就业率（%）</w:t>
            </w:r>
          </w:p>
        </w:tc>
        <w:tc>
          <w:tcPr>
            <w:tcW w:w="5386" w:type="dxa"/>
            <w:vAlign w:val="center"/>
          </w:tcPr>
          <w:p>
            <w:pPr>
              <w:pStyle w:val="14"/>
            </w:pPr>
            <w:r>
              <w:t>毕业生就业率（%）</w:t>
            </w:r>
          </w:p>
        </w:tc>
        <w:tc>
          <w:tcPr>
            <w:tcW w:w="2268" w:type="dxa"/>
            <w:vAlign w:val="center"/>
          </w:tcPr>
          <w:p>
            <w:pPr>
              <w:pStyle w:val="14"/>
            </w:pPr>
            <w:r>
              <w:t>≥100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5386" w:type="dxa"/>
            <w:vAlign w:val="center"/>
          </w:tcPr>
          <w:p>
            <w:pPr>
              <w:pStyle w:val="14"/>
            </w:pPr>
            <w:r>
              <w:t>及时率</w:t>
            </w:r>
          </w:p>
        </w:tc>
        <w:tc>
          <w:tcPr>
            <w:tcW w:w="2268" w:type="dxa"/>
            <w:vAlign w:val="center"/>
          </w:tcPr>
          <w:p>
            <w:pPr>
              <w:pStyle w:val="14"/>
            </w:pPr>
            <w:r>
              <w:t>100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5386" w:type="dxa"/>
            <w:vAlign w:val="center"/>
          </w:tcPr>
          <w:p>
            <w:pPr>
              <w:pStyle w:val="14"/>
            </w:pPr>
            <w:r>
              <w:t>成本控制</w:t>
            </w:r>
          </w:p>
        </w:tc>
        <w:tc>
          <w:tcPr>
            <w:tcW w:w="2268" w:type="dxa"/>
            <w:vAlign w:val="center"/>
          </w:tcPr>
          <w:p>
            <w:pPr>
              <w:pStyle w:val="14"/>
            </w:pPr>
            <w:r>
              <w:t>≥95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5386" w:type="dxa"/>
            <w:vAlign w:val="center"/>
          </w:tcPr>
          <w:p>
            <w:pPr>
              <w:pStyle w:val="14"/>
            </w:pPr>
            <w:r>
              <w:t>成本节约</w:t>
            </w:r>
          </w:p>
        </w:tc>
        <w:tc>
          <w:tcPr>
            <w:tcW w:w="2268" w:type="dxa"/>
            <w:vAlign w:val="center"/>
          </w:tcPr>
          <w:p>
            <w:pPr>
              <w:pStyle w:val="14"/>
            </w:pPr>
            <w:r>
              <w:t>≥95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5386" w:type="dxa"/>
            <w:vAlign w:val="center"/>
          </w:tcPr>
          <w:p>
            <w:pPr>
              <w:pStyle w:val="14"/>
            </w:pPr>
            <w:r>
              <w:t>社会效益显著</w:t>
            </w:r>
          </w:p>
        </w:tc>
        <w:tc>
          <w:tcPr>
            <w:tcW w:w="2268" w:type="dxa"/>
            <w:vAlign w:val="center"/>
          </w:tcPr>
          <w:p>
            <w:pPr>
              <w:pStyle w:val="14"/>
            </w:pPr>
            <w:r>
              <w:t>≥95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无生态效益</w:t>
            </w:r>
          </w:p>
        </w:tc>
        <w:tc>
          <w:tcPr>
            <w:tcW w:w="5386" w:type="dxa"/>
            <w:vAlign w:val="center"/>
          </w:tcPr>
          <w:p>
            <w:pPr>
              <w:pStyle w:val="14"/>
            </w:pPr>
            <w:r>
              <w:t>无</w:t>
            </w:r>
          </w:p>
        </w:tc>
        <w:tc>
          <w:tcPr>
            <w:tcW w:w="2268" w:type="dxa"/>
            <w:vAlign w:val="center"/>
          </w:tcPr>
          <w:p>
            <w:pPr>
              <w:pStyle w:val="14"/>
            </w:pPr>
            <w:r>
              <w:t>≥95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提高工作效率</w:t>
            </w:r>
          </w:p>
        </w:tc>
        <w:tc>
          <w:tcPr>
            <w:tcW w:w="5386" w:type="dxa"/>
            <w:vAlign w:val="center"/>
          </w:tcPr>
          <w:p>
            <w:pPr>
              <w:pStyle w:val="14"/>
            </w:pPr>
            <w:r>
              <w:t>提高工作效率</w:t>
            </w:r>
          </w:p>
        </w:tc>
        <w:tc>
          <w:tcPr>
            <w:tcW w:w="2268" w:type="dxa"/>
            <w:vAlign w:val="center"/>
          </w:tcPr>
          <w:p>
            <w:pPr>
              <w:pStyle w:val="14"/>
            </w:pPr>
            <w:r>
              <w:t>≥95</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5386" w:type="dxa"/>
            <w:vAlign w:val="center"/>
          </w:tcPr>
          <w:p>
            <w:pPr>
              <w:pStyle w:val="14"/>
            </w:pPr>
            <w:r>
              <w:t>社会公众满意度（%）</w:t>
            </w:r>
          </w:p>
        </w:tc>
        <w:tc>
          <w:tcPr>
            <w:tcW w:w="2268" w:type="dxa"/>
            <w:vAlign w:val="center"/>
          </w:tcPr>
          <w:p>
            <w:pPr>
              <w:pStyle w:val="14"/>
            </w:pPr>
            <w:r>
              <w:t>≥95</w:t>
            </w:r>
          </w:p>
        </w:tc>
        <w:tc>
          <w:tcPr>
            <w:tcW w:w="1276"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7、]冀财社[2023]225号 关于提前下达2024年省级财政城乡居民社会保险代办员补助资金的通知（医保）绩效目标表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13063024P00053610001K</w:t>
            </w:r>
          </w:p>
        </w:tc>
        <w:tc>
          <w:tcPr>
            <w:tcW w:w="2835" w:type="dxa"/>
            <w:vAlign w:val="center"/>
          </w:tcPr>
          <w:p>
            <w:pPr>
              <w:pStyle w:val="12"/>
            </w:pPr>
            <w:r>
              <w:t>项目名称</w:t>
            </w:r>
          </w:p>
        </w:tc>
        <w:tc>
          <w:tcPr>
            <w:tcW w:w="6094" w:type="dxa"/>
            <w:gridSpan w:val="3"/>
            <w:vAlign w:val="center"/>
          </w:tcPr>
          <w:p>
            <w:pPr>
              <w:pStyle w:val="14"/>
            </w:pPr>
            <w:r>
              <w:t>]冀财社[2023]225号 关于提前下达2024年省级财政城乡居民社会保险代办员补助资金的通知（医保）</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支持基本医疗保险全民参保</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3.00</w:t>
            </w:r>
          </w:p>
        </w:tc>
        <w:tc>
          <w:tcPr>
            <w:tcW w:w="3543" w:type="dxa"/>
            <w:gridSpan w:val="2"/>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5386" w:type="dxa"/>
            <w:vAlign w:val="center"/>
          </w:tcPr>
          <w:p>
            <w:pPr>
              <w:pStyle w:val="14"/>
            </w:pPr>
            <w:r>
              <w:t>完成率</w:t>
            </w:r>
          </w:p>
        </w:tc>
        <w:tc>
          <w:tcPr>
            <w:tcW w:w="2268" w:type="dxa"/>
            <w:vAlign w:val="center"/>
          </w:tcPr>
          <w:p>
            <w:pPr>
              <w:pStyle w:val="14"/>
            </w:pPr>
            <w:r>
              <w:t>100</w:t>
            </w:r>
          </w:p>
        </w:tc>
        <w:tc>
          <w:tcPr>
            <w:tcW w:w="1276" w:type="dxa"/>
            <w:vAlign w:val="center"/>
          </w:tcPr>
          <w:p>
            <w:pPr>
              <w:pStyle w:val="14"/>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专款专用率</w:t>
            </w:r>
          </w:p>
        </w:tc>
        <w:tc>
          <w:tcPr>
            <w:tcW w:w="5386" w:type="dxa"/>
            <w:vAlign w:val="center"/>
          </w:tcPr>
          <w:p>
            <w:pPr>
              <w:pStyle w:val="14"/>
            </w:pPr>
            <w:r>
              <w:t>专款专用率</w:t>
            </w:r>
          </w:p>
        </w:tc>
        <w:tc>
          <w:tcPr>
            <w:tcW w:w="2268" w:type="dxa"/>
            <w:vAlign w:val="center"/>
          </w:tcPr>
          <w:p>
            <w:pPr>
              <w:pStyle w:val="14"/>
            </w:pPr>
            <w:r>
              <w:t>100</w:t>
            </w:r>
          </w:p>
        </w:tc>
        <w:tc>
          <w:tcPr>
            <w:tcW w:w="1276" w:type="dxa"/>
            <w:vAlign w:val="center"/>
          </w:tcPr>
          <w:p>
            <w:pPr>
              <w:pStyle w:val="14"/>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按时支出</w:t>
            </w:r>
          </w:p>
        </w:tc>
        <w:tc>
          <w:tcPr>
            <w:tcW w:w="5386" w:type="dxa"/>
            <w:vAlign w:val="center"/>
          </w:tcPr>
          <w:p>
            <w:pPr>
              <w:pStyle w:val="14"/>
            </w:pPr>
            <w:r>
              <w:t>按时支出</w:t>
            </w:r>
          </w:p>
        </w:tc>
        <w:tc>
          <w:tcPr>
            <w:tcW w:w="2268" w:type="dxa"/>
            <w:vAlign w:val="center"/>
          </w:tcPr>
          <w:p>
            <w:pPr>
              <w:pStyle w:val="14"/>
            </w:pPr>
            <w:r>
              <w:t>100</w:t>
            </w:r>
          </w:p>
        </w:tc>
        <w:tc>
          <w:tcPr>
            <w:tcW w:w="1276" w:type="dxa"/>
            <w:vAlign w:val="center"/>
          </w:tcPr>
          <w:p>
            <w:pPr>
              <w:pStyle w:val="14"/>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w:t>
            </w:r>
          </w:p>
        </w:tc>
        <w:tc>
          <w:tcPr>
            <w:tcW w:w="5386" w:type="dxa"/>
            <w:vAlign w:val="center"/>
          </w:tcPr>
          <w:p>
            <w:pPr>
              <w:pStyle w:val="14"/>
            </w:pPr>
            <w:r>
              <w:t>完成年度预算资金安排</w:t>
            </w:r>
          </w:p>
        </w:tc>
        <w:tc>
          <w:tcPr>
            <w:tcW w:w="2268" w:type="dxa"/>
            <w:vAlign w:val="center"/>
          </w:tcPr>
          <w:p>
            <w:pPr>
              <w:pStyle w:val="14"/>
            </w:pPr>
            <w:r>
              <w:t>100</w:t>
            </w:r>
          </w:p>
        </w:tc>
        <w:tc>
          <w:tcPr>
            <w:tcW w:w="1276" w:type="dxa"/>
            <w:vAlign w:val="center"/>
          </w:tcPr>
          <w:p>
            <w:pPr>
              <w:pStyle w:val="14"/>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5386" w:type="dxa"/>
            <w:vAlign w:val="center"/>
          </w:tcPr>
          <w:p>
            <w:pPr>
              <w:pStyle w:val="14"/>
            </w:pPr>
            <w:r>
              <w:t>成本利用率</w:t>
            </w:r>
          </w:p>
        </w:tc>
        <w:tc>
          <w:tcPr>
            <w:tcW w:w="2268" w:type="dxa"/>
            <w:vAlign w:val="center"/>
          </w:tcPr>
          <w:p>
            <w:pPr>
              <w:pStyle w:val="14"/>
            </w:pPr>
            <w:r>
              <w:t>100</w:t>
            </w:r>
          </w:p>
        </w:tc>
        <w:tc>
          <w:tcPr>
            <w:tcW w:w="1276" w:type="dxa"/>
            <w:vAlign w:val="center"/>
          </w:tcPr>
          <w:p>
            <w:pPr>
              <w:pStyle w:val="14"/>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5386" w:type="dxa"/>
            <w:vAlign w:val="center"/>
          </w:tcPr>
          <w:p>
            <w:pPr>
              <w:pStyle w:val="14"/>
            </w:pPr>
            <w:r>
              <w:t>社会效益显著</w:t>
            </w:r>
          </w:p>
        </w:tc>
        <w:tc>
          <w:tcPr>
            <w:tcW w:w="2268" w:type="dxa"/>
            <w:vAlign w:val="center"/>
          </w:tcPr>
          <w:p>
            <w:pPr>
              <w:pStyle w:val="14"/>
            </w:pPr>
            <w:r>
              <w:t>100</w:t>
            </w:r>
          </w:p>
        </w:tc>
        <w:tc>
          <w:tcPr>
            <w:tcW w:w="1276" w:type="dxa"/>
            <w:vAlign w:val="center"/>
          </w:tcPr>
          <w:p>
            <w:pPr>
              <w:pStyle w:val="14"/>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5386" w:type="dxa"/>
            <w:vAlign w:val="center"/>
          </w:tcPr>
          <w:p>
            <w:pPr>
              <w:pStyle w:val="14"/>
            </w:pPr>
            <w:r>
              <w:t>生态影响</w:t>
            </w:r>
          </w:p>
        </w:tc>
        <w:tc>
          <w:tcPr>
            <w:tcW w:w="2268" w:type="dxa"/>
            <w:vAlign w:val="center"/>
          </w:tcPr>
          <w:p>
            <w:pPr>
              <w:pStyle w:val="14"/>
            </w:pPr>
            <w:r>
              <w:t>100</w:t>
            </w:r>
          </w:p>
        </w:tc>
        <w:tc>
          <w:tcPr>
            <w:tcW w:w="1276" w:type="dxa"/>
            <w:vAlign w:val="center"/>
          </w:tcPr>
          <w:p>
            <w:pPr>
              <w:pStyle w:val="14"/>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5386" w:type="dxa"/>
            <w:vAlign w:val="center"/>
          </w:tcPr>
          <w:p>
            <w:pPr>
              <w:pStyle w:val="14"/>
            </w:pPr>
            <w:r>
              <w:t>可持续性服务</w:t>
            </w:r>
          </w:p>
        </w:tc>
        <w:tc>
          <w:tcPr>
            <w:tcW w:w="2268" w:type="dxa"/>
            <w:vAlign w:val="center"/>
          </w:tcPr>
          <w:p>
            <w:pPr>
              <w:pStyle w:val="14"/>
            </w:pPr>
            <w:r>
              <w:t>100</w:t>
            </w:r>
          </w:p>
        </w:tc>
        <w:tc>
          <w:tcPr>
            <w:tcW w:w="1276" w:type="dxa"/>
            <w:vAlign w:val="center"/>
          </w:tcPr>
          <w:p>
            <w:pPr>
              <w:pStyle w:val="14"/>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工作人员满意度</w:t>
            </w:r>
          </w:p>
        </w:tc>
        <w:tc>
          <w:tcPr>
            <w:tcW w:w="2268" w:type="dxa"/>
            <w:vAlign w:val="center"/>
          </w:tcPr>
          <w:p>
            <w:pPr>
              <w:pStyle w:val="14"/>
            </w:pPr>
            <w:r>
              <w:t>100</w:t>
            </w:r>
          </w:p>
        </w:tc>
        <w:tc>
          <w:tcPr>
            <w:tcW w:w="1276" w:type="dxa"/>
            <w:vAlign w:val="center"/>
          </w:tcPr>
          <w:p>
            <w:pPr>
              <w:pStyle w:val="14"/>
            </w:pPr>
            <w:r>
              <w:t>冀财社{2023}225号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8、冀财社（2023）208号关于提前下达2024年中央财政医疗服务与保障能力补助资金预算的通知绩效目标表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13063024P00056710001Y</w:t>
            </w:r>
          </w:p>
        </w:tc>
        <w:tc>
          <w:tcPr>
            <w:tcW w:w="2835" w:type="dxa"/>
            <w:vAlign w:val="center"/>
          </w:tcPr>
          <w:p>
            <w:pPr>
              <w:pStyle w:val="12"/>
            </w:pPr>
            <w:r>
              <w:t>项目名称</w:t>
            </w:r>
          </w:p>
        </w:tc>
        <w:tc>
          <w:tcPr>
            <w:tcW w:w="6094" w:type="dxa"/>
            <w:gridSpan w:val="3"/>
            <w:vAlign w:val="center"/>
          </w:tcPr>
          <w:p>
            <w:pPr>
              <w:pStyle w:val="14"/>
            </w:pPr>
            <w:r>
              <w:t>冀财社（2023）208号关于提前下达2024年中央财政医疗服务与保障能力补助资金预算的通知</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28.00</w:t>
            </w:r>
          </w:p>
        </w:tc>
        <w:tc>
          <w:tcPr>
            <w:tcW w:w="2835" w:type="dxa"/>
            <w:vAlign w:val="center"/>
          </w:tcPr>
          <w:p>
            <w:pPr>
              <w:pStyle w:val="12"/>
            </w:pPr>
            <w:r>
              <w:t>其中：财政    资金</w:t>
            </w:r>
          </w:p>
        </w:tc>
        <w:tc>
          <w:tcPr>
            <w:tcW w:w="2551" w:type="dxa"/>
            <w:vAlign w:val="center"/>
          </w:tcPr>
          <w:p>
            <w:pPr>
              <w:pStyle w:val="14"/>
            </w:pPr>
            <w:r>
              <w:t>28.00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提升医保服务水平</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14.00</w:t>
            </w:r>
          </w:p>
        </w:tc>
        <w:tc>
          <w:tcPr>
            <w:tcW w:w="2551" w:type="dxa"/>
            <w:vAlign w:val="center"/>
          </w:tcPr>
          <w:p>
            <w:pPr>
              <w:pStyle w:val="15"/>
            </w:pPr>
            <w:r>
              <w:t xml:space="preserve"> </w:t>
            </w:r>
          </w:p>
        </w:tc>
        <w:tc>
          <w:tcPr>
            <w:tcW w:w="3543" w:type="dxa"/>
            <w:gridSpan w:val="2"/>
            <w:vAlign w:val="center"/>
          </w:tcPr>
          <w:p>
            <w:pPr>
              <w:pStyle w:val="15"/>
            </w:pPr>
            <w:r>
              <w:t>14.00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基金监管宣传覆盖人数</w:t>
            </w:r>
          </w:p>
        </w:tc>
        <w:tc>
          <w:tcPr>
            <w:tcW w:w="5386" w:type="dxa"/>
            <w:vAlign w:val="center"/>
          </w:tcPr>
          <w:p>
            <w:pPr>
              <w:pStyle w:val="14"/>
            </w:pPr>
            <w:r>
              <w:t>基金监管宣传覆盖人数</w:t>
            </w:r>
          </w:p>
        </w:tc>
        <w:tc>
          <w:tcPr>
            <w:tcW w:w="2268" w:type="dxa"/>
            <w:vAlign w:val="center"/>
          </w:tcPr>
          <w:p>
            <w:pPr>
              <w:pStyle w:val="14"/>
            </w:pPr>
            <w:r>
              <w:t>100</w:t>
            </w:r>
          </w:p>
        </w:tc>
        <w:tc>
          <w:tcPr>
            <w:tcW w:w="1276" w:type="dxa"/>
            <w:vAlign w:val="center"/>
          </w:tcPr>
          <w:p>
            <w:pPr>
              <w:pStyle w:val="14"/>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100</w:t>
            </w:r>
          </w:p>
        </w:tc>
        <w:tc>
          <w:tcPr>
            <w:tcW w:w="1276" w:type="dxa"/>
            <w:vAlign w:val="center"/>
          </w:tcPr>
          <w:p>
            <w:pPr>
              <w:pStyle w:val="14"/>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完成时间</w:t>
            </w:r>
          </w:p>
        </w:tc>
        <w:tc>
          <w:tcPr>
            <w:tcW w:w="2268" w:type="dxa"/>
            <w:vAlign w:val="center"/>
          </w:tcPr>
          <w:p>
            <w:pPr>
              <w:pStyle w:val="14"/>
            </w:pPr>
            <w:r>
              <w:t>100</w:t>
            </w:r>
          </w:p>
        </w:tc>
        <w:tc>
          <w:tcPr>
            <w:tcW w:w="1276" w:type="dxa"/>
            <w:vAlign w:val="center"/>
          </w:tcPr>
          <w:p>
            <w:pPr>
              <w:pStyle w:val="14"/>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w:t>
            </w:r>
          </w:p>
        </w:tc>
        <w:tc>
          <w:tcPr>
            <w:tcW w:w="5386" w:type="dxa"/>
            <w:vAlign w:val="center"/>
          </w:tcPr>
          <w:p>
            <w:pPr>
              <w:pStyle w:val="14"/>
            </w:pPr>
            <w:r>
              <w:t>完成年度预算资金安排</w:t>
            </w:r>
          </w:p>
        </w:tc>
        <w:tc>
          <w:tcPr>
            <w:tcW w:w="2268" w:type="dxa"/>
            <w:vAlign w:val="center"/>
          </w:tcPr>
          <w:p>
            <w:pPr>
              <w:pStyle w:val="14"/>
            </w:pPr>
            <w:r>
              <w:t>100</w:t>
            </w:r>
          </w:p>
        </w:tc>
        <w:tc>
          <w:tcPr>
            <w:tcW w:w="1276" w:type="dxa"/>
            <w:vAlign w:val="center"/>
          </w:tcPr>
          <w:p>
            <w:pPr>
              <w:pStyle w:val="14"/>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5386" w:type="dxa"/>
            <w:vAlign w:val="center"/>
          </w:tcPr>
          <w:p>
            <w:pPr>
              <w:pStyle w:val="14"/>
            </w:pPr>
            <w:r>
              <w:t>成本利用率</w:t>
            </w:r>
          </w:p>
        </w:tc>
        <w:tc>
          <w:tcPr>
            <w:tcW w:w="2268" w:type="dxa"/>
            <w:vAlign w:val="center"/>
          </w:tcPr>
          <w:p>
            <w:pPr>
              <w:pStyle w:val="14"/>
            </w:pPr>
            <w:r>
              <w:t>100</w:t>
            </w:r>
          </w:p>
        </w:tc>
        <w:tc>
          <w:tcPr>
            <w:tcW w:w="1276" w:type="dxa"/>
            <w:vAlign w:val="center"/>
          </w:tcPr>
          <w:p>
            <w:pPr>
              <w:pStyle w:val="14"/>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监管覆盖率</w:t>
            </w:r>
          </w:p>
        </w:tc>
        <w:tc>
          <w:tcPr>
            <w:tcW w:w="5386" w:type="dxa"/>
            <w:vAlign w:val="center"/>
          </w:tcPr>
          <w:p>
            <w:pPr>
              <w:pStyle w:val="14"/>
            </w:pPr>
            <w:r>
              <w:t>监管覆盖率</w:t>
            </w:r>
          </w:p>
        </w:tc>
        <w:tc>
          <w:tcPr>
            <w:tcW w:w="2268" w:type="dxa"/>
            <w:vAlign w:val="center"/>
          </w:tcPr>
          <w:p>
            <w:pPr>
              <w:pStyle w:val="14"/>
            </w:pPr>
            <w:r>
              <w:t>100</w:t>
            </w:r>
          </w:p>
        </w:tc>
        <w:tc>
          <w:tcPr>
            <w:tcW w:w="1276" w:type="dxa"/>
            <w:vAlign w:val="center"/>
          </w:tcPr>
          <w:p>
            <w:pPr>
              <w:pStyle w:val="14"/>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无生态效益</w:t>
            </w:r>
          </w:p>
        </w:tc>
        <w:tc>
          <w:tcPr>
            <w:tcW w:w="5386" w:type="dxa"/>
            <w:vAlign w:val="center"/>
          </w:tcPr>
          <w:p>
            <w:pPr>
              <w:pStyle w:val="14"/>
            </w:pPr>
            <w:r>
              <w:t>无生态效益</w:t>
            </w:r>
          </w:p>
        </w:tc>
        <w:tc>
          <w:tcPr>
            <w:tcW w:w="2268" w:type="dxa"/>
            <w:vAlign w:val="center"/>
          </w:tcPr>
          <w:p>
            <w:pPr>
              <w:pStyle w:val="14"/>
            </w:pPr>
            <w:r>
              <w:t>100</w:t>
            </w:r>
          </w:p>
        </w:tc>
        <w:tc>
          <w:tcPr>
            <w:tcW w:w="1276" w:type="dxa"/>
            <w:vAlign w:val="center"/>
          </w:tcPr>
          <w:p>
            <w:pPr>
              <w:pStyle w:val="14"/>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服务质量提升</w:t>
            </w:r>
          </w:p>
        </w:tc>
        <w:tc>
          <w:tcPr>
            <w:tcW w:w="5386" w:type="dxa"/>
            <w:vAlign w:val="center"/>
          </w:tcPr>
          <w:p>
            <w:pPr>
              <w:pStyle w:val="14"/>
            </w:pPr>
            <w:r>
              <w:t>服务质量提升</w:t>
            </w:r>
          </w:p>
        </w:tc>
        <w:tc>
          <w:tcPr>
            <w:tcW w:w="2268" w:type="dxa"/>
            <w:vAlign w:val="center"/>
          </w:tcPr>
          <w:p>
            <w:pPr>
              <w:pStyle w:val="14"/>
            </w:pPr>
            <w:r>
              <w:t>100</w:t>
            </w:r>
          </w:p>
        </w:tc>
        <w:tc>
          <w:tcPr>
            <w:tcW w:w="1276" w:type="dxa"/>
            <w:vAlign w:val="center"/>
          </w:tcPr>
          <w:p>
            <w:pPr>
              <w:pStyle w:val="14"/>
            </w:pPr>
            <w:r>
              <w:t>冀财社【2023】208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100</w:t>
            </w:r>
          </w:p>
        </w:tc>
        <w:tc>
          <w:tcPr>
            <w:tcW w:w="1276" w:type="dxa"/>
            <w:vAlign w:val="center"/>
          </w:tcPr>
          <w:p>
            <w:pPr>
              <w:pStyle w:val="14"/>
            </w:pPr>
            <w:r>
              <w:t>冀财社【2023】208</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806涞源县医疗保障局</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涞源县医疗保障局（含所属单位）上年末固定资产金额为107.96万元（详见下表）。本年度拟购置固定资产总额为0.00万元，已按要求列入政府采购预算，详见政府采购预算表。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806涞源县医疗保障局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544</w:t>
            </w:r>
          </w:p>
        </w:tc>
        <w:tc>
          <w:tcPr>
            <w:tcW w:w="2835" w:type="dxa"/>
            <w:vAlign w:val="center"/>
          </w:tcPr>
          <w:p>
            <w:pPr>
              <w:pStyle w:val="13"/>
            </w:pPr>
            <w:r>
              <w:t>92.93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84AA1"/>
    <w:multiLevelType w:val="singleLevel"/>
    <w:tmpl w:val="0DF84AA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E1ZmU2YzMzMDFmOGI1NmVlOGZkNTI0OGY0NDE2N2QifQ=="/>
  </w:docVars>
  <w:rsids>
    <w:rsidRoot w:val="00000000"/>
    <w:rsid w:val="0F07030F"/>
    <w:rsid w:val="10FF7000"/>
    <w:rsid w:val="1C24274C"/>
    <w:rsid w:val="1EF81C6E"/>
    <w:rsid w:val="1F0A255D"/>
    <w:rsid w:val="2BB64B06"/>
    <w:rsid w:val="30431249"/>
    <w:rsid w:val="35026F4B"/>
    <w:rsid w:val="352944D8"/>
    <w:rsid w:val="4783216D"/>
    <w:rsid w:val="4BD361C6"/>
    <w:rsid w:val="5069615D"/>
    <w:rsid w:val="58A106A5"/>
    <w:rsid w:val="58D2260D"/>
    <w:rsid w:val="5CC22998"/>
    <w:rsid w:val="5F5275BE"/>
    <w:rsid w:val="67150155"/>
    <w:rsid w:val="6A435D2F"/>
    <w:rsid w:val="6E7A7577"/>
    <w:rsid w:val="75ED4AD2"/>
    <w:rsid w:val="77A613DD"/>
    <w:rsid w:val="7E2117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8"/>
      <w:szCs w:val="28"/>
      <w:lang w:val="en-US" w:eastAsia="en-US" w:bidi="ar-SA"/>
    </w:rPr>
  </w:style>
  <w:style w:type="paragraph" w:styleId="3">
    <w:name w:val="toc 3"/>
    <w:basedOn w:val="1"/>
    <w:autoRedefine/>
    <w:qFormat/>
    <w:uiPriority w:val="0"/>
    <w:pPr>
      <w:ind w:left="480"/>
    </w:pPr>
  </w:style>
  <w:style w:type="paragraph" w:styleId="4">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2024-03-06T10:41:39Z</dcterms:created>
  <dcterms:modified xsi:type="dcterms:W3CDTF">2024-03-06T02:41:39Z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2024-03-06T10:41:40Z</dcterms:created>
  <dcterms:modified xsi:type="dcterms:W3CDTF">2024-03-06T02:41:40Z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2024-03-06T10:41:40Z</dcterms:created>
  <dcterms:modified xsi:type="dcterms:W3CDTF">2024-03-06T02:41:40Z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2024-03-06T10:41:41Z</dcterms:created>
  <dcterms:modified xsi:type="dcterms:W3CDTF">2024-03-06T02:41:41Z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2024-03-06T10:41:41Z</dcterms:created>
  <dcterms:modified xsi:type="dcterms:W3CDTF">2024-03-06T02:41:41Z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2024-03-06T10:41:41Z</dcterms:created>
  <dcterms:modified xsi:type="dcterms:W3CDTF">2024-03-06T02:41:41Z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2024-03-06T10:41:38Z</dcterms:created>
  <dcterms:modified xsi:type="dcterms:W3CDTF">2024-03-06T02:41:38Z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2024-03-06T10:41:38Z</dcterms:created>
  <dcterms:modified xsi:type="dcterms:W3CDTF">2024-03-06T02:41:38Z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2024-03-06T10:41:39Z</dcterms:created>
  <dcterms:modified xsi:type="dcterms:W3CDTF">2024-03-06T02:41:39Z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2024-03-06T10:41:37Z</dcterms:created>
  <dcterms:modified xsi:type="dcterms:W3CDTF">2024-03-06T02:41:37Z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2024-03-06T10:41:39Z</dcterms:created>
  <dcterms:modified xsi:type="dcterms:W3CDTF">2024-03-06T02:41:39Z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2024-03-06T10:41:40Z</dcterms:created>
  <dcterms:modified xsi:type="dcterms:W3CDTF">2024-03-06T02:41:40Z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7bb7d07-dff9-4a7e-832f-791abc6197a4}">
  <ds:schemaRefs/>
</ds:datastoreItem>
</file>

<file path=customXml/itemProps10.xml><?xml version="1.0" encoding="utf-8"?>
<ds:datastoreItem xmlns:ds="http://schemas.openxmlformats.org/officeDocument/2006/customXml" ds:itemID="{cd64fcb0-6e3f-4592-afb3-c362f288da79}">
  <ds:schemaRefs/>
</ds:datastoreItem>
</file>

<file path=customXml/itemProps11.xml><?xml version="1.0" encoding="utf-8"?>
<ds:datastoreItem xmlns:ds="http://schemas.openxmlformats.org/officeDocument/2006/customXml" ds:itemID="{5dcd8c90-9be9-4b41-bdd4-c690cc3c922b}">
  <ds:schemaRefs/>
</ds:datastoreItem>
</file>

<file path=customXml/itemProps12.xml><?xml version="1.0" encoding="utf-8"?>
<ds:datastoreItem xmlns:ds="http://schemas.openxmlformats.org/officeDocument/2006/customXml" ds:itemID="{0dccfad7-a760-4320-aa53-b2673d2d9699}">
  <ds:schemaRefs/>
</ds:datastoreItem>
</file>

<file path=customXml/itemProps13.xml><?xml version="1.0" encoding="utf-8"?>
<ds:datastoreItem xmlns:ds="http://schemas.openxmlformats.org/officeDocument/2006/customXml" ds:itemID="{5b294c8c-051d-492d-9d41-35a96fe3d487}">
  <ds:schemaRefs/>
</ds:datastoreItem>
</file>

<file path=customXml/itemProps14.xml><?xml version="1.0" encoding="utf-8"?>
<ds:datastoreItem xmlns:ds="http://schemas.openxmlformats.org/officeDocument/2006/customXml" ds:itemID="{5331b6d4-83a7-48ed-b799-a7a4460cada0}">
  <ds:schemaRefs/>
</ds:datastoreItem>
</file>

<file path=customXml/itemProps15.xml><?xml version="1.0" encoding="utf-8"?>
<ds:datastoreItem xmlns:ds="http://schemas.openxmlformats.org/officeDocument/2006/customXml" ds:itemID="{77377a24-4e81-4769-b0be-c9c811fb06e8}">
  <ds:schemaRefs/>
</ds:datastoreItem>
</file>

<file path=customXml/itemProps16.xml><?xml version="1.0" encoding="utf-8"?>
<ds:datastoreItem xmlns:ds="http://schemas.openxmlformats.org/officeDocument/2006/customXml" ds:itemID="{7236aacd-de53-44bd-8980-4609212fc6a0}">
  <ds:schemaRefs/>
</ds:datastoreItem>
</file>

<file path=customXml/itemProps17.xml><?xml version="1.0" encoding="utf-8"?>
<ds:datastoreItem xmlns:ds="http://schemas.openxmlformats.org/officeDocument/2006/customXml" ds:itemID="{85d1ac25-43f3-4325-b7e1-a6f6c0ef9016}">
  <ds:schemaRefs/>
</ds:datastoreItem>
</file>

<file path=customXml/itemProps18.xml><?xml version="1.0" encoding="utf-8"?>
<ds:datastoreItem xmlns:ds="http://schemas.openxmlformats.org/officeDocument/2006/customXml" ds:itemID="{bb415bcb-8424-4748-a56c-201411119704}">
  <ds:schemaRefs/>
</ds:datastoreItem>
</file>

<file path=customXml/itemProps19.xml><?xml version="1.0" encoding="utf-8"?>
<ds:datastoreItem xmlns:ds="http://schemas.openxmlformats.org/officeDocument/2006/customXml" ds:itemID="{6e686588-33c9-470d-8b30-21d92bfc106c}">
  <ds:schemaRefs/>
</ds:datastoreItem>
</file>

<file path=customXml/itemProps2.xml><?xml version="1.0" encoding="utf-8"?>
<ds:datastoreItem xmlns:ds="http://schemas.openxmlformats.org/officeDocument/2006/customXml" ds:itemID="{2539daf6-84d3-4467-98ef-bcf00ce05cb2}">
  <ds:schemaRefs/>
</ds:datastoreItem>
</file>

<file path=customXml/itemProps20.xml><?xml version="1.0" encoding="utf-8"?>
<ds:datastoreItem xmlns:ds="http://schemas.openxmlformats.org/officeDocument/2006/customXml" ds:itemID="{9bec9f81-b0c4-42eb-9b52-08146c2d5fd6}">
  <ds:schemaRefs/>
</ds:datastoreItem>
</file>

<file path=customXml/itemProps21.xml><?xml version="1.0" encoding="utf-8"?>
<ds:datastoreItem xmlns:ds="http://schemas.openxmlformats.org/officeDocument/2006/customXml" ds:itemID="{39d85192-d075-4d34-8f0c-49bed3c1fdfa}">
  <ds:schemaRefs/>
</ds:datastoreItem>
</file>

<file path=customXml/itemProps22.xml><?xml version="1.0" encoding="utf-8"?>
<ds:datastoreItem xmlns:ds="http://schemas.openxmlformats.org/officeDocument/2006/customXml" ds:itemID="{40db8cba-9ac0-4ed5-a206-ab2b56b6b6d5}">
  <ds:schemaRefs/>
</ds:datastoreItem>
</file>

<file path=customXml/itemProps23.xml><?xml version="1.0" encoding="utf-8"?>
<ds:datastoreItem xmlns:ds="http://schemas.openxmlformats.org/officeDocument/2006/customXml" ds:itemID="{e4b99bb8-a9b8-4ec1-a408-02ad1b79d85c}">
  <ds:schemaRefs/>
</ds:datastoreItem>
</file>

<file path=customXml/itemProps24.xml><?xml version="1.0" encoding="utf-8"?>
<ds:datastoreItem xmlns:ds="http://schemas.openxmlformats.org/officeDocument/2006/customXml" ds:itemID="{ba08276f-b00a-46dc-95ce-e61aee4a1154}">
  <ds:schemaRefs/>
</ds:datastoreItem>
</file>

<file path=customXml/itemProps3.xml><?xml version="1.0" encoding="utf-8"?>
<ds:datastoreItem xmlns:ds="http://schemas.openxmlformats.org/officeDocument/2006/customXml" ds:itemID="{887b5076-6178-4377-b633-557c46549d8d}">
  <ds:schemaRefs/>
</ds:datastoreItem>
</file>

<file path=customXml/itemProps4.xml><?xml version="1.0" encoding="utf-8"?>
<ds:datastoreItem xmlns:ds="http://schemas.openxmlformats.org/officeDocument/2006/customXml" ds:itemID="{c1ada5d0-6d11-416e-bf1d-1278d6b843bf}">
  <ds:schemaRefs/>
</ds:datastoreItem>
</file>

<file path=customXml/itemProps5.xml><?xml version="1.0" encoding="utf-8"?>
<ds:datastoreItem xmlns:ds="http://schemas.openxmlformats.org/officeDocument/2006/customXml" ds:itemID="{07442b13-7aaa-4989-86e7-ef2679a862f8}">
  <ds:schemaRefs/>
</ds:datastoreItem>
</file>

<file path=customXml/itemProps6.xml><?xml version="1.0" encoding="utf-8"?>
<ds:datastoreItem xmlns:ds="http://schemas.openxmlformats.org/officeDocument/2006/customXml" ds:itemID="{68e9b1d3-40e0-457e-8864-3be485327841}">
  <ds:schemaRefs/>
</ds:datastoreItem>
</file>

<file path=customXml/itemProps7.xml><?xml version="1.0" encoding="utf-8"?>
<ds:datastoreItem xmlns:ds="http://schemas.openxmlformats.org/officeDocument/2006/customXml" ds:itemID="{79b98310-9408-4c2a-94a4-277acac92b72}">
  <ds:schemaRefs/>
</ds:datastoreItem>
</file>

<file path=customXml/itemProps8.xml><?xml version="1.0" encoding="utf-8"?>
<ds:datastoreItem xmlns:ds="http://schemas.openxmlformats.org/officeDocument/2006/customXml" ds:itemID="{ae3e4c94-b7b3-4f0c-ad8a-4c06164e788c}">
  <ds:schemaRefs/>
</ds:datastoreItem>
</file>

<file path=customXml/itemProps9.xml><?xml version="1.0" encoding="utf-8"?>
<ds:datastoreItem xmlns:ds="http://schemas.openxmlformats.org/officeDocument/2006/customXml" ds:itemID="{db995f58-80d2-4eb8-8c8c-067a7ca7906e}">
  <ds:schemaRefs/>
</ds:datastoreItem>
</file>

<file path=docProps/app.xml><?xml version="1.0" encoding="utf-8"?>
<Properties xmlns="http://schemas.openxmlformats.org/officeDocument/2006/extended-properties" xmlns:vt="http://schemas.openxmlformats.org/officeDocument/2006/docPropsVTypes">
  <TotalTime>54</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2024-03-06T10:41:00Z</dcterms:created>
  <dc:creator>Administrator</dc:creator>
  <cp:lastModifiedBy>Administrator</cp:lastModifiedBy>
  <dcterms:modified xsi:type="dcterms:W3CDTF">2024-03-07T06:59:08Z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1817C08CD34C4C84AFC0303058251235_12</vt:lpwstr>
  </property>
</Properties>
</file>