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kern w:val="0"/>
          <w:sz w:val="44"/>
          <w:szCs w:val="44"/>
          <w:lang w:eastAsia="zh-CN"/>
        </w:rPr>
      </w:pPr>
    </w:p>
    <w:p>
      <w:pPr>
        <w:jc w:val="center"/>
        <w:rPr>
          <w:rFonts w:hint="eastAsia" w:asciiTheme="majorEastAsia" w:hAnsiTheme="majorEastAsia" w:eastAsiaTheme="majorEastAsia" w:cstheme="majorEastAsia"/>
          <w:b/>
          <w:bCs/>
          <w:color w:val="000000"/>
          <w:kern w:val="0"/>
          <w:sz w:val="44"/>
          <w:szCs w:val="44"/>
          <w:lang w:eastAsia="zh-CN"/>
        </w:rPr>
      </w:pPr>
      <w:r>
        <w:rPr>
          <w:rFonts w:hint="eastAsia" w:asciiTheme="majorEastAsia" w:hAnsiTheme="majorEastAsia" w:eastAsiaTheme="majorEastAsia" w:cstheme="majorEastAsia"/>
          <w:b/>
          <w:bCs/>
          <w:color w:val="000000"/>
          <w:kern w:val="0"/>
          <w:sz w:val="44"/>
          <w:szCs w:val="44"/>
          <w:lang w:eastAsia="zh-CN"/>
        </w:rPr>
        <w:t>中共涞源县委农村工作委员会</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2017</w:t>
      </w:r>
      <w:r>
        <w:rPr>
          <w:rFonts w:hint="eastAsia" w:asciiTheme="majorEastAsia" w:hAnsiTheme="majorEastAsia" w:eastAsiaTheme="majorEastAsia" w:cstheme="majorEastAsia"/>
          <w:b/>
          <w:bCs/>
          <w:sz w:val="44"/>
          <w:szCs w:val="44"/>
        </w:rPr>
        <w:t>年部门预算信息公开</w:t>
      </w:r>
    </w:p>
    <w:p>
      <w:pPr>
        <w:spacing w:line="520" w:lineRule="exact"/>
        <w:ind w:firstLine="640" w:firstLineChars="200"/>
        <w:jc w:val="left"/>
        <w:rPr>
          <w:rFonts w:ascii="仿宋" w:hAnsi="仿宋" w:eastAsia="仿宋" w:cs="Times New Roman"/>
          <w:sz w:val="32"/>
          <w:szCs w:val="32"/>
        </w:rPr>
      </w:pP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按照《预算法》规定，现将涞源县农工委</w:t>
      </w:r>
      <w:r>
        <w:rPr>
          <w:rFonts w:ascii="仿宋_GB2312" w:hAnsi="仿宋" w:eastAsia="仿宋_GB2312" w:cs="仿宋_GB2312"/>
          <w:sz w:val="32"/>
          <w:szCs w:val="32"/>
        </w:rPr>
        <w:t>2017</w:t>
      </w:r>
      <w:r>
        <w:rPr>
          <w:rFonts w:hint="eastAsia" w:ascii="仿宋_GB2312" w:hAnsi="仿宋" w:eastAsia="仿宋_GB2312" w:cs="仿宋_GB2312"/>
          <w:sz w:val="32"/>
          <w:szCs w:val="32"/>
        </w:rPr>
        <w:t>年部门预算公开如下：</w:t>
      </w:r>
    </w:p>
    <w:p>
      <w:pPr>
        <w:spacing w:line="520" w:lineRule="exact"/>
        <w:ind w:firstLine="640" w:firstLineChars="200"/>
        <w:jc w:val="center"/>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w:t>
      </w:r>
      <w:r>
        <w:rPr>
          <w:rFonts w:hint="eastAsia" w:ascii="黑体" w:hAnsi="黑体" w:eastAsia="黑体" w:cs="黑体"/>
          <w:sz w:val="32"/>
          <w:szCs w:val="32"/>
        </w:rPr>
        <w:t>部门职责及机构设置情况</w:t>
      </w:r>
    </w:p>
    <w:p>
      <w:pPr>
        <w:pStyle w:val="12"/>
        <w:numPr>
          <w:ilvl w:val="0"/>
          <w:numId w:val="1"/>
        </w:numPr>
        <w:spacing w:line="520" w:lineRule="exact"/>
        <w:ind w:firstLineChars="0"/>
        <w:rPr>
          <w:rFonts w:ascii="黑体" w:hAnsi="黑体" w:eastAsia="黑体" w:cs="Times New Roman"/>
          <w:sz w:val="32"/>
          <w:szCs w:val="32"/>
        </w:rPr>
      </w:pPr>
      <w:r>
        <w:rPr>
          <w:rFonts w:hint="eastAsia" w:ascii="黑体" w:hAnsi="黑体" w:eastAsia="黑体" w:cs="黑体"/>
          <w:sz w:val="32"/>
          <w:szCs w:val="32"/>
        </w:rPr>
        <w:t>部门职责</w:t>
      </w:r>
    </w:p>
    <w:p>
      <w:pPr>
        <w:ind w:firstLine="800" w:firstLineChars="250"/>
        <w:rPr>
          <w:rFonts w:ascii="仿宋" w:hAnsi="仿宋" w:eastAsia="仿宋" w:cs="Times New Roman"/>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、组织落实省、市农业产业化经营的发展规划与政策，支持全县农业企业产业化加快发展。</w:t>
      </w:r>
    </w:p>
    <w:p>
      <w:pPr>
        <w:ind w:firstLine="800" w:firstLineChars="250"/>
        <w:rPr>
          <w:rFonts w:ascii="仿宋" w:hAnsi="仿宋" w:eastAsia="仿宋" w:cs="Times New Roman"/>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w:t>
      </w:r>
      <w:r>
        <w:rPr>
          <w:rFonts w:hint="eastAsia" w:ascii="仿宋" w:hAnsi="仿宋" w:eastAsia="仿宋" w:cs="仿宋"/>
          <w:sz w:val="32"/>
          <w:szCs w:val="32"/>
        </w:rPr>
        <w:t>通过政策资金引导，加快建设农产品加工和大型物流项目</w:t>
      </w:r>
    </w:p>
    <w:p>
      <w:pPr>
        <w:ind w:firstLine="800" w:firstLineChars="250"/>
        <w:rPr>
          <w:rFonts w:ascii="仿宋" w:hAnsi="仿宋" w:eastAsia="仿宋" w:cs="Times New Roman"/>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、通过美丽乡村建设，加快建设社会主义新农村。</w:t>
      </w:r>
    </w:p>
    <w:p>
      <w:pPr>
        <w:ind w:firstLine="800" w:firstLineChars="250"/>
        <w:rPr>
          <w:rFonts w:ascii="仿宋" w:hAnsi="仿宋" w:eastAsia="仿宋" w:cs="Times New Roman"/>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w:t>
      </w:r>
      <w:r>
        <w:rPr>
          <w:rFonts w:hint="eastAsia" w:ascii="仿宋" w:hAnsi="仿宋" w:eastAsia="仿宋" w:cs="仿宋"/>
          <w:sz w:val="32"/>
          <w:szCs w:val="32"/>
        </w:rPr>
        <w:t>按照省、市统筹城乡发展的要求，以“环境美、产业美、精神美、生态美”为重点，大力推进美丽乡村建设。</w:t>
      </w:r>
    </w:p>
    <w:p>
      <w:pPr>
        <w:ind w:firstLine="800" w:firstLineChars="250"/>
        <w:rPr>
          <w:rFonts w:ascii="仿宋" w:hAnsi="仿宋" w:eastAsia="仿宋" w:cs="Times New Roman"/>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、省、市要求，全面深化农村重点领域、关键环节改革，加快推进农业农村体制机制创新，增强全县农村经济社会发展活力。</w:t>
      </w:r>
    </w:p>
    <w:p>
      <w:pPr>
        <w:ind w:firstLine="800" w:firstLineChars="250"/>
        <w:rPr>
          <w:rFonts w:ascii="仿宋" w:hAnsi="仿宋" w:eastAsia="仿宋" w:cs="Times New Roman"/>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w:t>
      </w:r>
      <w:r>
        <w:rPr>
          <w:rFonts w:hint="eastAsia" w:ascii="仿宋" w:hAnsi="仿宋" w:eastAsia="仿宋" w:cs="仿宋"/>
          <w:sz w:val="32"/>
          <w:szCs w:val="32"/>
        </w:rPr>
        <w:t>协调指导推进土地流转、村集体股份制改造等农村综合改革，创新农村基本经营制度，完善相关机制建设。</w:t>
      </w:r>
    </w:p>
    <w:p>
      <w:pPr>
        <w:ind w:firstLine="800" w:firstLineChars="250"/>
        <w:rPr>
          <w:rFonts w:ascii="仿宋" w:hAnsi="仿宋" w:eastAsia="仿宋" w:cs="Times New Roman"/>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、全面深化农村重点领域、关键环节改革，加快推进农业农村体制机制创新，增强全省农村经济社会发展活力。</w:t>
      </w:r>
    </w:p>
    <w:p>
      <w:pPr>
        <w:pStyle w:val="10"/>
        <w:spacing w:line="520" w:lineRule="exact"/>
        <w:ind w:firstLine="736" w:firstLineChars="230"/>
        <w:rPr>
          <w:rFonts w:ascii="仿宋" w:hAnsi="仿宋" w:eastAsia="仿宋" w:cs="Times New Roman"/>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w:t>
      </w:r>
      <w:r>
        <w:rPr>
          <w:rFonts w:hint="eastAsia" w:ascii="仿宋" w:hAnsi="仿宋" w:eastAsia="仿宋" w:cs="仿宋"/>
          <w:sz w:val="32"/>
          <w:szCs w:val="32"/>
        </w:rPr>
        <w:t>推进中心村示范工程建设，打造符合全面小康要求的新型农村社区和美丽乡村。</w:t>
      </w:r>
    </w:p>
    <w:p>
      <w:pPr>
        <w:pStyle w:val="10"/>
        <w:spacing w:line="520" w:lineRule="exact"/>
        <w:ind w:firstLine="736" w:firstLineChars="23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、调研提出规划和建议，工作部署、协调推动、普查统计、督促指导及县委、县政府交办的其他事项等行政管理事项。</w:t>
      </w:r>
    </w:p>
    <w:p>
      <w:pPr>
        <w:pStyle w:val="10"/>
        <w:spacing w:line="520" w:lineRule="exact"/>
        <w:ind w:firstLine="608" w:firstLineChars="190"/>
        <w:rPr>
          <w:rFonts w:ascii="仿宋" w:hAnsi="仿宋" w:eastAsia="仿宋" w:cs="Times New Roman"/>
          <w:sz w:val="32"/>
          <w:szCs w:val="32"/>
        </w:rPr>
      </w:pPr>
      <w:bookmarkStart w:id="1" w:name="_GoBack"/>
      <w:bookmarkEnd w:id="1"/>
      <w:r>
        <w:rPr>
          <w:rFonts w:ascii="仿宋" w:hAnsi="仿宋" w:eastAsia="仿宋" w:cs="仿宋"/>
          <w:sz w:val="32"/>
          <w:szCs w:val="32"/>
        </w:rPr>
        <w:t>10</w:t>
      </w:r>
      <w:r>
        <w:rPr>
          <w:rFonts w:hint="eastAsia" w:ascii="仿宋" w:hAnsi="仿宋" w:eastAsia="仿宋" w:cs="仿宋"/>
          <w:sz w:val="32"/>
          <w:szCs w:val="32"/>
        </w:rPr>
        <w:t>、加强机关事务性管理，开展机关自身能力建设。</w:t>
      </w:r>
    </w:p>
    <w:p>
      <w:pPr>
        <w:pStyle w:val="10"/>
        <w:spacing w:line="520" w:lineRule="exact"/>
        <w:ind w:firstLine="4120" w:firstLineChars="1140"/>
        <w:rPr>
          <w:rFonts w:ascii="仿宋" w:hAnsi="仿宋" w:eastAsia="仿宋" w:cs="Times New Roman"/>
          <w:b/>
          <w:bCs/>
          <w:sz w:val="36"/>
          <w:szCs w:val="36"/>
        </w:rPr>
      </w:pPr>
      <w:r>
        <w:rPr>
          <w:rFonts w:hint="eastAsia" w:ascii="仿宋" w:hAnsi="仿宋" w:eastAsia="仿宋" w:cs="仿宋"/>
          <w:b/>
          <w:bCs/>
          <w:sz w:val="36"/>
          <w:szCs w:val="36"/>
        </w:rPr>
        <w:t>二</w:t>
      </w:r>
      <w:r>
        <w:rPr>
          <w:rFonts w:ascii="仿宋" w:hAnsi="仿宋" w:eastAsia="仿宋" w:cs="仿宋"/>
          <w:b/>
          <w:bCs/>
          <w:sz w:val="36"/>
          <w:szCs w:val="36"/>
        </w:rPr>
        <w:t xml:space="preserve"> </w:t>
      </w:r>
      <w:r>
        <w:rPr>
          <w:rFonts w:hint="eastAsia" w:ascii="仿宋" w:hAnsi="仿宋" w:eastAsia="仿宋" w:cs="仿宋"/>
          <w:b/>
          <w:bCs/>
          <w:sz w:val="36"/>
          <w:szCs w:val="36"/>
        </w:rPr>
        <w:t>机构设置</w:t>
      </w:r>
    </w:p>
    <w:tbl>
      <w:tblPr>
        <w:tblStyle w:val="5"/>
        <w:tblW w:w="8572"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830"/>
        <w:gridCol w:w="154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0"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单位名称</w:t>
            </w:r>
          </w:p>
        </w:tc>
        <w:tc>
          <w:tcPr>
            <w:tcW w:w="1830"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单位性质</w:t>
            </w:r>
          </w:p>
        </w:tc>
        <w:tc>
          <w:tcPr>
            <w:tcW w:w="1546"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单位规格</w:t>
            </w:r>
          </w:p>
        </w:tc>
        <w:tc>
          <w:tcPr>
            <w:tcW w:w="2376"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20" w:type="dxa"/>
            <w:vMerge w:val="continue"/>
            <w:vAlign w:val="center"/>
          </w:tcPr>
          <w:p>
            <w:pPr>
              <w:widowControl/>
              <w:jc w:val="left"/>
              <w:rPr>
                <w:rFonts w:ascii="仿宋" w:hAnsi="仿宋" w:eastAsia="仿宋" w:cs="Times New Roman"/>
                <w:color w:val="000000"/>
                <w:kern w:val="0"/>
                <w:sz w:val="32"/>
                <w:szCs w:val="32"/>
              </w:rPr>
            </w:pPr>
          </w:p>
        </w:tc>
        <w:tc>
          <w:tcPr>
            <w:tcW w:w="1830" w:type="dxa"/>
            <w:vMerge w:val="continue"/>
            <w:vAlign w:val="center"/>
          </w:tcPr>
          <w:p>
            <w:pPr>
              <w:widowControl/>
              <w:jc w:val="left"/>
              <w:rPr>
                <w:rFonts w:ascii="仿宋" w:hAnsi="仿宋" w:eastAsia="仿宋" w:cs="Times New Roman"/>
                <w:color w:val="000000"/>
                <w:kern w:val="0"/>
                <w:sz w:val="32"/>
                <w:szCs w:val="32"/>
              </w:rPr>
            </w:pPr>
          </w:p>
        </w:tc>
        <w:tc>
          <w:tcPr>
            <w:tcW w:w="1546" w:type="dxa"/>
            <w:vMerge w:val="continue"/>
            <w:vAlign w:val="center"/>
          </w:tcPr>
          <w:p>
            <w:pPr>
              <w:widowControl/>
              <w:jc w:val="left"/>
              <w:rPr>
                <w:rFonts w:ascii="仿宋" w:hAnsi="仿宋" w:eastAsia="仿宋" w:cs="Times New Roman"/>
                <w:color w:val="000000"/>
                <w:kern w:val="0"/>
                <w:sz w:val="32"/>
                <w:szCs w:val="32"/>
              </w:rPr>
            </w:pPr>
          </w:p>
        </w:tc>
        <w:tc>
          <w:tcPr>
            <w:tcW w:w="2376" w:type="dxa"/>
            <w:vMerge w:val="continue"/>
            <w:vAlign w:val="center"/>
          </w:tcPr>
          <w:p>
            <w:pPr>
              <w:widowControl/>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0" w:type="dxa"/>
            <w:vAlign w:val="center"/>
          </w:tcPr>
          <w:p>
            <w:pPr>
              <w:widowControl/>
              <w:jc w:val="center"/>
              <w:rPr>
                <w:rFonts w:hint="eastAsia" w:ascii="仿宋" w:hAnsi="仿宋" w:eastAsia="仿宋" w:cs="Times New Roman"/>
                <w:color w:val="000000"/>
                <w:kern w:val="0"/>
                <w:sz w:val="32"/>
                <w:szCs w:val="32"/>
                <w:lang w:eastAsia="zh-CN"/>
              </w:rPr>
            </w:pPr>
            <w:r>
              <w:rPr>
                <w:rFonts w:hint="eastAsia" w:ascii="仿宋" w:hAnsi="仿宋" w:eastAsia="仿宋" w:cs="仿宋"/>
                <w:color w:val="000000"/>
                <w:kern w:val="0"/>
                <w:sz w:val="32"/>
                <w:szCs w:val="32"/>
                <w:lang w:eastAsia="zh-CN"/>
              </w:rPr>
              <w:t>中共涞源县委农村工作委员会</w:t>
            </w:r>
          </w:p>
        </w:tc>
        <w:tc>
          <w:tcPr>
            <w:tcW w:w="1830"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行政</w:t>
            </w:r>
          </w:p>
        </w:tc>
        <w:tc>
          <w:tcPr>
            <w:tcW w:w="1546"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正科级</w:t>
            </w:r>
          </w:p>
        </w:tc>
        <w:tc>
          <w:tcPr>
            <w:tcW w:w="2376"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财政拨款</w:t>
            </w:r>
          </w:p>
        </w:tc>
      </w:tr>
    </w:tbl>
    <w:p>
      <w:pPr>
        <w:spacing w:line="520" w:lineRule="exact"/>
        <w:ind w:firstLine="560"/>
        <w:rPr>
          <w:rFonts w:ascii="仿宋" w:hAnsi="仿宋" w:eastAsia="仿宋" w:cs="Times New Roman"/>
          <w:kern w:val="0"/>
          <w:sz w:val="32"/>
          <w:szCs w:val="32"/>
        </w:rPr>
      </w:pPr>
    </w:p>
    <w:p>
      <w:pPr>
        <w:spacing w:line="520" w:lineRule="exact"/>
        <w:ind w:left="1713" w:firstLine="320" w:firstLineChars="100"/>
        <w:rPr>
          <w:rFonts w:ascii="黑体" w:hAnsi="黑体" w:eastAsia="黑体" w:cs="Times New Roman"/>
          <w:sz w:val="32"/>
          <w:szCs w:val="32"/>
        </w:rPr>
      </w:pPr>
      <w:r>
        <w:rPr>
          <w:rFonts w:hint="eastAsia" w:ascii="黑体" w:hAnsi="黑体" w:eastAsia="黑体" w:cs="黑体"/>
          <w:sz w:val="32"/>
          <w:szCs w:val="32"/>
        </w:rPr>
        <w:t>第二部分：部门预算安排的总体情况</w:t>
      </w:r>
    </w:p>
    <w:p>
      <w:pPr>
        <w:spacing w:line="520" w:lineRule="exact"/>
        <w:ind w:left="1713"/>
        <w:rPr>
          <w:rFonts w:ascii="黑体" w:hAnsi="黑体" w:eastAsia="黑体" w:cs="Times New Roman"/>
          <w:sz w:val="32"/>
          <w:szCs w:val="32"/>
        </w:rPr>
      </w:pPr>
    </w:p>
    <w:p>
      <w:pPr>
        <w:spacing w:line="520" w:lineRule="exact"/>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、收入说明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年涞源县农工委年初部门收入预算总额为</w:t>
      </w:r>
      <w:r>
        <w:rPr>
          <w:rFonts w:ascii="仿宋_GB2312" w:hAnsi="仿宋" w:eastAsia="仿宋_GB2312" w:cs="仿宋_GB2312"/>
          <w:sz w:val="32"/>
          <w:szCs w:val="32"/>
        </w:rPr>
        <w:t>138.29</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其中：一般公共预算收入138.29万元</w:t>
      </w:r>
      <w:r>
        <w:rPr>
          <w:rFonts w:hint="eastAsia" w:ascii="仿宋_GB2312" w:hAnsi="仿宋" w:eastAsia="仿宋_GB2312" w:cs="仿宋_GB2312"/>
          <w:sz w:val="32"/>
          <w:szCs w:val="32"/>
          <w:lang w:eastAsia="zh-CN"/>
        </w:rPr>
        <w:t>。</w:t>
      </w:r>
    </w:p>
    <w:p>
      <w:pPr>
        <w:spacing w:line="520" w:lineRule="exact"/>
        <w:ind w:firstLine="640" w:firstLineChars="200"/>
        <w:rPr>
          <w:rFonts w:ascii="仿宋_GB2312" w:hAnsi="仿宋"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、支出说明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年部门支出安排预算总额</w:t>
      </w:r>
      <w:r>
        <w:rPr>
          <w:rFonts w:ascii="仿宋_GB2312" w:hAnsi="仿宋" w:eastAsia="仿宋_GB2312" w:cs="仿宋_GB2312"/>
          <w:sz w:val="32"/>
          <w:szCs w:val="32"/>
        </w:rPr>
        <w:t>138.29</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基本支出</w:t>
      </w:r>
      <w:r>
        <w:rPr>
          <w:rFonts w:ascii="仿宋_GB2312" w:hAnsi="仿宋" w:eastAsia="仿宋_GB2312" w:cs="仿宋_GB2312"/>
          <w:sz w:val="32"/>
          <w:szCs w:val="32"/>
        </w:rPr>
        <w:t xml:space="preserve"> 110.71</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其中：人员经费</w:t>
      </w:r>
      <w:r>
        <w:rPr>
          <w:rFonts w:ascii="仿宋_GB2312" w:hAnsi="仿宋" w:eastAsia="仿宋_GB2312" w:cs="仿宋_GB2312"/>
          <w:sz w:val="32"/>
          <w:szCs w:val="32"/>
        </w:rPr>
        <w:t xml:space="preserve"> 92.71</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日常公用经费</w:t>
      </w:r>
      <w:r>
        <w:rPr>
          <w:rFonts w:ascii="仿宋_GB2312" w:hAnsi="仿宋" w:eastAsia="仿宋_GB2312" w:cs="仿宋_GB2312"/>
          <w:sz w:val="32"/>
          <w:szCs w:val="32"/>
        </w:rPr>
        <w:t xml:space="preserve"> 18</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项目支出</w:t>
      </w:r>
      <w:r>
        <w:rPr>
          <w:rFonts w:ascii="仿宋_GB2312" w:hAnsi="仿宋" w:eastAsia="仿宋_GB2312" w:cs="仿宋_GB2312"/>
          <w:sz w:val="32"/>
          <w:szCs w:val="32"/>
        </w:rPr>
        <w:t xml:space="preserve">   27.58</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其中：本级支出</w:t>
      </w:r>
      <w:r>
        <w:rPr>
          <w:rFonts w:ascii="仿宋_GB2312" w:hAnsi="仿宋" w:eastAsia="仿宋_GB2312" w:cs="仿宋_GB2312"/>
          <w:sz w:val="32"/>
          <w:szCs w:val="32"/>
        </w:rPr>
        <w:t xml:space="preserve"> 27.58</w:t>
      </w:r>
      <w:r>
        <w:rPr>
          <w:rFonts w:hint="eastAsia" w:ascii="仿宋_GB2312" w:hAnsi="仿宋" w:eastAsia="仿宋_GB2312" w:cs="仿宋_GB2312"/>
          <w:sz w:val="32"/>
          <w:szCs w:val="32"/>
        </w:rPr>
        <w:t>万元</w:t>
      </w:r>
    </w:p>
    <w:p>
      <w:pPr>
        <w:tabs>
          <w:tab w:val="left" w:pos="916"/>
        </w:tabs>
        <w:spacing w:line="560" w:lineRule="exact"/>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、比上年增减情况</w:t>
      </w:r>
    </w:p>
    <w:p>
      <w:pPr>
        <w:tabs>
          <w:tab w:val="left" w:pos="916"/>
        </w:tabs>
        <w:spacing w:line="56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本年度预算收支安排</w:t>
      </w:r>
      <w:r>
        <w:rPr>
          <w:rFonts w:ascii="仿宋_GB2312" w:hAnsi="仿宋" w:eastAsia="仿宋_GB2312" w:cs="仿宋_GB2312"/>
          <w:sz w:val="32"/>
          <w:szCs w:val="32"/>
        </w:rPr>
        <w:t>138.29</w:t>
      </w:r>
      <w:r>
        <w:rPr>
          <w:rFonts w:hint="eastAsia" w:ascii="仿宋_GB2312" w:hAnsi="仿宋" w:eastAsia="仿宋_GB2312" w:cs="仿宋_GB2312"/>
          <w:sz w:val="32"/>
          <w:szCs w:val="32"/>
        </w:rPr>
        <w:t>万元，与上年持平，无增减变化。</w:t>
      </w:r>
    </w:p>
    <w:p>
      <w:pPr>
        <w:spacing w:line="520" w:lineRule="exact"/>
        <w:outlineLvl w:val="0"/>
        <w:rPr>
          <w:rFonts w:ascii="黑体" w:hAnsi="黑体" w:eastAsia="黑体"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第三部分：机关运行经费安排情况</w:t>
      </w:r>
    </w:p>
    <w:p>
      <w:pPr>
        <w:spacing w:line="520" w:lineRule="exact"/>
        <w:jc w:val="center"/>
        <w:outlineLvl w:val="0"/>
        <w:rPr>
          <w:rFonts w:ascii="黑体" w:hAnsi="黑体" w:eastAsia="黑体" w:cs="Times New Roman"/>
          <w:sz w:val="32"/>
          <w:szCs w:val="32"/>
        </w:rPr>
      </w:pPr>
    </w:p>
    <w:p>
      <w:pPr>
        <w:spacing w:line="520" w:lineRule="exact"/>
        <w:ind w:firstLine="640" w:firstLineChars="200"/>
        <w:jc w:val="left"/>
        <w:outlineLvl w:val="0"/>
        <w:rPr>
          <w:rFonts w:ascii="仿宋_GB2312" w:hAnsi="仿宋" w:eastAsia="仿宋_GB2312" w:cs="Times New Roman"/>
          <w:sz w:val="32"/>
          <w:szCs w:val="32"/>
        </w:rPr>
      </w:pPr>
      <w:r>
        <w:rPr>
          <w:rFonts w:hint="eastAsia" w:ascii="仿宋_GB2312" w:hAnsi="仿宋" w:eastAsia="仿宋_GB2312" w:cs="仿宋_GB2312"/>
          <w:sz w:val="32"/>
          <w:szCs w:val="32"/>
        </w:rPr>
        <w:t>涞源县农工委机关运行经费安排</w:t>
      </w:r>
      <w:r>
        <w:rPr>
          <w:rFonts w:ascii="仿宋_GB2312" w:hAnsi="仿宋" w:eastAsia="仿宋_GB2312" w:cs="仿宋_GB2312"/>
          <w:sz w:val="32"/>
          <w:szCs w:val="32"/>
        </w:rPr>
        <w:t>18</w:t>
      </w:r>
      <w:r>
        <w:rPr>
          <w:rFonts w:hint="eastAsia" w:ascii="仿宋_GB2312" w:hAnsi="仿宋" w:eastAsia="仿宋_GB2312" w:cs="仿宋_GB2312"/>
          <w:sz w:val="32"/>
          <w:szCs w:val="32"/>
        </w:rPr>
        <w:t>万元，其中办公费</w:t>
      </w:r>
      <w:r>
        <w:rPr>
          <w:rFonts w:ascii="仿宋_GB2312" w:hAnsi="仿宋" w:eastAsia="仿宋_GB2312" w:cs="仿宋_GB2312"/>
          <w:sz w:val="32"/>
          <w:szCs w:val="32"/>
        </w:rPr>
        <w:t>1.5</w:t>
      </w:r>
      <w:r>
        <w:rPr>
          <w:rFonts w:hint="eastAsia" w:ascii="仿宋_GB2312" w:hAnsi="仿宋" w:eastAsia="仿宋_GB2312" w:cs="仿宋_GB2312"/>
          <w:sz w:val="32"/>
          <w:szCs w:val="32"/>
        </w:rPr>
        <w:t>万元，一般会议费</w:t>
      </w:r>
      <w:r>
        <w:rPr>
          <w:rFonts w:ascii="仿宋_GB2312" w:hAnsi="仿宋" w:eastAsia="仿宋_GB2312" w:cs="仿宋_GB2312"/>
          <w:sz w:val="32"/>
          <w:szCs w:val="32"/>
        </w:rPr>
        <w:t>2</w:t>
      </w:r>
      <w:r>
        <w:rPr>
          <w:rFonts w:hint="eastAsia" w:ascii="仿宋_GB2312" w:hAnsi="仿宋" w:eastAsia="仿宋_GB2312" w:cs="仿宋_GB2312"/>
          <w:sz w:val="32"/>
          <w:szCs w:val="32"/>
        </w:rPr>
        <w:t>万元，差旅费</w:t>
      </w:r>
      <w:r>
        <w:rPr>
          <w:rFonts w:ascii="仿宋_GB2312" w:hAnsi="仿宋" w:eastAsia="仿宋_GB2312" w:cs="仿宋_GB2312"/>
          <w:sz w:val="32"/>
          <w:szCs w:val="32"/>
        </w:rPr>
        <w:t>3</w:t>
      </w:r>
      <w:r>
        <w:rPr>
          <w:rFonts w:hint="eastAsia" w:ascii="仿宋_GB2312" w:hAnsi="仿宋" w:eastAsia="仿宋_GB2312" w:cs="仿宋_GB2312"/>
          <w:sz w:val="32"/>
          <w:szCs w:val="32"/>
        </w:rPr>
        <w:t>万元，公务用车运行维护费</w:t>
      </w:r>
      <w:r>
        <w:rPr>
          <w:rFonts w:ascii="仿宋_GB2312" w:hAnsi="仿宋" w:eastAsia="仿宋_GB2312" w:cs="仿宋_GB2312"/>
          <w:sz w:val="32"/>
          <w:szCs w:val="32"/>
        </w:rPr>
        <w:t>3.5</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8</w:t>
      </w:r>
      <w:r>
        <w:rPr>
          <w:rFonts w:hint="eastAsia" w:ascii="仿宋_GB2312" w:hAnsi="仿宋" w:eastAsia="仿宋_GB2312" w:cs="仿宋_GB2312"/>
          <w:sz w:val="32"/>
          <w:szCs w:val="32"/>
        </w:rPr>
        <w:t>万元。</w:t>
      </w:r>
    </w:p>
    <w:p>
      <w:pPr>
        <w:spacing w:line="520" w:lineRule="exact"/>
        <w:jc w:val="center"/>
        <w:outlineLvl w:val="0"/>
        <w:rPr>
          <w:rFonts w:ascii="黑体" w:hAnsi="黑体" w:eastAsia="黑体"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第四部分：财政拨款“三公”经费预算情况及增减变化原因</w:t>
      </w:r>
    </w:p>
    <w:p>
      <w:pPr>
        <w:spacing w:line="520" w:lineRule="exact"/>
        <w:jc w:val="center"/>
        <w:outlineLvl w:val="0"/>
        <w:rPr>
          <w:rFonts w:ascii="黑体" w:hAnsi="黑体" w:eastAsia="黑体" w:cs="Times New Roman"/>
          <w:sz w:val="32"/>
          <w:szCs w:val="32"/>
        </w:rPr>
      </w:pPr>
    </w:p>
    <w:tbl>
      <w:tblPr>
        <w:tblStyle w:val="5"/>
        <w:tblW w:w="9855" w:type="dxa"/>
        <w:tblInd w:w="-106" w:type="dxa"/>
        <w:tblLayout w:type="fixed"/>
        <w:tblCellMar>
          <w:top w:w="0" w:type="dxa"/>
          <w:left w:w="108" w:type="dxa"/>
          <w:bottom w:w="0" w:type="dxa"/>
          <w:right w:w="108" w:type="dxa"/>
        </w:tblCellMar>
      </w:tblPr>
      <w:tblGrid>
        <w:gridCol w:w="2136"/>
        <w:gridCol w:w="1717"/>
        <w:gridCol w:w="1717"/>
        <w:gridCol w:w="1177"/>
        <w:gridCol w:w="3108"/>
      </w:tblGrid>
      <w:tr>
        <w:tblPrEx>
          <w:tblLayout w:type="fixed"/>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Times New Roman"/>
                <w:kern w:val="0"/>
                <w:sz w:val="32"/>
                <w:szCs w:val="32"/>
              </w:rPr>
            </w:pPr>
            <w:r>
              <w:rPr>
                <w:rFonts w:hint="eastAsia" w:ascii="仿宋" w:hAnsi="仿宋" w:eastAsia="仿宋" w:cs="仿宋"/>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17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3108" w:type="dxa"/>
            <w:tcBorders>
              <w:top w:val="nil"/>
              <w:left w:val="nil"/>
              <w:bottom w:val="nil"/>
              <w:right w:val="nil"/>
            </w:tcBorders>
            <w:vAlign w:val="center"/>
          </w:tcPr>
          <w:p>
            <w:pPr>
              <w:widowControl/>
              <w:jc w:val="right"/>
              <w:rPr>
                <w:rFonts w:ascii="仿宋" w:hAnsi="仿宋" w:eastAsia="仿宋" w:cs="Times New Roman"/>
                <w:kern w:val="0"/>
                <w:sz w:val="32"/>
                <w:szCs w:val="32"/>
              </w:rPr>
            </w:pPr>
            <w:r>
              <w:rPr>
                <w:rFonts w:hint="eastAsia" w:ascii="仿宋" w:hAnsi="仿宋" w:eastAsia="仿宋" w:cs="仿宋"/>
                <w:kern w:val="0"/>
                <w:sz w:val="32"/>
                <w:szCs w:val="32"/>
              </w:rPr>
              <w:t>单位：万元</w:t>
            </w:r>
          </w:p>
        </w:tc>
      </w:tr>
      <w:tr>
        <w:tblPrEx>
          <w:tblLayout w:type="fixed"/>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项目名称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仿宋"/>
                <w:kern w:val="0"/>
                <w:sz w:val="32"/>
                <w:szCs w:val="32"/>
              </w:rPr>
              <w:t>2016</w:t>
            </w:r>
            <w:r>
              <w:rPr>
                <w:rFonts w:hint="eastAsia" w:ascii="仿宋" w:hAnsi="仿宋" w:eastAsia="仿宋" w:cs="仿宋"/>
                <w:kern w:val="0"/>
                <w:sz w:val="32"/>
                <w:szCs w:val="32"/>
              </w:rPr>
              <w:t>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仿宋"/>
                <w:kern w:val="0"/>
                <w:sz w:val="32"/>
                <w:szCs w:val="32"/>
              </w:rPr>
              <w:t>2017</w:t>
            </w:r>
            <w:r>
              <w:rPr>
                <w:rFonts w:hint="eastAsia" w:ascii="仿宋" w:hAnsi="仿宋" w:eastAsia="仿宋" w:cs="仿宋"/>
                <w:kern w:val="0"/>
                <w:sz w:val="32"/>
                <w:szCs w:val="32"/>
              </w:rPr>
              <w:t>年度预算</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增减金额</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因公出国经费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Layout w:type="fixed"/>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公务用车购置经费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Layout w:type="fixed"/>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公务用车运行经费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3.5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3.5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Layout w:type="fixed"/>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公务接待费支出</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8</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8</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Layout w:type="fixed"/>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合计</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仿宋"/>
                <w:kern w:val="0"/>
                <w:sz w:val="32"/>
                <w:szCs w:val="32"/>
              </w:rPr>
              <w:t>11.5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11.5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17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3108" w:type="dxa"/>
            <w:tcBorders>
              <w:top w:val="nil"/>
              <w:left w:val="nil"/>
              <w:bottom w:val="nil"/>
              <w:right w:val="nil"/>
            </w:tcBorders>
            <w:vAlign w:val="center"/>
          </w:tcPr>
          <w:p>
            <w:pPr>
              <w:widowControl/>
              <w:jc w:val="left"/>
              <w:rPr>
                <w:rFonts w:ascii="仿宋" w:hAnsi="仿宋" w:eastAsia="仿宋" w:cs="Times New Roman"/>
                <w:kern w:val="0"/>
                <w:sz w:val="32"/>
                <w:szCs w:val="32"/>
              </w:rPr>
            </w:pPr>
          </w:p>
        </w:tc>
      </w:tr>
    </w:tbl>
    <w:p>
      <w:pPr>
        <w:pStyle w:val="10"/>
        <w:spacing w:line="520" w:lineRule="exact"/>
        <w:ind w:left="720" w:firstLine="640"/>
        <w:rPr>
          <w:rFonts w:ascii="仿宋" w:hAnsi="仿宋" w:eastAsia="仿宋" w:cs="Times New Roman"/>
          <w:sz w:val="32"/>
          <w:szCs w:val="32"/>
        </w:rPr>
      </w:pPr>
    </w:p>
    <w:p>
      <w:pPr>
        <w:jc w:val="center"/>
        <w:outlineLvl w:val="0"/>
        <w:rPr>
          <w:rFonts w:ascii="黑体" w:hAnsi="黑体" w:eastAsia="黑体" w:cs="Times New Roman"/>
          <w:sz w:val="32"/>
          <w:szCs w:val="32"/>
        </w:rPr>
      </w:pPr>
      <w:r>
        <w:rPr>
          <w:rFonts w:hint="eastAsia" w:ascii="黑体" w:hAnsi="黑体" w:eastAsia="黑体" w:cs="黑体"/>
          <w:sz w:val="32"/>
          <w:szCs w:val="32"/>
        </w:rPr>
        <w:t>第五部分：绩效预算信息</w:t>
      </w:r>
    </w:p>
    <w:p>
      <w:pPr>
        <w:spacing w:line="520" w:lineRule="exact"/>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一、</w:t>
      </w:r>
      <w:r>
        <w:rPr>
          <w:rFonts w:hint="eastAsia" w:ascii="黑体" w:hAnsi="黑体" w:eastAsia="黑体" w:cs="黑体"/>
          <w:sz w:val="32"/>
          <w:szCs w:val="32"/>
        </w:rPr>
        <w:t>总体绩效目标</w:t>
      </w:r>
      <w:r>
        <w:rPr>
          <w:rFonts w:hint="eastAsia" w:ascii="黑体" w:hAnsi="黑体" w:eastAsia="黑体" w:cs="黑体"/>
          <w:b/>
          <w:bCs/>
          <w:sz w:val="32"/>
          <w:szCs w:val="32"/>
        </w:rPr>
        <w:t>：</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Times New Roman"/>
          <w:b/>
          <w:bCs/>
          <w:sz w:val="32"/>
          <w:szCs w:val="32"/>
          <w:lang w:eastAsia="zh-CN"/>
        </w:rPr>
      </w:pPr>
      <w:r>
        <w:rPr>
          <w:rFonts w:hint="eastAsia" w:ascii="仿宋" w:hAnsi="仿宋" w:eastAsia="仿宋" w:cs="仿宋"/>
          <w:sz w:val="32"/>
          <w:szCs w:val="32"/>
          <w:lang w:eastAsia="zh-CN"/>
        </w:rPr>
        <w:t>以社会主义新农村建设统揽农村工作全局，认真贯彻中央、省、市农村工作会议精神，紧紧围绕县委中心工作，着力落实党在农村的基本政策，切实推进美丽乡村建设、全面加强农村基层民主政治建设、农业产业化等工作，严格执行《预算法》，从严控制和压缩“三公”经费等一般性支出；努力降低行政管理和运行成本，优化服务环境。</w:t>
      </w:r>
    </w:p>
    <w:p>
      <w:pPr>
        <w:pStyle w:val="8"/>
        <w:ind w:firstLine="960" w:firstLineChars="3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、加大对龙头企业的支持力度。</w:t>
      </w:r>
      <w:r>
        <w:rPr>
          <w:rFonts w:ascii="仿宋" w:hAnsi="仿宋" w:eastAsia="仿宋" w:cs="仿宋"/>
          <w:sz w:val="32"/>
          <w:szCs w:val="32"/>
        </w:rPr>
        <w:t xml:space="preserve"> </w:t>
      </w:r>
    </w:p>
    <w:p>
      <w:pPr>
        <w:pStyle w:val="8"/>
        <w:ind w:firstLine="800" w:firstLineChars="250"/>
        <w:rPr>
          <w:rFonts w:ascii="仿宋" w:hAnsi="仿宋" w:eastAsia="仿宋" w:cs="Times New Roman"/>
          <w:sz w:val="32"/>
          <w:szCs w:val="32"/>
        </w:rPr>
      </w:pPr>
      <w:r>
        <w:rPr>
          <w:rFonts w:hint="eastAsia" w:ascii="仿宋" w:hAnsi="仿宋" w:eastAsia="仿宋" w:cs="仿宋"/>
          <w:sz w:val="32"/>
          <w:szCs w:val="32"/>
        </w:rPr>
        <w:t>集中力量支持谷润、六旺川、甘霖等重点龙头企业率先发展，着力引进和新上一批投资规模较大的农产品加工项目，推动我县产业化的发展。确保我县的农业产业化率在</w:t>
      </w:r>
      <w:r>
        <w:rPr>
          <w:rFonts w:ascii="仿宋" w:hAnsi="仿宋" w:eastAsia="仿宋" w:cs="仿宋"/>
          <w:sz w:val="32"/>
          <w:szCs w:val="32"/>
        </w:rPr>
        <w:t>2016</w:t>
      </w:r>
      <w:r>
        <w:rPr>
          <w:rFonts w:hint="eastAsia" w:ascii="仿宋" w:hAnsi="仿宋" w:eastAsia="仿宋" w:cs="仿宋"/>
          <w:sz w:val="32"/>
          <w:szCs w:val="32"/>
        </w:rPr>
        <w:t>年的基础上增长</w:t>
      </w:r>
      <w:r>
        <w:rPr>
          <w:rFonts w:ascii="仿宋" w:hAnsi="仿宋" w:eastAsia="仿宋" w:cs="仿宋"/>
          <w:sz w:val="32"/>
          <w:szCs w:val="32"/>
        </w:rPr>
        <w:t>2</w:t>
      </w:r>
      <w:r>
        <w:rPr>
          <w:rFonts w:hint="eastAsia" w:ascii="仿宋" w:hAnsi="仿宋" w:eastAsia="仿宋" w:cs="仿宋"/>
          <w:sz w:val="32"/>
          <w:szCs w:val="32"/>
        </w:rPr>
        <w:t>个百分点。提高农产品加工水平，提高农民收入。</w:t>
      </w:r>
    </w:p>
    <w:p>
      <w:pPr>
        <w:pStyle w:val="8"/>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、进一步搞好美丽乡村建设工作</w:t>
      </w:r>
    </w:p>
    <w:p>
      <w:pPr>
        <w:pStyle w:val="8"/>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以“三清一拆”工作为切入点，进一步加大农村环境整治工作，强化农村民居改造，加强农村基础设施配套工程建设，着力提升农村公共服务水平，强力推进生态建设工程，今年重点打造</w:t>
      </w:r>
      <w:r>
        <w:rPr>
          <w:rFonts w:ascii="仿宋" w:hAnsi="仿宋" w:eastAsia="仿宋" w:cs="仿宋"/>
          <w:sz w:val="32"/>
          <w:szCs w:val="32"/>
          <w:shd w:val="clear" w:color="auto" w:fill="FFFFFF"/>
        </w:rPr>
        <w:t>52</w:t>
      </w:r>
      <w:r>
        <w:rPr>
          <w:rFonts w:hint="eastAsia" w:ascii="仿宋" w:hAnsi="仿宋" w:eastAsia="仿宋" w:cs="仿宋"/>
          <w:sz w:val="32"/>
          <w:szCs w:val="32"/>
          <w:shd w:val="clear" w:color="auto" w:fill="FFFFFF"/>
        </w:rPr>
        <w:t>个美丽乡村，使全县美丽乡村建设工作得到全面推进。</w:t>
      </w:r>
    </w:p>
    <w:p>
      <w:pPr>
        <w:pStyle w:val="8"/>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、继续大力推进中心村建设。</w:t>
      </w:r>
    </w:p>
    <w:p>
      <w:pPr>
        <w:pStyle w:val="8"/>
        <w:ind w:firstLine="640"/>
        <w:rPr>
          <w:rFonts w:ascii="仿宋" w:hAnsi="仿宋" w:eastAsia="仿宋" w:cs="Times New Roman"/>
          <w:sz w:val="32"/>
          <w:szCs w:val="32"/>
          <w:shd w:val="clear" w:color="auto" w:fill="FFFFFF"/>
        </w:rPr>
        <w:sectPr>
          <w:pgSz w:w="11907" w:h="16839"/>
          <w:pgMar w:top="1531" w:right="1134" w:bottom="1474" w:left="1134" w:header="851" w:footer="992" w:gutter="0"/>
          <w:cols w:space="720" w:num="1"/>
          <w:docGrid w:type="lines" w:linePitch="312" w:charSpace="0"/>
        </w:sectPr>
      </w:pP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年继续重点抓好省级王安镇新村中心村建设项目，确保完成年度建设目标，同时积极开展新项目申报工作，力争今年我县有</w:t>
      </w:r>
      <w:r>
        <w:rPr>
          <w:rFonts w:ascii="仿宋" w:hAnsi="仿宋" w:eastAsia="仿宋" w:cs="仿宋"/>
          <w:sz w:val="32"/>
          <w:szCs w:val="32"/>
          <w:shd w:val="clear" w:color="auto" w:fill="FFFFFF"/>
        </w:rPr>
        <w:t>1—2</w:t>
      </w:r>
      <w:r>
        <w:rPr>
          <w:rFonts w:hint="eastAsia" w:ascii="仿宋" w:hAnsi="仿宋" w:eastAsia="仿宋" w:cs="仿宋"/>
          <w:sz w:val="32"/>
          <w:szCs w:val="32"/>
          <w:shd w:val="clear" w:color="auto" w:fill="FFFFFF"/>
        </w:rPr>
        <w:t>个村被省列为省级中心村建设示范</w:t>
      </w:r>
    </w:p>
    <w:p>
      <w:pPr>
        <w:jc w:val="left"/>
        <w:outlineLvl w:val="0"/>
        <w:rPr>
          <w:rFonts w:ascii="黑体" w:hAnsi="黑体" w:eastAsia="黑体" w:cs="Times New Roman"/>
          <w:sz w:val="32"/>
          <w:szCs w:val="32"/>
        </w:rPr>
      </w:pPr>
      <w:bookmarkStart w:id="0" w:name="_Toc477874288"/>
      <w:r>
        <w:rPr>
          <w:rFonts w:ascii="黑体" w:hAnsi="黑体" w:eastAsia="黑体" w:cs="黑体"/>
          <w:sz w:val="32"/>
          <w:szCs w:val="32"/>
        </w:rPr>
        <w:t xml:space="preserve">                           </w:t>
      </w:r>
      <w:r>
        <w:rPr>
          <w:rFonts w:hint="eastAsia" w:ascii="黑体" w:hAnsi="黑体" w:eastAsia="黑体" w:cs="黑体"/>
          <w:sz w:val="32"/>
          <w:szCs w:val="32"/>
        </w:rPr>
        <w:t>二、部门职责</w:t>
      </w:r>
      <w:r>
        <w:rPr>
          <w:rFonts w:ascii="黑体" w:hAnsi="黑体" w:eastAsia="黑体" w:cs="黑体"/>
          <w:sz w:val="32"/>
          <w:szCs w:val="32"/>
        </w:rPr>
        <w:t>-</w:t>
      </w:r>
      <w:r>
        <w:rPr>
          <w:rFonts w:hint="eastAsia" w:ascii="黑体" w:hAnsi="黑体" w:eastAsia="黑体" w:cs="黑体"/>
          <w:sz w:val="32"/>
          <w:szCs w:val="32"/>
        </w:rPr>
        <w:t>工作活动绩效目标</w:t>
      </w:r>
    </w:p>
    <w:tbl>
      <w:tblPr>
        <w:tblStyle w:val="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083"/>
        <w:gridCol w:w="2835"/>
        <w:gridCol w:w="2835"/>
        <w:gridCol w:w="1892"/>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sz w:val="32"/>
                <w:szCs w:val="32"/>
              </w:rPr>
            </w:pPr>
            <w:r>
              <w:rPr>
                <w:rFonts w:ascii="仿宋" w:hAnsi="仿宋" w:eastAsia="仿宋" w:cs="仿宋"/>
                <w:sz w:val="32"/>
                <w:szCs w:val="32"/>
              </w:rPr>
              <w:t>214</w:t>
            </w:r>
            <w:r>
              <w:rPr>
                <w:rFonts w:hint="eastAsia" w:ascii="仿宋" w:hAnsi="仿宋" w:eastAsia="仿宋" w:cs="仿宋"/>
                <w:sz w:val="32"/>
                <w:szCs w:val="32"/>
              </w:rPr>
              <w:t>农工委</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职责活动</w:t>
            </w:r>
          </w:p>
        </w:tc>
        <w:tc>
          <w:tcPr>
            <w:tcW w:w="1083"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年度预算数</w:t>
            </w:r>
          </w:p>
        </w:tc>
        <w:tc>
          <w:tcPr>
            <w:tcW w:w="2835"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内容描述</w:t>
            </w:r>
          </w:p>
        </w:tc>
        <w:tc>
          <w:tcPr>
            <w:tcW w:w="2835"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绩效目标</w:t>
            </w:r>
          </w:p>
        </w:tc>
        <w:tc>
          <w:tcPr>
            <w:tcW w:w="1892"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绩效指标</w:t>
            </w:r>
          </w:p>
        </w:tc>
        <w:tc>
          <w:tcPr>
            <w:tcW w:w="2948" w:type="dxa"/>
            <w:gridSpan w:val="4"/>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cs="Times New Roman"/>
                <w:sz w:val="32"/>
                <w:szCs w:val="32"/>
              </w:rPr>
            </w:pPr>
          </w:p>
        </w:tc>
        <w:tc>
          <w:tcPr>
            <w:tcW w:w="1083" w:type="dxa"/>
            <w:vMerge w:val="continue"/>
            <w:vAlign w:val="center"/>
          </w:tcPr>
          <w:p>
            <w:pPr>
              <w:spacing w:line="300" w:lineRule="exact"/>
              <w:jc w:val="left"/>
              <w:outlineLvl w:val="0"/>
              <w:rPr>
                <w:rFonts w:ascii="仿宋" w:hAnsi="仿宋" w:eastAsia="仿宋" w:cs="Times New Roman"/>
                <w:sz w:val="32"/>
                <w:szCs w:val="32"/>
              </w:rPr>
            </w:pPr>
          </w:p>
        </w:tc>
        <w:tc>
          <w:tcPr>
            <w:tcW w:w="2835" w:type="dxa"/>
            <w:vMerge w:val="continue"/>
            <w:vAlign w:val="center"/>
          </w:tcPr>
          <w:p>
            <w:pPr>
              <w:spacing w:line="300" w:lineRule="exact"/>
              <w:jc w:val="left"/>
              <w:outlineLvl w:val="0"/>
              <w:rPr>
                <w:rFonts w:ascii="仿宋" w:hAnsi="仿宋" w:eastAsia="仿宋" w:cs="Times New Roman"/>
                <w:sz w:val="32"/>
                <w:szCs w:val="32"/>
              </w:rPr>
            </w:pPr>
          </w:p>
        </w:tc>
        <w:tc>
          <w:tcPr>
            <w:tcW w:w="2835" w:type="dxa"/>
            <w:vMerge w:val="continue"/>
            <w:vAlign w:val="center"/>
          </w:tcPr>
          <w:p>
            <w:pPr>
              <w:spacing w:line="300" w:lineRule="exact"/>
              <w:jc w:val="left"/>
              <w:outlineLvl w:val="0"/>
              <w:rPr>
                <w:rFonts w:ascii="仿宋" w:hAnsi="仿宋" w:eastAsia="仿宋" w:cs="Times New Roman"/>
                <w:sz w:val="32"/>
                <w:szCs w:val="32"/>
              </w:rPr>
            </w:pPr>
          </w:p>
        </w:tc>
        <w:tc>
          <w:tcPr>
            <w:tcW w:w="1892" w:type="dxa"/>
            <w:vMerge w:val="continue"/>
            <w:vAlign w:val="center"/>
          </w:tcPr>
          <w:p>
            <w:pPr>
              <w:spacing w:line="300" w:lineRule="exact"/>
              <w:jc w:val="left"/>
              <w:outlineLvl w:val="0"/>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优</w:t>
            </w:r>
          </w:p>
        </w:tc>
        <w:tc>
          <w:tcPr>
            <w:tcW w:w="737" w:type="dxa"/>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良</w:t>
            </w:r>
          </w:p>
        </w:tc>
        <w:tc>
          <w:tcPr>
            <w:tcW w:w="737" w:type="dxa"/>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中</w:t>
            </w:r>
          </w:p>
        </w:tc>
        <w:tc>
          <w:tcPr>
            <w:tcW w:w="737" w:type="dxa"/>
            <w:vAlign w:val="center"/>
          </w:tcPr>
          <w:p>
            <w:pPr>
              <w:spacing w:line="300" w:lineRule="exact"/>
              <w:jc w:val="center"/>
              <w:rPr>
                <w:rFonts w:ascii="仿宋" w:hAnsi="仿宋" w:eastAsia="仿宋" w:cs="Times New Roman"/>
                <w:b/>
                <w:bCs/>
                <w:sz w:val="32"/>
                <w:szCs w:val="32"/>
              </w:rPr>
            </w:pPr>
            <w:r>
              <w:rPr>
                <w:rFonts w:hint="eastAsia" w:ascii="仿宋" w:hAnsi="仿宋" w:eastAsia="仿宋" w:cs="仿宋"/>
                <w:b/>
                <w:bCs/>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支持农业产业化</w:t>
            </w:r>
          </w:p>
        </w:tc>
        <w:tc>
          <w:tcPr>
            <w:tcW w:w="1083" w:type="dxa"/>
            <w:vAlign w:val="center"/>
          </w:tcPr>
          <w:p>
            <w:pPr>
              <w:spacing w:line="300" w:lineRule="exact"/>
              <w:jc w:val="left"/>
              <w:rPr>
                <w:rFonts w:ascii="仿宋" w:hAnsi="仿宋" w:eastAsia="仿宋" w:cs="Times New Roman"/>
                <w:sz w:val="32"/>
                <w:szCs w:val="32"/>
              </w:rPr>
            </w:pP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组织落实省、市农业产业化经营的发展规划与政策，支持全县农业企业产业化加快发展。</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拉伸农业产业链条，提升农产品附加值，增加农民收入，创造县域经济发展新增长点。</w:t>
            </w:r>
          </w:p>
        </w:tc>
        <w:tc>
          <w:tcPr>
            <w:tcW w:w="1892" w:type="dxa"/>
            <w:vAlign w:val="center"/>
          </w:tcPr>
          <w:p>
            <w:pPr>
              <w:spacing w:line="300" w:lineRule="exact"/>
              <w:jc w:val="left"/>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实施农业产业化专项补助</w:t>
            </w:r>
          </w:p>
        </w:tc>
        <w:tc>
          <w:tcPr>
            <w:tcW w:w="1083" w:type="dxa"/>
            <w:vMerge w:val="restart"/>
            <w:vAlign w:val="center"/>
          </w:tcPr>
          <w:p>
            <w:pPr>
              <w:spacing w:line="300" w:lineRule="exact"/>
              <w:jc w:val="left"/>
              <w:rPr>
                <w:rFonts w:ascii="仿宋" w:hAnsi="仿宋" w:eastAsia="仿宋" w:cs="Times New Roman"/>
                <w:sz w:val="32"/>
                <w:szCs w:val="32"/>
              </w:rPr>
            </w:pP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通过政策资金引导，加快建设农产品加工和大型物流项目。</w:t>
            </w: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提高农产品加工水平，提高农民收入。</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效果指标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年度内农业产业化经营实现情况占年度内农业产业化经营计划的比例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64.5%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63%</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县级以上农业龙头企业销售收入比上一年同期增长比例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年度内农产品加工园区农业生产化补助占应补助的比例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推进新农村建设</w:t>
            </w:r>
          </w:p>
        </w:tc>
        <w:tc>
          <w:tcPr>
            <w:tcW w:w="1083" w:type="dxa"/>
            <w:vAlign w:val="center"/>
          </w:tcPr>
          <w:p>
            <w:pPr>
              <w:spacing w:line="300" w:lineRule="exact"/>
              <w:jc w:val="left"/>
              <w:rPr>
                <w:rFonts w:ascii="仿宋" w:hAnsi="仿宋" w:eastAsia="仿宋" w:cs="Times New Roman"/>
                <w:sz w:val="32"/>
                <w:szCs w:val="32"/>
              </w:rPr>
            </w:pP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通过实施农村面貌改造提升行动，加快建设社会主义新农村。</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改善农村环境面貌，提升农民生产生活条件。</w:t>
            </w:r>
          </w:p>
        </w:tc>
        <w:tc>
          <w:tcPr>
            <w:tcW w:w="1892" w:type="dxa"/>
            <w:vAlign w:val="center"/>
          </w:tcPr>
          <w:p>
            <w:pPr>
              <w:spacing w:line="300" w:lineRule="exact"/>
              <w:jc w:val="left"/>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美丽乡村建设</w:t>
            </w:r>
          </w:p>
        </w:tc>
        <w:tc>
          <w:tcPr>
            <w:tcW w:w="1083" w:type="dxa"/>
            <w:vAlign w:val="center"/>
          </w:tcPr>
          <w:p>
            <w:pPr>
              <w:spacing w:line="300" w:lineRule="exact"/>
              <w:jc w:val="left"/>
              <w:rPr>
                <w:rFonts w:ascii="仿宋" w:hAnsi="仿宋" w:eastAsia="仿宋" w:cs="Times New Roman"/>
                <w:sz w:val="32"/>
                <w:szCs w:val="32"/>
              </w:rPr>
            </w:pP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按照省、市统筹城乡发展的要求，以“环境美、产业美、精神美、生态美”为重点，大力推进美丽乡村建设。</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突出重点，因地制宜，按照分期分批推进的要求，每年选定一批重点村实施改造提升。</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当年完成建设任务的重点村占年度任务的比例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指导推进农村改革</w:t>
            </w:r>
          </w:p>
        </w:tc>
        <w:tc>
          <w:tcPr>
            <w:tcW w:w="1083" w:type="dxa"/>
            <w:vAlign w:val="center"/>
          </w:tcPr>
          <w:p>
            <w:pPr>
              <w:spacing w:line="300" w:lineRule="exact"/>
              <w:jc w:val="left"/>
              <w:rPr>
                <w:rFonts w:ascii="仿宋" w:hAnsi="仿宋" w:eastAsia="仿宋" w:cs="Times New Roman"/>
                <w:sz w:val="32"/>
                <w:szCs w:val="32"/>
              </w:rPr>
            </w:pP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按照省、市要求，全面深化农村重点领域、关键环节改革，加快推进农业农村体制机制创新，增强全县农村经济社会发展活力。</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使农业增效、农民增收、农村增活力。</w:t>
            </w:r>
          </w:p>
        </w:tc>
        <w:tc>
          <w:tcPr>
            <w:tcW w:w="1892" w:type="dxa"/>
            <w:vAlign w:val="center"/>
          </w:tcPr>
          <w:p>
            <w:pPr>
              <w:spacing w:line="300" w:lineRule="exact"/>
              <w:jc w:val="left"/>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指导农村综合改革</w:t>
            </w:r>
          </w:p>
        </w:tc>
        <w:tc>
          <w:tcPr>
            <w:tcW w:w="1083" w:type="dxa"/>
            <w:vAlign w:val="center"/>
          </w:tcPr>
          <w:p>
            <w:pPr>
              <w:spacing w:line="300" w:lineRule="exact"/>
              <w:jc w:val="left"/>
              <w:rPr>
                <w:rFonts w:ascii="仿宋" w:hAnsi="仿宋" w:eastAsia="仿宋" w:cs="Times New Roman"/>
                <w:sz w:val="32"/>
                <w:szCs w:val="32"/>
              </w:rPr>
            </w:pP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协调指导推进土地流转、村集体股份制改造等农村综合改革，创新农村基本经营制度，完善相关机制建设。</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促进农村经济社会全面协调发展。</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当年县级农村产权流转交易平台建设完成情况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推进新农村建设</w:t>
            </w:r>
          </w:p>
        </w:tc>
        <w:tc>
          <w:tcPr>
            <w:tcW w:w="1083" w:type="dxa"/>
            <w:vAlign w:val="center"/>
          </w:tcPr>
          <w:p>
            <w:pPr>
              <w:spacing w:line="300" w:lineRule="exact"/>
              <w:jc w:val="left"/>
              <w:rPr>
                <w:rFonts w:ascii="仿宋" w:hAnsi="仿宋" w:eastAsia="仿宋" w:cs="Times New Roman"/>
                <w:sz w:val="32"/>
                <w:szCs w:val="32"/>
              </w:rPr>
            </w:pP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通过实施农村面貌改造提升行动，加快建设社会主义新农村。</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改善农村环境面貌，提升农民生产生活条件。</w:t>
            </w:r>
          </w:p>
        </w:tc>
        <w:tc>
          <w:tcPr>
            <w:tcW w:w="1892" w:type="dxa"/>
            <w:vAlign w:val="center"/>
          </w:tcPr>
          <w:p>
            <w:pPr>
              <w:spacing w:line="300" w:lineRule="exact"/>
              <w:jc w:val="left"/>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美丽乡村建设</w:t>
            </w:r>
          </w:p>
        </w:tc>
        <w:tc>
          <w:tcPr>
            <w:tcW w:w="1083" w:type="dxa"/>
            <w:vMerge w:val="restart"/>
            <w:vAlign w:val="center"/>
          </w:tcPr>
          <w:p>
            <w:pPr>
              <w:spacing w:line="300" w:lineRule="exact"/>
              <w:jc w:val="left"/>
              <w:rPr>
                <w:rFonts w:ascii="仿宋" w:hAnsi="仿宋" w:eastAsia="仿宋" w:cs="Times New Roman"/>
                <w:sz w:val="32"/>
                <w:szCs w:val="32"/>
              </w:rPr>
            </w:pP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按照统筹城乡发展要求，以“环境美、产业美、精神美、生态美”为重点，大力推进美丽乡村建设。</w:t>
            </w: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提出农村经济持续较快发展的意见和建议，为县领导决策提供支撑；推动县域经济实力发展壮大，促进农民收入持续稳定增长。</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效果指标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达标的美丽乡村数占年度建设任务的比例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农村经济指标监测与评价工作完成情况与计划完成情况相比较</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效果指标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省领导批示政策措施建议数占总报送数比例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中心村建设</w:t>
            </w:r>
          </w:p>
        </w:tc>
        <w:tc>
          <w:tcPr>
            <w:tcW w:w="1083" w:type="dxa"/>
            <w:vMerge w:val="restart"/>
            <w:vAlign w:val="center"/>
          </w:tcPr>
          <w:p>
            <w:pPr>
              <w:spacing w:line="300" w:lineRule="exact"/>
              <w:jc w:val="left"/>
              <w:rPr>
                <w:rFonts w:ascii="仿宋" w:hAnsi="仿宋" w:eastAsia="仿宋" w:cs="Times New Roman"/>
                <w:sz w:val="32"/>
                <w:szCs w:val="32"/>
              </w:rPr>
            </w:pP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推进中心村示范工程建设，打造符合全面小康要求的新型农村社区和美丽乡村。</w:t>
            </w: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按照三年建设周期，建设一批多种类型、有示范意义的新民居中心村示范点。</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当年按计划要求完成任务的中心村示范点占其全部任务的比例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当年按规定要求完成开工任务的中心村示范点占全部新启动中心村示范点的比例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效果指标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调查了解村民对新民居中心村建设内容及结果的满意程度</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政务管理</w:t>
            </w:r>
          </w:p>
        </w:tc>
        <w:tc>
          <w:tcPr>
            <w:tcW w:w="1083"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27.58</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开展农业宣传，推动农业政策落实。保障各项政党工作的开展</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保障各项农村工作的正常运行</w:t>
            </w:r>
          </w:p>
        </w:tc>
        <w:tc>
          <w:tcPr>
            <w:tcW w:w="1892" w:type="dxa"/>
            <w:vAlign w:val="center"/>
          </w:tcPr>
          <w:p>
            <w:pPr>
              <w:spacing w:line="300" w:lineRule="exact"/>
              <w:jc w:val="left"/>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c>
          <w:tcPr>
            <w:tcW w:w="737" w:type="dxa"/>
            <w:vAlign w:val="center"/>
          </w:tcPr>
          <w:p>
            <w:pPr>
              <w:spacing w:line="300" w:lineRule="exact"/>
              <w:jc w:val="center"/>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综合业务管理</w:t>
            </w:r>
          </w:p>
        </w:tc>
        <w:tc>
          <w:tcPr>
            <w:tcW w:w="1083" w:type="dxa"/>
            <w:vMerge w:val="restart"/>
            <w:vAlign w:val="center"/>
          </w:tcPr>
          <w:p>
            <w:pPr>
              <w:spacing w:line="300" w:lineRule="exact"/>
              <w:jc w:val="left"/>
              <w:rPr>
                <w:rFonts w:ascii="仿宋" w:hAnsi="仿宋" w:eastAsia="仿宋" w:cs="仿宋"/>
                <w:sz w:val="32"/>
                <w:szCs w:val="32"/>
              </w:rPr>
            </w:pPr>
            <w:r>
              <w:rPr>
                <w:rFonts w:ascii="仿宋" w:hAnsi="仿宋" w:eastAsia="仿宋" w:cs="仿宋"/>
                <w:sz w:val="32"/>
                <w:szCs w:val="32"/>
              </w:rPr>
              <w:t>2.58</w:t>
            </w: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调研提出规划和建议，工作部署、协调推动、普查统计、督促指导及县委、县政府交办的其他事项等行政管理事项。</w:t>
            </w:r>
          </w:p>
        </w:tc>
        <w:tc>
          <w:tcPr>
            <w:tcW w:w="2835" w:type="dxa"/>
            <w:vMerge w:val="restart"/>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促进农村经济社会全面协调发展。</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综合业务管理工作完成情况占综合业务管理工作计划的比例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Times New Roman"/>
                <w:b/>
                <w:bCs/>
                <w:sz w:val="32"/>
                <w:szCs w:val="32"/>
              </w:rPr>
            </w:pPr>
          </w:p>
        </w:tc>
        <w:tc>
          <w:tcPr>
            <w:tcW w:w="1083"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2835" w:type="dxa"/>
            <w:vMerge w:val="continue"/>
            <w:vAlign w:val="center"/>
          </w:tcPr>
          <w:p>
            <w:pPr>
              <w:spacing w:line="300" w:lineRule="exact"/>
              <w:jc w:val="left"/>
              <w:rPr>
                <w:rFonts w:ascii="仿宋" w:hAnsi="仿宋" w:eastAsia="仿宋" w:cs="Times New Roman"/>
                <w:sz w:val="32"/>
                <w:szCs w:val="32"/>
              </w:rPr>
            </w:pP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农村综合改革任务完成情况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sz w:val="32"/>
                <w:szCs w:val="32"/>
              </w:rPr>
            </w:pPr>
            <w:r>
              <w:rPr>
                <w:rFonts w:hint="eastAsia" w:ascii="仿宋" w:hAnsi="仿宋" w:eastAsia="仿宋" w:cs="仿宋"/>
                <w:b/>
                <w:bCs/>
                <w:sz w:val="32"/>
                <w:szCs w:val="32"/>
              </w:rPr>
              <w:t>　　综合事务管理</w:t>
            </w:r>
          </w:p>
        </w:tc>
        <w:tc>
          <w:tcPr>
            <w:tcW w:w="1083"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25.00</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加强机关事务性管理，开展机关自身能力建设。</w:t>
            </w:r>
          </w:p>
        </w:tc>
        <w:tc>
          <w:tcPr>
            <w:tcW w:w="2835"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加强机关事务性管理，提高机关自身工作能力。</w:t>
            </w:r>
          </w:p>
        </w:tc>
        <w:tc>
          <w:tcPr>
            <w:tcW w:w="1892"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sz w:val="32"/>
                <w:szCs w:val="32"/>
              </w:rPr>
              <w:t>综合事务管理工作完成情况占综合事务管理工作计划的比例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bl>
    <w:p>
      <w:pPr>
        <w:pStyle w:val="8"/>
        <w:ind w:firstLine="640"/>
        <w:rPr>
          <w:rFonts w:ascii="仿宋" w:hAnsi="仿宋" w:eastAsia="仿宋" w:cs="Times New Roman"/>
          <w:sz w:val="32"/>
          <w:szCs w:val="32"/>
          <w:shd w:val="clear" w:color="auto" w:fill="FFFFFF"/>
        </w:rPr>
      </w:pPr>
    </w:p>
    <w:p>
      <w:pPr>
        <w:widowControl/>
        <w:jc w:val="left"/>
        <w:rPr>
          <w:rFonts w:ascii="黑体" w:hAnsi="黑体" w:eastAsia="黑体" w:cs="Times New Roman"/>
          <w:sz w:val="32"/>
          <w:szCs w:val="32"/>
        </w:rPr>
        <w:sectPr>
          <w:pgSz w:w="16839" w:h="11907" w:orient="landscape"/>
          <w:pgMar w:top="1134" w:right="1531" w:bottom="1134" w:left="1474" w:header="851" w:footer="992" w:gutter="0"/>
          <w:cols w:space="720" w:num="1"/>
          <w:docGrid w:type="lines" w:linePitch="312" w:charSpace="0"/>
        </w:sectPr>
      </w:pPr>
    </w:p>
    <w:p>
      <w:pPr>
        <w:widowControl/>
        <w:ind w:firstLine="160" w:firstLineChars="50"/>
        <w:jc w:val="center"/>
        <w:rPr>
          <w:rFonts w:ascii="黑体" w:hAnsi="黑体" w:eastAsia="黑体" w:cs="Times New Roman"/>
          <w:sz w:val="32"/>
          <w:szCs w:val="32"/>
        </w:rPr>
      </w:pPr>
      <w:r>
        <w:rPr>
          <w:rFonts w:hint="eastAsia" w:ascii="黑体" w:hAnsi="黑体" w:eastAsia="黑体" w:cs="黑体"/>
          <w:sz w:val="32"/>
          <w:szCs w:val="32"/>
        </w:rPr>
        <w:t>第六部分：政府采购预算情况</w:t>
      </w:r>
    </w:p>
    <w:p>
      <w:pPr>
        <w:ind w:firstLine="640" w:firstLineChars="200"/>
        <w:jc w:val="left"/>
        <w:outlineLvl w:val="0"/>
        <w:rPr>
          <w:rFonts w:ascii="仿宋_GB2312" w:hAnsi="仿宋" w:eastAsia="仿宋_GB2312" w:cs="Times New Roman"/>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年，我部门无政府采购预算</w:t>
      </w:r>
    </w:p>
    <w:p>
      <w:pPr>
        <w:jc w:val="center"/>
        <w:rPr>
          <w:rFonts w:ascii="黑体" w:hAnsi="黑体" w:eastAsia="黑体" w:cs="Times New Roman"/>
          <w:sz w:val="32"/>
          <w:szCs w:val="32"/>
        </w:rPr>
      </w:pPr>
      <w:r>
        <w:rPr>
          <w:rFonts w:hint="eastAsia" w:ascii="黑体" w:hAnsi="黑体" w:eastAsia="黑体" w:cs="黑体"/>
          <w:sz w:val="32"/>
          <w:szCs w:val="32"/>
        </w:rPr>
        <w:t>第七部分：国有资产信息情况说明</w:t>
      </w:r>
    </w:p>
    <w:p>
      <w:pPr>
        <w:spacing w:line="520" w:lineRule="exact"/>
        <w:ind w:firstLine="640" w:firstLineChars="200"/>
        <w:rPr>
          <w:rFonts w:ascii="仿宋" w:hAnsi="仿宋" w:eastAsia="仿宋" w:cs="Times New Roman"/>
          <w:sz w:val="32"/>
          <w:szCs w:val="32"/>
        </w:rPr>
      </w:pPr>
      <w:r>
        <w:rPr>
          <w:rFonts w:hint="eastAsia" w:ascii="仿宋_GB2312" w:hAnsi="仿宋" w:eastAsia="仿宋_GB2312" w:cs="仿宋_GB2312"/>
          <w:sz w:val="32"/>
          <w:szCs w:val="32"/>
        </w:rPr>
        <w:t>涞源县农工委</w:t>
      </w:r>
      <w:r>
        <w:rPr>
          <w:rFonts w:ascii="仿宋_GB2312" w:hAnsi="仿宋" w:eastAsia="仿宋_GB2312" w:cs="仿宋_GB2312"/>
          <w:sz w:val="32"/>
          <w:szCs w:val="32"/>
        </w:rPr>
        <w:t>2016</w:t>
      </w:r>
      <w:r>
        <w:rPr>
          <w:rFonts w:hint="eastAsia" w:ascii="仿宋_GB2312" w:hAnsi="仿宋" w:eastAsia="仿宋_GB2312" w:cs="仿宋_GB2312"/>
          <w:sz w:val="32"/>
          <w:szCs w:val="32"/>
        </w:rPr>
        <w:t>年末固定资产总金额</w:t>
      </w:r>
      <w:r>
        <w:rPr>
          <w:rFonts w:ascii="仿宋_GB2312" w:hAnsi="仿宋" w:eastAsia="仿宋_GB2312" w:cs="仿宋_GB2312"/>
          <w:sz w:val="32"/>
          <w:szCs w:val="32"/>
        </w:rPr>
        <w:t>0</w:t>
      </w:r>
      <w:r>
        <w:rPr>
          <w:rFonts w:hint="eastAsia" w:ascii="仿宋_GB2312" w:hAnsi="仿宋" w:eastAsia="仿宋_GB2312" w:cs="仿宋_GB2312"/>
          <w:sz w:val="32"/>
          <w:szCs w:val="32"/>
        </w:rPr>
        <w:t>万元。说明：涞源县农工委</w:t>
      </w:r>
      <w:r>
        <w:rPr>
          <w:rFonts w:ascii="仿宋_GB2312" w:hAnsi="仿宋" w:eastAsia="仿宋_GB2312" w:cs="仿宋_GB2312"/>
          <w:sz w:val="32"/>
          <w:szCs w:val="32"/>
        </w:rPr>
        <w:t>2017</w:t>
      </w:r>
      <w:r>
        <w:rPr>
          <w:rFonts w:hint="eastAsia" w:ascii="仿宋_GB2312" w:hAnsi="仿宋" w:eastAsia="仿宋_GB2312" w:cs="仿宋_GB2312"/>
          <w:sz w:val="32"/>
          <w:szCs w:val="32"/>
        </w:rPr>
        <w:t>年才开始独立核算，固定资产尚未分出（在县委中包含），故</w:t>
      </w:r>
      <w:r>
        <w:rPr>
          <w:rFonts w:ascii="仿宋_GB2312" w:hAnsi="仿宋" w:eastAsia="仿宋_GB2312" w:cs="仿宋_GB2312"/>
          <w:sz w:val="32"/>
          <w:szCs w:val="32"/>
        </w:rPr>
        <w:t>2016</w:t>
      </w:r>
      <w:r>
        <w:rPr>
          <w:rFonts w:hint="eastAsia" w:ascii="仿宋_GB2312" w:hAnsi="仿宋" w:eastAsia="仿宋_GB2312" w:cs="仿宋_GB2312"/>
          <w:sz w:val="32"/>
          <w:szCs w:val="32"/>
        </w:rPr>
        <w:t>年固定资产额为</w:t>
      </w:r>
      <w:r>
        <w:rPr>
          <w:rFonts w:ascii="仿宋_GB2312" w:hAnsi="仿宋" w:eastAsia="仿宋_GB2312" w:cs="仿宋_GB2312"/>
          <w:sz w:val="32"/>
          <w:szCs w:val="32"/>
        </w:rPr>
        <w:t>0</w:t>
      </w:r>
      <w:r>
        <w:rPr>
          <w:rFonts w:hint="eastAsia" w:ascii="仿宋_GB2312" w:hAnsi="仿宋" w:eastAsia="仿宋_GB2312" w:cs="仿宋_GB2312"/>
          <w:sz w:val="32"/>
          <w:szCs w:val="32"/>
        </w:rPr>
        <w:t>。</w:t>
      </w:r>
      <w:r>
        <w:rPr>
          <w:rFonts w:ascii="仿宋" w:hAnsi="仿宋" w:eastAsia="仿宋" w:cs="仿宋"/>
          <w:sz w:val="32"/>
          <w:szCs w:val="32"/>
        </w:rPr>
        <w:t>2017</w:t>
      </w:r>
      <w:r>
        <w:rPr>
          <w:rFonts w:hint="eastAsia" w:ascii="仿宋" w:hAnsi="仿宋" w:eastAsia="仿宋" w:cs="仿宋"/>
          <w:sz w:val="32"/>
          <w:szCs w:val="32"/>
        </w:rPr>
        <w:t>年无拟购置情况。</w:t>
      </w:r>
    </w:p>
    <w:p>
      <w:pPr>
        <w:spacing w:line="520" w:lineRule="exact"/>
        <w:ind w:firstLine="640" w:firstLineChars="200"/>
        <w:rPr>
          <w:rFonts w:ascii="黑体" w:hAnsi="黑体" w:eastAsia="黑体" w:cs="Times New Roman"/>
          <w:sz w:val="32"/>
          <w:szCs w:val="32"/>
        </w:rPr>
      </w:pPr>
      <w:r>
        <w:rPr>
          <w:rFonts w:hint="eastAsia" w:ascii="黑体" w:hAnsi="黑体" w:eastAsia="黑体" w:cs="黑体"/>
          <w:sz w:val="32"/>
          <w:szCs w:val="32"/>
        </w:rPr>
        <w:t>第八部分：名词解释</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、财政拨款收入：</w:t>
      </w:r>
      <w:r>
        <w:rPr>
          <w:rFonts w:hint="eastAsia" w:ascii="仿宋_GB2312" w:hAnsi="仿宋" w:eastAsia="仿宋_GB2312" w:cs="仿宋_GB2312"/>
          <w:sz w:val="32"/>
          <w:szCs w:val="32"/>
        </w:rPr>
        <w:t>指县级财政当年拨付的资金。</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、其他收入：</w:t>
      </w:r>
      <w:r>
        <w:rPr>
          <w:rFonts w:hint="eastAsia" w:ascii="仿宋_GB2312" w:hAnsi="仿宋" w:eastAsia="仿宋_GB2312" w:cs="仿宋_GB2312"/>
          <w:sz w:val="32"/>
          <w:szCs w:val="32"/>
        </w:rPr>
        <w:t>指除上述“财政拨款收入”、“事业收入”等以外的收入。</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5</w:t>
      </w:r>
      <w:r>
        <w:rPr>
          <w:rFonts w:hint="eastAsia" w:ascii="仿宋_GB2312" w:hAnsi="仿宋" w:eastAsia="仿宋_GB2312" w:cs="仿宋_GB2312"/>
          <w:b/>
          <w:bCs/>
          <w:sz w:val="32"/>
          <w:szCs w:val="32"/>
        </w:rPr>
        <w:t>、“三公”经费：</w:t>
      </w:r>
      <w:r>
        <w:rPr>
          <w:rFonts w:hint="eastAsia" w:ascii="仿宋_GB2312" w:hAnsi="仿宋" w:eastAsia="仿宋_GB2312"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6</w:t>
      </w:r>
      <w:r>
        <w:rPr>
          <w:rFonts w:hint="eastAsia" w:ascii="仿宋_GB2312" w:hAnsi="仿宋" w:eastAsia="仿宋_GB2312" w:cs="仿宋_GB2312"/>
          <w:b/>
          <w:bCs/>
          <w:sz w:val="32"/>
          <w:szCs w:val="32"/>
        </w:rPr>
        <w:t>、机关运行费：</w:t>
      </w:r>
      <w:r>
        <w:rPr>
          <w:rFonts w:hint="eastAsia" w:ascii="仿宋_GB2312" w:hAnsi="仿宋"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7</w:t>
      </w:r>
      <w:r>
        <w:rPr>
          <w:rFonts w:hint="eastAsia" w:ascii="仿宋_GB2312" w:hAnsi="仿宋" w:eastAsia="仿宋_GB2312" w:cs="仿宋_GB2312"/>
          <w:b/>
          <w:bCs/>
          <w:sz w:val="32"/>
          <w:szCs w:val="32"/>
        </w:rPr>
        <w:t>、公务费：</w:t>
      </w:r>
      <w:r>
        <w:rPr>
          <w:rFonts w:hint="eastAsia" w:ascii="仿宋_GB2312" w:hAnsi="仿宋" w:eastAsia="仿宋_GB2312" w:cs="仿宋_GB2312"/>
          <w:sz w:val="32"/>
          <w:szCs w:val="32"/>
        </w:rPr>
        <w:t>包括办公费、水电费、邮电费、取暖费、交通费、一般会议费和物业管理费之和。</w:t>
      </w:r>
    </w:p>
    <w:p>
      <w:pPr>
        <w:spacing w:line="500" w:lineRule="exact"/>
        <w:jc w:val="center"/>
        <w:outlineLvl w:val="0"/>
        <w:rPr>
          <w:rFonts w:ascii="黑体" w:hAnsi="黑体" w:eastAsia="黑体" w:cs="Times New Roman"/>
          <w:sz w:val="32"/>
          <w:szCs w:val="32"/>
        </w:rPr>
      </w:pPr>
      <w:r>
        <w:rPr>
          <w:rFonts w:hint="eastAsia" w:ascii="黑体" w:hAnsi="黑体" w:eastAsia="黑体" w:cs="黑体"/>
          <w:sz w:val="32"/>
          <w:szCs w:val="32"/>
        </w:rPr>
        <w:t>第九部分：其他需说明的事项</w:t>
      </w:r>
    </w:p>
    <w:p>
      <w:pPr>
        <w:spacing w:line="500" w:lineRule="exact"/>
        <w:ind w:firstLine="640" w:firstLineChars="200"/>
        <w:jc w:val="left"/>
        <w:outlineLvl w:val="0"/>
        <w:rPr>
          <w:rFonts w:ascii="仿宋_GB2312" w:hAnsi="黑体" w:eastAsia="仿宋_GB2312" w:cs="Times New Roman"/>
          <w:sz w:val="32"/>
          <w:szCs w:val="32"/>
        </w:rPr>
      </w:pPr>
      <w:r>
        <w:rPr>
          <w:rFonts w:hint="eastAsia" w:ascii="仿宋_GB2312" w:hAnsi="仿宋" w:eastAsia="仿宋_GB2312" w:cs="仿宋_GB2312"/>
          <w:sz w:val="32"/>
          <w:szCs w:val="32"/>
        </w:rPr>
        <w:t>无其他需说明的事项。</w:t>
      </w:r>
    </w:p>
    <w:p>
      <w:pPr>
        <w:ind w:firstLine="800" w:firstLineChars="250"/>
        <w:rPr>
          <w:rFonts w:ascii="仿宋" w:hAnsi="仿宋" w:eastAsia="仿宋" w:cs="Times New Roman"/>
          <w:sz w:val="32"/>
          <w:szCs w:val="32"/>
        </w:rPr>
      </w:pPr>
    </w:p>
    <w:bookmarkEnd w:id="0"/>
    <w:p>
      <w:pPr>
        <w:outlineLvl w:val="0"/>
        <w:rPr>
          <w:rFonts w:cs="Times New Roman"/>
        </w:rPr>
      </w:pPr>
    </w:p>
    <w:sectPr>
      <w:pgSz w:w="16839" w:h="11907" w:orient="landscape"/>
      <w:pgMar w:top="1134" w:right="1531"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0952"/>
    <w:multiLevelType w:val="multilevel"/>
    <w:tmpl w:val="3806095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18379FC"/>
    <w:rsid w:val="00030973"/>
    <w:rsid w:val="00124C29"/>
    <w:rsid w:val="00143759"/>
    <w:rsid w:val="00183DBF"/>
    <w:rsid w:val="002306F5"/>
    <w:rsid w:val="00355893"/>
    <w:rsid w:val="00357189"/>
    <w:rsid w:val="00361454"/>
    <w:rsid w:val="00487A31"/>
    <w:rsid w:val="0056755C"/>
    <w:rsid w:val="0058484C"/>
    <w:rsid w:val="00714D2A"/>
    <w:rsid w:val="00784FC6"/>
    <w:rsid w:val="007924B0"/>
    <w:rsid w:val="007D257E"/>
    <w:rsid w:val="007F370F"/>
    <w:rsid w:val="0086505A"/>
    <w:rsid w:val="00901647"/>
    <w:rsid w:val="00965885"/>
    <w:rsid w:val="009709F9"/>
    <w:rsid w:val="00A04FB0"/>
    <w:rsid w:val="00A61751"/>
    <w:rsid w:val="00A65759"/>
    <w:rsid w:val="00A81C1A"/>
    <w:rsid w:val="00A87640"/>
    <w:rsid w:val="00AF0C02"/>
    <w:rsid w:val="00B32965"/>
    <w:rsid w:val="00BD0B16"/>
    <w:rsid w:val="00C005F1"/>
    <w:rsid w:val="00C34A7D"/>
    <w:rsid w:val="00C756D8"/>
    <w:rsid w:val="00CB6C94"/>
    <w:rsid w:val="00D46E63"/>
    <w:rsid w:val="00D6512C"/>
    <w:rsid w:val="00D73D36"/>
    <w:rsid w:val="00DF0C5A"/>
    <w:rsid w:val="00F326DF"/>
    <w:rsid w:val="00F33122"/>
    <w:rsid w:val="00F5306A"/>
    <w:rsid w:val="00FA4C7E"/>
    <w:rsid w:val="06FC2CFB"/>
    <w:rsid w:val="18D67C0D"/>
    <w:rsid w:val="196C4CD8"/>
    <w:rsid w:val="218379FC"/>
    <w:rsid w:val="2A404052"/>
    <w:rsid w:val="51AE3453"/>
    <w:rsid w:val="5236477C"/>
    <w:rsid w:val="56EA7CD7"/>
    <w:rsid w:val="5B595438"/>
    <w:rsid w:val="6D534362"/>
    <w:rsid w:val="732278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locked/>
    <w:uiPriority w:val="99"/>
    <w:rPr>
      <w:kern w:val="2"/>
      <w:sz w:val="18"/>
      <w:szCs w:val="18"/>
    </w:rPr>
  </w:style>
  <w:style w:type="character" w:customStyle="1" w:styleId="7">
    <w:name w:val="页眉 Char"/>
    <w:basedOn w:val="4"/>
    <w:link w:val="3"/>
    <w:locked/>
    <w:uiPriority w:val="99"/>
    <w:rPr>
      <w:kern w:val="2"/>
      <w:sz w:val="18"/>
      <w:szCs w:val="18"/>
    </w:rPr>
  </w:style>
  <w:style w:type="paragraph" w:customStyle="1" w:styleId="8">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0">
    <w:name w:val="_Style 3"/>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1">
    <w:name w:val="正文1"/>
    <w:basedOn w:val="1"/>
    <w:qFormat/>
    <w:uiPriority w:val="99"/>
    <w:pPr>
      <w:widowControl/>
    </w:pPr>
    <w:rPr>
      <w:kern w:val="0"/>
      <w:lang w:eastAsia="en-US"/>
    </w:r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597</Words>
  <Characters>3408</Characters>
  <Lines>28</Lines>
  <Paragraphs>7</Paragraphs>
  <ScaleCrop>false</ScaleCrop>
  <LinksUpToDate>false</LinksUpToDate>
  <CharactersWithSpaces>3998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2017-06-21T10:53:00Z</dcterms:created>
  <dc:creator>yangchao</dc:creator>
  <cp:lastModifiedBy>Administrator</cp:lastModifiedBy>
  <dcterms:modified xsi:type="dcterms:W3CDTF">2017-11-09T10:02:45Z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