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cs="方正小标宋简体" w:hint="eastAsia"/>
          <w:b w:val="0"/>
          <w:bCs w:val="0"/>
          <w:color w:val="auto"/>
          <w:kern w:val="2"/>
          <w:sz w:val="44"/>
          <w:szCs w:val="44"/>
          <w:shd w:val="clear" w:color="auto" w:fill="FFFFFF"/>
          <w:lang w:val="en-US" w:eastAsia="zh-CN" w:bidi="ar-SA"/>
        </w:rPr>
      </w:pPr>
      <w:r>
        <w:rPr>
          <w:rFonts w:ascii="方正小标宋简体" w:eastAsia="方正小标宋简体" w:cs="方正小标宋简体" w:hint="eastAsia"/>
          <w:b w:val="0"/>
          <w:bCs w:val="0"/>
          <w:color w:val="auto"/>
          <w:kern w:val="2"/>
          <w:sz w:val="44"/>
          <w:szCs w:val="44"/>
          <w:shd w:val="clear" w:color="auto" w:fill="FFFFFF"/>
          <w:lang w:val="en-US" w:eastAsia="zh-CN" w:bidi="ar-SA"/>
        </w:rPr>
        <w:t>涞源县农业农村局</w:t>
      </w:r>
    </w:p>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cs="方正小标宋简体" w:hint="eastAsia"/>
          <w:b w:val="0"/>
          <w:bCs w:val="0"/>
          <w:color w:val="auto"/>
          <w:kern w:val="2"/>
          <w:sz w:val="44"/>
          <w:szCs w:val="44"/>
          <w:shd w:val="clear" w:color="auto" w:fill="FFFFFF"/>
          <w:lang w:val="en-US" w:eastAsia="zh-CN" w:bidi="ar-SA"/>
        </w:rPr>
      </w:pPr>
      <w:r>
        <w:rPr>
          <w:rFonts w:ascii="方正小标宋简体" w:eastAsia="方正小标宋简体" w:cs="方正小标宋简体" w:hint="eastAsia"/>
          <w:b w:val="0"/>
          <w:bCs w:val="0"/>
          <w:color w:val="auto"/>
          <w:kern w:val="2"/>
          <w:sz w:val="44"/>
          <w:szCs w:val="44"/>
          <w:shd w:val="clear" w:color="auto" w:fill="FFFFFF"/>
          <w:lang w:val="en-US" w:eastAsia="zh-CN" w:bidi="ar-SA"/>
        </w:rPr>
        <w:t>2023年度政府信息公开年度报告</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楷体_GB2312" w:eastAsia="楷体_GB2312" w:cs="楷体_GB2312" w:hint="eastAsia"/>
          <w:b/>
          <w:bCs/>
          <w:i w:val="0"/>
          <w:iCs w:val="0"/>
          <w:caps w:val="0"/>
          <w:smallCaps w:val="0"/>
          <w:color w:val="auto"/>
          <w:spacing w:val="0"/>
          <w:sz w:val="32"/>
          <w:szCs w:val="32"/>
          <w:shd w:val="clear" w:color="auto" w:fill="FFFFFF"/>
          <w:lang w:val="en-US" w:eastAsia="zh-CN"/>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560" w:lineRule="exact"/>
        <w:ind w:right="0" w:firstLineChars="200" w:firstLine="640"/>
        <w:jc w:val="both"/>
        <w:textAlignment w:val="auto"/>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pPr>
      <w:r>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t>2023年，涞源县农业农村局坚持以习近平新时代中国特色社会主义思想为指导，全面贯彻党的二十大和二十届二中全会精神，认真贯彻落实党中央、国务院和省委、省政府关于政务公开工作决策部署，准确执行新修订的《中华人民共和国政府信息公开条例》，依据《国务院办公厅政府信息与政务公开办公室关于印发&lt;中华人民共和国政府信息公开工作年度报告格式&gt;的通知》（国办公开办函〔2021〕30号）和《河北省实施〈中华人民共和国政府信息公开条例〉办法》要求编制本报告。报告所列统计数据的统计期限自2023年1月1日起，至2023年12月31日止。</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楷体_GB2312" w:eastAsia="楷体_GB2312" w:cs="楷体_GB2312" w:hint="eastAsia"/>
          <w:b/>
          <w:bCs/>
          <w:i w:val="0"/>
          <w:iCs w:val="0"/>
          <w:caps w:val="0"/>
          <w:smallCaps w:val="0"/>
          <w:color w:val="auto"/>
          <w:spacing w:val="0"/>
          <w:sz w:val="32"/>
          <w:szCs w:val="32"/>
          <w:shd w:val="clear" w:color="auto" w:fill="FFFFFF"/>
          <w:lang w:val="en-US" w:eastAsia="zh-CN"/>
        </w:rPr>
      </w:pPr>
      <w:r>
        <w:rPr>
          <w:rFonts w:ascii="黑体" w:eastAsia="黑体" w:cs="黑体" w:hint="eastAsia"/>
          <w:b/>
          <w:bCs/>
          <w:i w:val="0"/>
          <w:iCs w:val="0"/>
          <w:caps w:val="0"/>
          <w:smallCaps w:val="0"/>
          <w:color w:val="333333"/>
          <w:spacing w:val="0"/>
          <w:sz w:val="32"/>
          <w:szCs w:val="32"/>
          <w:shd w:val="clear" w:color="auto" w:fill="FFFFFF"/>
        </w:rPr>
        <w:t>一、总体情况</w:t>
      </w:r>
    </w:p>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仿宋_GB2312" w:eastAsia="仿宋_GB2312" w:cs="仿宋_GB2312"/>
          <w:i w:val="0"/>
          <w:iCs w:val="0"/>
          <w:caps w:val="0"/>
          <w:smallCaps w:val="0"/>
          <w:color w:val="auto"/>
          <w:spacing w:val="0"/>
          <w:kern w:val="0"/>
          <w:sz w:val="32"/>
          <w:szCs w:val="32"/>
          <w:shd w:val="clear" w:color="auto" w:fill="FFFFFF"/>
          <w:lang w:val="en-US" w:eastAsia="zh-CN" w:bidi="ar-SA"/>
        </w:rPr>
      </w:pPr>
      <w:r>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t>2023年，涞源县农业农村局在县委、县政府的正确领导下，高度重视并积极推进政府信息公开工作</w:t>
      </w:r>
      <w:r>
        <w:rPr>
          <w:rFonts w:ascii="仿宋_GB2312" w:eastAsia="仿宋_GB2312" w:cs="仿宋_GB2312"/>
          <w:i w:val="0"/>
          <w:iCs w:val="0"/>
          <w:caps w:val="0"/>
          <w:smallCaps w:val="0"/>
          <w:color w:val="auto"/>
          <w:spacing w:val="0"/>
          <w:kern w:val="0"/>
          <w:sz w:val="32"/>
          <w:szCs w:val="32"/>
          <w:shd w:val="clear" w:color="auto" w:fill="FFFFFF"/>
          <w:lang w:val="en-US" w:eastAsia="zh-CN" w:bidi="ar-SA"/>
        </w:rPr>
        <w:t>。强化组织领导，健全规章制度，规范工作流程，</w:t>
      </w:r>
      <w:r>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t>认真贯彻落实好上级相关文件要求，确保政府信息全面、及时、准确公开，提高工作的透明度和公信力。</w:t>
      </w:r>
    </w:p>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仿宋_GB2312"/>
          <w:i w:val="0"/>
          <w:iCs w:val="0"/>
          <w:caps w:val="0"/>
          <w:smallCaps w:val="0"/>
          <w:color w:val="auto"/>
          <w:spacing w:val="0"/>
          <w:kern w:val="0"/>
          <w:sz w:val="32"/>
          <w:szCs w:val="32"/>
          <w:shd w:val="clear" w:color="auto" w:fill="FFFFFF"/>
          <w:lang w:val="en-US" w:eastAsia="zh-CN" w:bidi="ar-SA"/>
        </w:rPr>
      </w:pPr>
      <w:r>
        <w:rPr>
          <w:rFonts w:ascii="仿宋_GB2312" w:eastAsia="仿宋_GB2312" w:cs="仿宋_GB2312"/>
          <w:b/>
          <w:bCs/>
          <w:i w:val="0"/>
          <w:iCs w:val="0"/>
          <w:caps w:val="0"/>
          <w:smallCaps w:val="0"/>
          <w:color w:val="auto"/>
          <w:spacing w:val="0"/>
          <w:kern w:val="0"/>
          <w:sz w:val="32"/>
          <w:szCs w:val="32"/>
          <w:shd w:val="clear" w:color="auto" w:fill="FFFFFF"/>
          <w:lang w:val="en-US" w:eastAsia="zh-CN" w:bidi="ar-SA"/>
        </w:rPr>
        <w:t>（一）主动公开政府信息</w:t>
      </w:r>
      <w:r>
        <w:rPr>
          <w:rFonts w:ascii="仿宋_GB2312" w:eastAsia="仿宋_GB2312" w:cs="仿宋_GB2312"/>
          <w:i w:val="0"/>
          <w:iCs w:val="0"/>
          <w:caps w:val="0"/>
          <w:smallCaps w:val="0"/>
          <w:color w:val="auto"/>
          <w:spacing w:val="0"/>
          <w:kern w:val="0"/>
          <w:sz w:val="32"/>
          <w:szCs w:val="32"/>
          <w:shd w:val="clear" w:color="auto" w:fill="FFFFFF"/>
          <w:lang w:val="en-US" w:eastAsia="zh-CN" w:bidi="ar-SA"/>
        </w:rPr>
        <w:t>。2023年</w:t>
      </w:r>
      <w:r>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t>在涞源县政府信息公开平台上主动公开政府信息64条，其中涉农补贴1条、建议提案24条、机构设置和职能1条、规范性文件2条、计划1条、年度报告、工作总结1条、工作部署1条、公告公示29条、政府投资项目1条、财政预算2条、财政决算1条。在涞源县执法平台主动公开行政执法信息29条，全年共主动公开信息93条。</w:t>
      </w:r>
    </w:p>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仿宋_GB2312"/>
          <w:i w:val="0"/>
          <w:iCs w:val="0"/>
          <w:caps w:val="0"/>
          <w:smallCaps w:val="0"/>
          <w:color w:val="auto"/>
          <w:spacing w:val="0"/>
          <w:kern w:val="0"/>
          <w:sz w:val="32"/>
          <w:szCs w:val="32"/>
          <w:shd w:val="clear" w:color="auto" w:fill="FFFFFF"/>
          <w:lang w:val="en-US" w:eastAsia="zh-CN" w:bidi="ar-SA"/>
        </w:rPr>
      </w:pPr>
      <w:r>
        <w:rPr>
          <w:rFonts w:ascii="仿宋_GB2312" w:eastAsia="仿宋_GB2312" w:cs="仿宋_GB2312"/>
          <w:b/>
          <w:bCs/>
          <w:i w:val="0"/>
          <w:iCs w:val="0"/>
          <w:caps w:val="0"/>
          <w:smallCaps w:val="0"/>
          <w:color w:val="auto"/>
          <w:spacing w:val="0"/>
          <w:kern w:val="0"/>
          <w:sz w:val="32"/>
          <w:szCs w:val="32"/>
          <w:shd w:val="clear" w:color="auto" w:fill="FFFFFF"/>
          <w:lang w:val="en-US" w:eastAsia="zh-CN" w:bidi="ar-SA"/>
        </w:rPr>
        <w:t>（二）依申请公开情况及行政复议</w:t>
      </w:r>
      <w:r>
        <w:rPr>
          <w:rFonts w:ascii="仿宋_GB2312" w:eastAsia="仿宋_GB2312" w:cs="仿宋_GB2312"/>
          <w:i w:val="0"/>
          <w:iCs w:val="0"/>
          <w:caps w:val="0"/>
          <w:smallCaps w:val="0"/>
          <w:color w:val="auto"/>
          <w:spacing w:val="0"/>
          <w:kern w:val="0"/>
          <w:sz w:val="32"/>
          <w:szCs w:val="32"/>
          <w:shd w:val="clear" w:color="auto" w:fill="FFFFFF"/>
          <w:lang w:val="en-US" w:eastAsia="zh-CN" w:bidi="ar-SA"/>
        </w:rPr>
        <w:t>。认真贯彻落实《中华人民共和国政府信息公开条例》，依法依规做好涞源县农业农村依申请公开工作。我局2023年未接到依申请公开事项及无行政复议情况。</w:t>
      </w:r>
    </w:p>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仿宋_GB2312"/>
          <w:i w:val="0"/>
          <w:iCs w:val="0"/>
          <w:caps w:val="0"/>
          <w:smallCaps w:val="0"/>
          <w:color w:val="auto"/>
          <w:spacing w:val="0"/>
          <w:kern w:val="0"/>
          <w:sz w:val="32"/>
          <w:szCs w:val="32"/>
          <w:shd w:val="clear" w:color="auto" w:fill="FFFFFF"/>
          <w:lang w:val="en-US" w:eastAsia="zh-CN" w:bidi="ar-SA"/>
        </w:rPr>
      </w:pPr>
      <w:r>
        <w:rPr>
          <w:rFonts w:ascii="仿宋_GB2312" w:eastAsia="仿宋_GB2312" w:cs="仿宋_GB2312"/>
          <w:b/>
          <w:bCs/>
          <w:i w:val="0"/>
          <w:iCs w:val="0"/>
          <w:caps w:val="0"/>
          <w:smallCaps w:val="0"/>
          <w:color w:val="auto"/>
          <w:spacing w:val="0"/>
          <w:kern w:val="0"/>
          <w:sz w:val="32"/>
          <w:szCs w:val="32"/>
          <w:shd w:val="clear" w:color="auto" w:fill="FFFFFF"/>
          <w:lang w:val="en-US" w:eastAsia="zh-CN" w:bidi="ar-SA"/>
        </w:rPr>
        <w:t>（三）政府信息管理方面。</w:t>
      </w:r>
      <w:r>
        <w:rPr>
          <w:rFonts w:ascii="仿宋_GB2312" w:eastAsia="仿宋_GB2312" w:cs="仿宋_GB2312"/>
          <w:i w:val="0"/>
          <w:iCs w:val="0"/>
          <w:caps w:val="0"/>
          <w:smallCaps w:val="0"/>
          <w:color w:val="auto"/>
          <w:spacing w:val="0"/>
          <w:kern w:val="0"/>
          <w:sz w:val="32"/>
          <w:szCs w:val="32"/>
          <w:shd w:val="clear" w:color="auto" w:fill="FFFFFF"/>
          <w:lang w:val="en-US" w:eastAsia="zh-CN" w:bidi="ar-SA"/>
        </w:rPr>
        <w:t>认真落实政府信息公开保密审查制度，准确把握不同类型公开要求，合理确定公开方式。审核确认规范性文件，在门户网站上进行公开，方便公众查询使用。</w:t>
      </w:r>
    </w:p>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仿宋_GB2312"/>
          <w:i w:val="0"/>
          <w:iCs w:val="0"/>
          <w:caps w:val="0"/>
          <w:smallCaps w:val="0"/>
          <w:color w:val="auto"/>
          <w:spacing w:val="0"/>
          <w:kern w:val="0"/>
          <w:sz w:val="32"/>
          <w:szCs w:val="32"/>
          <w:shd w:val="clear" w:color="auto" w:fill="FFFFFF"/>
          <w:lang w:val="en-US" w:eastAsia="zh-CN" w:bidi="ar-SA"/>
        </w:rPr>
      </w:pPr>
      <w:r>
        <w:rPr>
          <w:rFonts w:ascii="仿宋_GB2312" w:eastAsia="仿宋_GB2312" w:cs="仿宋_GB2312"/>
          <w:b/>
          <w:bCs/>
          <w:i w:val="0"/>
          <w:iCs w:val="0"/>
          <w:caps w:val="0"/>
          <w:smallCaps w:val="0"/>
          <w:color w:val="auto"/>
          <w:spacing w:val="0"/>
          <w:kern w:val="0"/>
          <w:sz w:val="32"/>
          <w:szCs w:val="32"/>
          <w:shd w:val="clear" w:color="auto" w:fill="FFFFFF"/>
          <w:lang w:val="en-US" w:eastAsia="zh-CN" w:bidi="ar-SA"/>
        </w:rPr>
        <w:t>（四）政府信息公开平台建设方面。</w:t>
      </w:r>
      <w:r>
        <w:rPr>
          <w:rFonts w:ascii="仿宋_GB2312" w:eastAsia="仿宋_GB2312" w:cs="仿宋_GB2312"/>
          <w:i w:val="0"/>
          <w:iCs w:val="0"/>
          <w:caps w:val="0"/>
          <w:smallCaps w:val="0"/>
          <w:color w:val="auto"/>
          <w:spacing w:val="0"/>
          <w:kern w:val="0"/>
          <w:sz w:val="32"/>
          <w:szCs w:val="32"/>
          <w:shd w:val="clear" w:color="auto" w:fill="FFFFFF"/>
          <w:lang w:val="en-US" w:eastAsia="zh-CN" w:bidi="ar-SA"/>
        </w:rPr>
        <w:t>强化政府信息公共载体建设，把政府信息公开工作落到实处。通过政府门户网站、公众号、政务公开栏、电子显示屏等载体，多渠道发布政府信息和重要事项。</w:t>
      </w:r>
    </w:p>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仿宋_GB2312"/>
          <w:i w:val="0"/>
          <w:iCs w:val="0"/>
          <w:caps w:val="0"/>
          <w:smallCaps w:val="0"/>
          <w:color w:val="auto"/>
          <w:spacing w:val="0"/>
          <w:kern w:val="0"/>
          <w:sz w:val="32"/>
          <w:szCs w:val="32"/>
          <w:shd w:val="clear" w:color="auto" w:fill="FFFFFF"/>
          <w:lang w:val="en-US" w:eastAsia="zh-CN" w:bidi="ar-SA"/>
        </w:rPr>
      </w:pPr>
      <w:r>
        <w:rPr>
          <w:rFonts w:ascii="仿宋_GB2312" w:eastAsia="仿宋_GB2312" w:cs="仿宋_GB2312"/>
          <w:b/>
          <w:bCs/>
          <w:i w:val="0"/>
          <w:iCs w:val="0"/>
          <w:caps w:val="0"/>
          <w:smallCaps w:val="0"/>
          <w:color w:val="auto"/>
          <w:spacing w:val="0"/>
          <w:kern w:val="0"/>
          <w:sz w:val="32"/>
          <w:szCs w:val="32"/>
          <w:shd w:val="clear" w:color="auto" w:fill="FFFFFF"/>
          <w:lang w:val="en-US" w:eastAsia="zh-CN" w:bidi="ar-SA"/>
        </w:rPr>
        <w:t>（五）政府信息监督保障方面</w:t>
      </w:r>
      <w:r>
        <w:rPr>
          <w:rFonts w:ascii="仿宋_GB2312" w:eastAsia="仿宋_GB2312" w:cs="仿宋_GB2312"/>
          <w:i w:val="0"/>
          <w:iCs w:val="0"/>
          <w:caps w:val="0"/>
          <w:smallCaps w:val="0"/>
          <w:color w:val="auto"/>
          <w:spacing w:val="0"/>
          <w:kern w:val="0"/>
          <w:sz w:val="32"/>
          <w:szCs w:val="32"/>
          <w:shd w:val="clear" w:color="auto" w:fill="FFFFFF"/>
          <w:lang w:val="en-US" w:eastAsia="zh-CN" w:bidi="ar-SA"/>
        </w:rPr>
        <w:t>。按照县政府工作要求，严格落实政府信息公开工作，将政府信息公开与各项重点工作同步实施，确保政府信息公开工作落到实处。</w:t>
      </w:r>
    </w:p>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ind w:left="0" w:firstLineChars="200" w:firstLine="640"/>
        <w:jc w:val="both"/>
        <w:textAlignment w:val="auto"/>
        <w:rPr>
          <w:rFonts w:ascii="黑体" w:eastAsia="黑体" w:cs="黑体" w:hint="eastAsia"/>
          <w:b/>
          <w:color w:val="333333"/>
          <w:sz w:val="32"/>
          <w:szCs w:val="32"/>
          <w:shd w:val="clear" w:color="auto" w:fill="FFFFFF"/>
        </w:rPr>
      </w:pPr>
      <w:r>
        <w:rPr>
          <w:rFonts w:ascii="黑体" w:eastAsia="黑体" w:cs="黑体" w:hint="eastAsia"/>
          <w:b/>
          <w:color w:val="333333"/>
          <w:sz w:val="32"/>
          <w:szCs w:val="32"/>
          <w:shd w:val="clear" w:color="auto" w:fill="FFFFFF"/>
          <w:lang w:val="en-US" w:eastAsia="zh-CN"/>
        </w:rPr>
        <w:t>二、</w:t>
      </w:r>
      <w:r>
        <w:rPr>
          <w:rFonts w:ascii="黑体" w:eastAsia="黑体" w:cs="黑体" w:hint="eastAsia"/>
          <w:b/>
          <w:color w:val="333333"/>
          <w:sz w:val="32"/>
          <w:szCs w:val="32"/>
          <w:shd w:val="clear" w:color="auto" w:fill="FFFFFF"/>
        </w:rPr>
        <w:t>主动公开政府信息情况</w:t>
      </w:r>
    </w:p>
    <w:tbl>
      <w:tblPr>
        <w:jc w:val="center"/>
        <w:tblW w:w="9333"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
      <w:tblGrid>
        <w:gridCol w:w="2435"/>
        <w:gridCol w:w="2435"/>
        <w:gridCol w:w="2435"/>
        <w:gridCol w:w="2028"/>
      </w:tblGrid>
      <w:tr>
        <w:trPr>
          <w:trHeight w:val="340"/>
        </w:trPr>
        <w:tc>
          <w:tcPr>
            <w:tcW w:w="9333"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第二十条第（一）项</w:t>
            </w:r>
          </w:p>
        </w:tc>
      </w:tr>
      <w:tr>
        <w:trPr>
          <w:trHeight w:val="340"/>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信息内容</w:t>
            </w:r>
          </w:p>
        </w:tc>
        <w:tc>
          <w:tcPr>
            <w:tcW w:w="2435" w:type="dxa"/>
            <w:tcBorders>
              <w:top w:val="single" w:sz="8" w:space="0" w:color="auto"/>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本年制发件数</w:t>
            </w:r>
          </w:p>
        </w:tc>
        <w:tc>
          <w:tcPr>
            <w:tcW w:w="2435" w:type="dxa"/>
            <w:tcBorders>
              <w:top w:val="single" w:sz="8" w:space="0" w:color="auto"/>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本年废止件数</w:t>
            </w:r>
          </w:p>
        </w:tc>
        <w:tc>
          <w:tcPr>
            <w:tcW w:w="2028" w:type="dxa"/>
            <w:tcBorders>
              <w:top w:val="single" w:sz="8" w:space="0" w:color="auto"/>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现行有效件数</w:t>
            </w:r>
          </w:p>
        </w:tc>
      </w:tr>
      <w:tr>
        <w:trPr>
          <w:trHeight w:val="340"/>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left"/>
              <w:rPr>
                <w:sz w:val="20"/>
                <w:szCs w:val="20"/>
              </w:rPr>
            </w:pPr>
            <w:r>
              <w:rPr>
                <w:rFonts w:ascii="宋体" w:eastAsia="宋体" w:cs="宋体" w:hint="eastAsia"/>
                <w:caps w:val="0"/>
                <w:smallCaps w:val="0"/>
                <w:spacing w:val="0"/>
                <w:kern w:val="0"/>
                <w:sz w:val="20"/>
                <w:szCs w:val="20"/>
                <w:lang w:val="en-US" w:eastAsia="zh-CN"/>
              </w:rPr>
              <w:t>规章</w:t>
            </w:r>
          </w:p>
        </w:tc>
        <w:tc>
          <w:tcPr>
            <w:tcW w:w="2435" w:type="dxa"/>
            <w:tcBorders>
              <w:top w:val="nil"/>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lang w:val="en-US"/>
              </w:rPr>
            </w:pPr>
            <w:r>
              <w:rPr>
                <w:rFonts w:ascii="宋体" w:eastAsia="宋体" w:cs="宋体" w:hint="eastAsia"/>
                <w:caps w:val="0"/>
                <w:smallCaps w:val="0"/>
                <w:spacing w:val="0"/>
                <w:kern w:val="0"/>
                <w:sz w:val="20"/>
                <w:szCs w:val="20"/>
                <w:lang w:val="en-US" w:eastAsia="zh-CN"/>
              </w:rPr>
              <w:t>0</w:t>
            </w:r>
          </w:p>
        </w:tc>
        <w:tc>
          <w:tcPr>
            <w:tcW w:w="2435" w:type="dxa"/>
            <w:tcBorders>
              <w:top w:val="nil"/>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0</w:t>
            </w:r>
          </w:p>
        </w:tc>
        <w:tc>
          <w:tcPr>
            <w:tcW w:w="2028" w:type="dxa"/>
            <w:tcBorders>
              <w:top w:val="nil"/>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rFonts w:eastAsia="仿宋_GB2312" w:hint="eastAsia"/>
                <w:sz w:val="20"/>
                <w:szCs w:val="20"/>
                <w:lang w:val="en-US" w:eastAsia="zh-CN"/>
              </w:rPr>
            </w:pPr>
            <w:r>
              <w:rPr>
                <w:rFonts w:ascii="宋体" w:eastAsia="宋体" w:cs="宋体" w:hint="eastAsia"/>
                <w:caps w:val="0"/>
                <w:smallCaps w:val="0"/>
                <w:spacing w:val="0"/>
                <w:kern w:val="0"/>
                <w:sz w:val="20"/>
                <w:szCs w:val="20"/>
                <w:lang w:val="en-US" w:eastAsia="zh-CN"/>
              </w:rPr>
              <w:t>0</w:t>
            </w:r>
          </w:p>
        </w:tc>
      </w:tr>
      <w:tr>
        <w:trPr>
          <w:trHeight w:val="340"/>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left"/>
              <w:rPr>
                <w:sz w:val="20"/>
                <w:szCs w:val="20"/>
              </w:rPr>
            </w:pPr>
            <w:r>
              <w:rPr>
                <w:rFonts w:ascii="宋体" w:eastAsia="宋体" w:cs="宋体" w:hint="eastAsia"/>
                <w:caps w:val="0"/>
                <w:smallCaps w:val="0"/>
                <w:spacing w:val="0"/>
                <w:kern w:val="0"/>
                <w:sz w:val="20"/>
                <w:szCs w:val="20"/>
                <w:lang w:val="en-US" w:eastAsia="zh-CN"/>
              </w:rPr>
              <w:t>行政规范性文件</w:t>
            </w:r>
          </w:p>
        </w:tc>
        <w:tc>
          <w:tcPr>
            <w:tcW w:w="2435" w:type="dxa"/>
            <w:tcBorders>
              <w:top w:val="nil"/>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rFonts w:eastAsia="仿宋_GB2312"/>
                <w:sz w:val="20"/>
                <w:szCs w:val="20"/>
                <w:lang w:val="en-US" w:eastAsia="zh-CN"/>
              </w:rPr>
            </w:pPr>
            <w:r>
              <w:rPr>
                <w:rFonts w:ascii="宋体" w:eastAsia="宋体" w:cs="宋体" w:hint="eastAsia"/>
                <w:caps w:val="0"/>
                <w:smallCaps w:val="0"/>
                <w:spacing w:val="0"/>
                <w:kern w:val="0"/>
                <w:sz w:val="20"/>
                <w:szCs w:val="20"/>
                <w:lang w:val="en-US" w:eastAsia="zh-CN"/>
              </w:rPr>
              <w:t>2</w:t>
            </w:r>
          </w:p>
        </w:tc>
        <w:tc>
          <w:tcPr>
            <w:tcW w:w="2435" w:type="dxa"/>
            <w:tcBorders>
              <w:top w:val="nil"/>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0</w:t>
            </w:r>
          </w:p>
        </w:tc>
        <w:tc>
          <w:tcPr>
            <w:tcW w:w="2028" w:type="dxa"/>
            <w:tcBorders>
              <w:top w:val="nil"/>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lang w:val="en-US"/>
              </w:rPr>
            </w:pPr>
            <w:r>
              <w:rPr>
                <w:rFonts w:ascii="宋体" w:eastAsia="宋体" w:cs="宋体" w:hint="eastAsia"/>
                <w:caps w:val="0"/>
                <w:smallCaps w:val="0"/>
                <w:spacing w:val="0"/>
                <w:kern w:val="0"/>
                <w:sz w:val="20"/>
                <w:szCs w:val="20"/>
                <w:lang w:val="en-US" w:eastAsia="zh-CN"/>
              </w:rPr>
              <w:t>2</w:t>
            </w:r>
          </w:p>
        </w:tc>
      </w:tr>
      <w:tr>
        <w:trPr>
          <w:trHeight w:val="340"/>
        </w:trPr>
        <w:tc>
          <w:tcPr>
            <w:tcW w:w="9333"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第二十条第（五）项</w:t>
            </w:r>
          </w:p>
        </w:tc>
      </w:tr>
      <w:tr>
        <w:trPr>
          <w:trHeight w:val="340"/>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信息内容</w:t>
            </w:r>
          </w:p>
        </w:tc>
        <w:tc>
          <w:tcPr>
            <w:tcW w:w="6898"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本年处理决定数量</w:t>
            </w:r>
          </w:p>
        </w:tc>
      </w:tr>
      <w:tr>
        <w:trPr>
          <w:trHeight w:val="340"/>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left"/>
              <w:rPr>
                <w:sz w:val="20"/>
                <w:szCs w:val="20"/>
              </w:rPr>
            </w:pPr>
            <w:r>
              <w:rPr>
                <w:rFonts w:ascii="宋体" w:eastAsia="宋体" w:cs="宋体" w:hint="eastAsia"/>
                <w:caps w:val="0"/>
                <w:smallCaps w:val="0"/>
                <w:spacing w:val="0"/>
                <w:kern w:val="0"/>
                <w:sz w:val="20"/>
                <w:szCs w:val="20"/>
                <w:lang w:val="en-US" w:eastAsia="zh-CN"/>
              </w:rPr>
              <w:t>行政许可</w:t>
            </w:r>
          </w:p>
        </w:tc>
        <w:tc>
          <w:tcPr>
            <w:tcW w:w="6898"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lang w:val="en-US"/>
              </w:rPr>
            </w:pPr>
            <w:r>
              <w:rPr>
                <w:rFonts w:ascii="宋体" w:eastAsia="宋体" w:cs="宋体" w:hint="eastAsia"/>
                <w:caps w:val="0"/>
                <w:smallCaps w:val="0"/>
                <w:spacing w:val="0"/>
                <w:kern w:val="0"/>
                <w:sz w:val="20"/>
                <w:szCs w:val="20"/>
                <w:lang w:val="en-US" w:eastAsia="zh-CN"/>
              </w:rPr>
              <w:t>0</w:t>
            </w:r>
          </w:p>
        </w:tc>
      </w:tr>
      <w:tr>
        <w:trPr>
          <w:trHeight w:val="340"/>
        </w:trPr>
        <w:tc>
          <w:tcPr>
            <w:tcW w:w="9333"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第二十条第（六）项</w:t>
            </w:r>
          </w:p>
        </w:tc>
      </w:tr>
      <w:tr>
        <w:trPr>
          <w:trHeight w:val="340"/>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sz w:val="20"/>
                <w:szCs w:val="20"/>
              </w:rPr>
            </w:pPr>
            <w:r>
              <w:rPr>
                <w:rFonts w:ascii="宋体" w:eastAsia="宋体" w:cs="宋体" w:hint="eastAsia"/>
                <w:caps w:val="0"/>
                <w:smallCaps w:val="0"/>
                <w:spacing w:val="0"/>
                <w:kern w:val="0"/>
                <w:sz w:val="20"/>
                <w:szCs w:val="20"/>
                <w:lang w:val="en-US" w:eastAsia="zh-CN"/>
              </w:rPr>
              <w:t>信息内容</w:t>
            </w:r>
          </w:p>
        </w:tc>
        <w:tc>
          <w:tcPr>
            <w:tcW w:w="6898" w:type="dxa"/>
            <w:gridSpan w:val="3"/>
            <w:tcBorders>
              <w:top w:val="single" w:sz="8" w:space="0" w:color="auto"/>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sz w:val="20"/>
                <w:szCs w:val="20"/>
              </w:rPr>
            </w:pPr>
            <w:r>
              <w:rPr>
                <w:rFonts w:ascii="宋体" w:eastAsia="宋体" w:cs="宋体" w:hint="eastAsia"/>
                <w:caps w:val="0"/>
                <w:smallCaps w:val="0"/>
                <w:spacing w:val="0"/>
                <w:kern w:val="0"/>
                <w:sz w:val="20"/>
                <w:szCs w:val="20"/>
                <w:lang w:val="en-US" w:eastAsia="zh-CN"/>
              </w:rPr>
              <w:t>本年处理决定数量</w:t>
            </w:r>
          </w:p>
        </w:tc>
      </w:tr>
      <w:tr>
        <w:trPr>
          <w:trHeight w:val="340"/>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left"/>
              <w:rPr>
                <w:sz w:val="20"/>
                <w:szCs w:val="20"/>
              </w:rPr>
            </w:pPr>
            <w:r>
              <w:rPr>
                <w:rFonts w:ascii="宋体" w:eastAsia="宋体" w:cs="宋体" w:hint="eastAsia"/>
                <w:caps w:val="0"/>
                <w:smallCaps w:val="0"/>
                <w:spacing w:val="0"/>
                <w:kern w:val="0"/>
                <w:sz w:val="20"/>
                <w:szCs w:val="20"/>
                <w:lang w:val="en-US" w:eastAsia="zh-CN"/>
              </w:rPr>
              <w:t>行政处罚</w:t>
            </w:r>
          </w:p>
        </w:tc>
        <w:tc>
          <w:tcPr>
            <w:tcW w:w="6898"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lang w:val="en-US"/>
              </w:rPr>
            </w:pPr>
            <w:r>
              <w:rPr>
                <w:rFonts w:ascii="宋体" w:eastAsia="宋体" w:cs="宋体" w:hint="eastAsia"/>
                <w:caps w:val="0"/>
                <w:smallCaps w:val="0"/>
                <w:spacing w:val="0"/>
                <w:kern w:val="0"/>
                <w:sz w:val="20"/>
                <w:szCs w:val="20"/>
                <w:lang w:val="en-US" w:eastAsia="zh-CN"/>
              </w:rPr>
              <w:t>0</w:t>
            </w:r>
          </w:p>
        </w:tc>
      </w:tr>
      <w:tr>
        <w:trPr>
          <w:trHeight w:val="340"/>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left"/>
              <w:rPr>
                <w:sz w:val="20"/>
                <w:szCs w:val="20"/>
              </w:rPr>
            </w:pPr>
            <w:r>
              <w:rPr>
                <w:rFonts w:ascii="宋体" w:eastAsia="宋体" w:cs="宋体" w:hint="eastAsia"/>
                <w:caps w:val="0"/>
                <w:smallCaps w:val="0"/>
                <w:spacing w:val="0"/>
                <w:kern w:val="0"/>
                <w:sz w:val="20"/>
                <w:szCs w:val="20"/>
                <w:lang w:val="en-US" w:eastAsia="zh-CN"/>
              </w:rPr>
              <w:t>行政强制</w:t>
            </w:r>
          </w:p>
        </w:tc>
        <w:tc>
          <w:tcPr>
            <w:tcW w:w="6898"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lang w:val="en-US"/>
              </w:rPr>
            </w:pPr>
            <w:r>
              <w:rPr>
                <w:rFonts w:ascii="宋体" w:eastAsia="宋体" w:cs="宋体" w:hint="eastAsia"/>
                <w:caps w:val="0"/>
                <w:smallCaps w:val="0"/>
                <w:spacing w:val="0"/>
                <w:kern w:val="0"/>
                <w:sz w:val="20"/>
                <w:szCs w:val="20"/>
                <w:lang w:val="en-US" w:eastAsia="zh-CN"/>
              </w:rPr>
              <w:t>0</w:t>
            </w:r>
          </w:p>
        </w:tc>
      </w:tr>
      <w:tr>
        <w:trPr>
          <w:trHeight w:val="340"/>
        </w:trPr>
        <w:tc>
          <w:tcPr>
            <w:tcW w:w="9333"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第二十条第（八）项</w:t>
            </w:r>
          </w:p>
        </w:tc>
      </w:tr>
      <w:tr>
        <w:trPr>
          <w:trHeight w:val="340"/>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信息内容</w:t>
            </w:r>
          </w:p>
        </w:tc>
        <w:tc>
          <w:tcPr>
            <w:tcW w:w="6898" w:type="dxa"/>
            <w:gridSpan w:val="3"/>
            <w:tcBorders>
              <w:top w:val="nil"/>
              <w:left w:val="nil"/>
              <w:bottom w:val="single" w:sz="8" w:space="0" w:color="auto"/>
              <w:right w:val="single" w:sz="8" w:space="0" w:color="000000"/>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rPr>
            </w:pPr>
            <w:r>
              <w:rPr>
                <w:rFonts w:ascii="宋体" w:eastAsia="宋体" w:cs="宋体" w:hint="eastAsia"/>
                <w:caps w:val="0"/>
                <w:smallCaps w:val="0"/>
                <w:spacing w:val="0"/>
                <w:kern w:val="0"/>
                <w:sz w:val="20"/>
                <w:szCs w:val="20"/>
                <w:lang w:val="en-US" w:eastAsia="zh-CN"/>
              </w:rPr>
              <w:t>本年收费金额（单位：万元）</w:t>
            </w:r>
          </w:p>
        </w:tc>
      </w:tr>
      <w:tr>
        <w:trPr>
          <w:trHeight w:val="340"/>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left"/>
              <w:rPr>
                <w:sz w:val="20"/>
                <w:szCs w:val="20"/>
              </w:rPr>
            </w:pPr>
            <w:r>
              <w:rPr>
                <w:rFonts w:ascii="宋体" w:eastAsia="宋体" w:cs="宋体" w:hint="eastAsia"/>
                <w:caps w:val="0"/>
                <w:smallCaps w:val="0"/>
                <w:spacing w:val="0"/>
                <w:kern w:val="0"/>
                <w:sz w:val="20"/>
                <w:szCs w:val="20"/>
                <w:lang w:val="en-US" w:eastAsia="zh-CN"/>
              </w:rPr>
              <w:t>行政事业性收费</w:t>
            </w:r>
          </w:p>
        </w:tc>
        <w:tc>
          <w:tcPr>
            <w:tcW w:w="6898" w:type="dxa"/>
            <w:gridSpan w:val="3"/>
            <w:tcBorders>
              <w:top w:val="nil"/>
              <w:left w:val="nil"/>
              <w:bottom w:val="single" w:sz="8" w:space="0" w:color="auto"/>
              <w:right w:val="single" w:sz="8" w:space="0" w:color="000000"/>
            </w:tcBorders>
            <w:shd w:val="clear" w:color="auto" w:fill="FFFFFF"/>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jc w:val="center"/>
              <w:rPr>
                <w:sz w:val="20"/>
                <w:szCs w:val="20"/>
                <w:lang w:val="en-US"/>
              </w:rPr>
            </w:pPr>
            <w:r>
              <w:rPr>
                <w:rFonts w:ascii="宋体" w:eastAsia="宋体" w:cs="宋体" w:hint="eastAsia"/>
                <w:caps w:val="0"/>
                <w:smallCaps w:val="0"/>
                <w:spacing w:val="0"/>
                <w:kern w:val="0"/>
                <w:sz w:val="20"/>
                <w:szCs w:val="20"/>
                <w:lang w:val="en-US" w:eastAsia="zh-CN"/>
              </w:rPr>
              <w:t>0</w:t>
            </w:r>
          </w:p>
        </w:tc>
      </w:tr>
    </w:tbl>
    <w:p>
      <w:pPr>
        <w:pStyle w:val="15"/>
        <w:shd w:val="clear" w:color="auto" w:fill="auto"/>
        <w:spacing w:before="0" w:beforeAutospacing="0" w:after="0" w:afterAutospacing="0"/>
        <w:ind w:firstLine="420"/>
        <w:jc w:val="both"/>
        <w:rPr>
          <w:rFonts w:hint="eastAsia"/>
          <w:color w:val="333333"/>
        </w:rPr>
      </w:pPr>
    </w:p>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ind w:left="0" w:firstLineChars="200" w:firstLine="640"/>
        <w:jc w:val="both"/>
        <w:textAlignment w:val="auto"/>
        <w:rPr>
          <w:rFonts w:ascii="黑体" w:eastAsia="黑体" w:cs="黑体" w:hint="eastAsia"/>
          <w:b/>
          <w:color w:val="333333"/>
          <w:sz w:val="32"/>
          <w:szCs w:val="32"/>
          <w:shd w:val="clear" w:color="auto" w:fill="FFFFFF"/>
        </w:rPr>
      </w:pPr>
      <w:r>
        <w:rPr>
          <w:rFonts w:ascii="黑体" w:eastAsia="黑体" w:cs="黑体" w:hint="eastAsia"/>
          <w:b/>
          <w:color w:val="333333"/>
          <w:sz w:val="32"/>
          <w:szCs w:val="32"/>
          <w:shd w:val="clear" w:color="auto" w:fill="FFFFFF"/>
        </w:rPr>
        <w:t>三、收到和处理政府信息公开申请情况</w:t>
      </w:r>
    </w:p>
    <w:tbl>
      <w:tblPr>
        <w:jc w:val="center"/>
        <w:tblW w:w="90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c>
          <w:tcPr>
            <w:tcW w:w="3558" w:type="dxa"/>
            <w:gridSpan w:val="3"/>
            <w:vMerge w:val="restart"/>
            <w:tcBorders>
              <w:tl2br w:val="nil"/>
              <w:tr2bl w:val="nil"/>
            </w:tcBorders>
            <w:noWrap/>
            <w:tcMar>
              <w:left w:w="108" w:type="dxa"/>
              <w:right w:w="108" w:type="dxa"/>
            </w:tcMar>
            <w:vAlign w:val="center"/>
          </w:tcPr>
          <w:p>
            <w:pPr>
              <w:widowControl/>
              <w:spacing w:after="180"/>
              <w:jc w:val="center"/>
            </w:pPr>
            <w:r>
              <w:rPr>
                <w:rFonts w:ascii="宋体" w:eastAsia="宋体" w:cs="宋体" w:hint="eastAsia"/>
                <w:kern w:val="0"/>
                <w:sz w:val="20"/>
                <w:szCs w:val="20"/>
              </w:rPr>
              <w:t>（本列数据的勾稽关系为：第一项加第二项之和，等于第三项加第四项之和）</w:t>
            </w:r>
          </w:p>
        </w:tc>
        <w:tc>
          <w:tcPr>
            <w:tcW w:w="5513" w:type="dxa"/>
            <w:gridSpan w:val="7"/>
            <w:tcBorders>
              <w:tl2br w:val="nil"/>
              <w:tr2bl w:val="nil"/>
            </w:tcBorders>
            <w:noWrap/>
            <w:tcMar>
              <w:left w:w="108" w:type="dxa"/>
              <w:right w:w="108" w:type="dxa"/>
            </w:tcMar>
            <w:vAlign w:val="center"/>
          </w:tcPr>
          <w:p>
            <w:pPr>
              <w:widowControl/>
              <w:spacing w:after="180"/>
              <w:jc w:val="center"/>
            </w:pPr>
            <w:r>
              <w:rPr>
                <w:rFonts w:ascii="宋体" w:eastAsia="宋体" w:cs="宋体" w:hint="eastAsia"/>
                <w:kern w:val="0"/>
                <w:sz w:val="20"/>
                <w:szCs w:val="20"/>
              </w:rPr>
              <w:t>申请人情况</w:t>
            </w:r>
          </w:p>
        </w:tc>
      </w:tr>
      <w:tr>
        <w:tc>
          <w:tcPr>
            <w:tcW w:w="3558" w:type="dxa"/>
            <w:gridSpan w:val="3"/>
            <w:vMerge/>
            <w:tcBorders>
              <w:tl2br w:val="nil"/>
              <w:tr2bl w:val="nil"/>
            </w:tcBorders>
            <w:noWrap/>
            <w:tcMar>
              <w:left w:w="108" w:type="dxa"/>
              <w:right w:w="108" w:type="dxa"/>
            </w:tcMar>
            <w:vAlign w:val="center"/>
          </w:tcPr>
          <w:p/>
        </w:tc>
        <w:tc>
          <w:tcPr>
            <w:tcW w:w="814" w:type="dxa"/>
            <w:vMerge w:val="restart"/>
            <w:tcBorders>
              <w:tl2br w:val="nil"/>
              <w:tr2bl w:val="nil"/>
            </w:tcBorders>
            <w:noWrap/>
            <w:tcMar>
              <w:left w:w="108" w:type="dxa"/>
              <w:right w:w="108" w:type="dxa"/>
            </w:tcMar>
            <w:vAlign w:val="center"/>
          </w:tcPr>
          <w:p>
            <w:pPr>
              <w:widowControl/>
              <w:spacing w:after="180"/>
              <w:jc w:val="center"/>
              <w:rPr>
                <w:rFonts w:ascii="宋体" w:hAnsi="宋体" w:hint="eastAsia"/>
                <w:sz w:val="24"/>
              </w:rPr>
            </w:pPr>
            <w:r>
              <w:rPr>
                <w:rFonts w:ascii="宋体" w:eastAsia="宋体" w:cs="宋体" w:hint="eastAsia"/>
                <w:kern w:val="0"/>
                <w:sz w:val="20"/>
                <w:szCs w:val="20"/>
              </w:rPr>
              <w:t>自然人</w:t>
            </w:r>
          </w:p>
        </w:tc>
        <w:tc>
          <w:tcPr>
            <w:tcW w:w="4010" w:type="dxa"/>
            <w:gridSpan w:val="5"/>
            <w:tcBorders>
              <w:tl2br w:val="nil"/>
              <w:tr2bl w:val="nil"/>
            </w:tcBorders>
            <w:noWrap/>
            <w:tcMar>
              <w:left w:w="108" w:type="dxa"/>
              <w:right w:w="108" w:type="dxa"/>
            </w:tcMar>
            <w:vAlign w:val="center"/>
          </w:tcPr>
          <w:p>
            <w:pPr>
              <w:widowControl/>
              <w:spacing w:after="180"/>
              <w:jc w:val="center"/>
            </w:pPr>
            <w:r>
              <w:rPr>
                <w:rFonts w:ascii="宋体" w:eastAsia="宋体" w:cs="宋体" w:hint="eastAsia"/>
                <w:kern w:val="0"/>
                <w:sz w:val="20"/>
                <w:szCs w:val="20"/>
              </w:rPr>
              <w:t>法人或其他组织</w:t>
            </w:r>
          </w:p>
        </w:tc>
        <w:tc>
          <w:tcPr>
            <w:tcW w:w="689" w:type="dxa"/>
            <w:vMerge w:val="restart"/>
            <w:tcBorders>
              <w:tl2br w:val="nil"/>
              <w:tr2bl w:val="nil"/>
            </w:tcBorders>
            <w:noWrap/>
            <w:tcMar>
              <w:left w:w="108" w:type="dxa"/>
              <w:right w:w="108" w:type="dxa"/>
            </w:tcMar>
            <w:vAlign w:val="center"/>
          </w:tcPr>
          <w:p>
            <w:pPr>
              <w:widowControl/>
              <w:spacing w:after="180"/>
              <w:jc w:val="center"/>
            </w:pPr>
            <w:r>
              <w:rPr>
                <w:rFonts w:ascii="宋体" w:eastAsia="宋体" w:cs="宋体" w:hint="eastAsia"/>
                <w:kern w:val="0"/>
                <w:sz w:val="20"/>
                <w:szCs w:val="20"/>
              </w:rPr>
              <w:t>总计</w:t>
            </w:r>
          </w:p>
        </w:tc>
      </w:tr>
      <w:tr>
        <w:tc>
          <w:tcPr>
            <w:tcW w:w="3558" w:type="dxa"/>
            <w:gridSpan w:val="3"/>
            <w:vMerge/>
            <w:tcBorders>
              <w:tl2br w:val="nil"/>
              <w:tr2bl w:val="nil"/>
            </w:tcBorders>
            <w:noWrap/>
            <w:tcMar>
              <w:left w:w="108" w:type="dxa"/>
              <w:right w:w="108" w:type="dxa"/>
            </w:tcMar>
            <w:vAlign w:val="center"/>
          </w:tcPr>
          <w:p/>
        </w:tc>
        <w:tc>
          <w:tcPr>
            <w:tcW w:w="814" w:type="dxa"/>
            <w:vMerge/>
            <w:tcBorders>
              <w:tl2br w:val="nil"/>
              <w:tr2bl w:val="nil"/>
            </w:tcBorders>
            <w:noWrap/>
            <w:tcMar>
              <w:left w:w="108" w:type="dxa"/>
              <w:right w:w="108" w:type="dxa"/>
            </w:tcMar>
            <w:vAlign w:val="center"/>
          </w:tcPr>
          <w:p/>
        </w:tc>
        <w:tc>
          <w:tcPr>
            <w:tcW w:w="755" w:type="dxa"/>
            <w:tcBorders>
              <w:tl2br w:val="nil"/>
              <w:tr2bl w:val="nil"/>
            </w:tcBorders>
            <w:noWrap/>
            <w:tcMar>
              <w:left w:w="108" w:type="dxa"/>
              <w:right w:w="108" w:type="dxa"/>
            </w:tcMar>
            <w:vAlign w:val="center"/>
          </w:tcPr>
          <w:p>
            <w:pPr>
              <w:widowControl/>
              <w:spacing w:after="180"/>
              <w:jc w:val="center"/>
              <w:rPr>
                <w:rFonts w:ascii="宋体" w:hAnsi="宋体" w:hint="eastAsia"/>
                <w:sz w:val="24"/>
              </w:rPr>
            </w:pPr>
            <w:r>
              <w:rPr>
                <w:rFonts w:ascii="宋体" w:eastAsia="宋体" w:cs="宋体" w:hint="eastAsia"/>
                <w:kern w:val="0"/>
                <w:sz w:val="20"/>
                <w:szCs w:val="20"/>
              </w:rPr>
              <w:t>商业企业</w:t>
            </w:r>
          </w:p>
        </w:tc>
        <w:tc>
          <w:tcPr>
            <w:tcW w:w="755" w:type="dxa"/>
            <w:tcBorders>
              <w:tl2br w:val="nil"/>
              <w:tr2bl w:val="nil"/>
            </w:tcBorders>
            <w:noWrap/>
            <w:tcMar>
              <w:left w:w="108" w:type="dxa"/>
              <w:right w:w="108" w:type="dxa"/>
            </w:tcMar>
            <w:vAlign w:val="center"/>
          </w:tcPr>
          <w:p>
            <w:pPr>
              <w:widowControl/>
              <w:spacing w:after="180"/>
              <w:jc w:val="center"/>
            </w:pPr>
            <w:r>
              <w:rPr>
                <w:rFonts w:ascii="宋体" w:eastAsia="宋体" w:cs="宋体" w:hint="eastAsia"/>
                <w:kern w:val="0"/>
                <w:sz w:val="20"/>
                <w:szCs w:val="20"/>
              </w:rPr>
              <w:t>科研机构</w:t>
            </w:r>
          </w:p>
        </w:tc>
        <w:tc>
          <w:tcPr>
            <w:tcW w:w="814" w:type="dxa"/>
            <w:tcBorders>
              <w:tl2br w:val="nil"/>
              <w:tr2bl w:val="nil"/>
            </w:tcBorders>
            <w:noWrap/>
            <w:tcMar>
              <w:left w:w="108" w:type="dxa"/>
              <w:right w:w="108" w:type="dxa"/>
            </w:tcMar>
            <w:vAlign w:val="center"/>
          </w:tcPr>
          <w:p>
            <w:pPr>
              <w:widowControl/>
              <w:spacing w:after="180"/>
              <w:jc w:val="center"/>
            </w:pPr>
            <w:r>
              <w:rPr>
                <w:rFonts w:ascii="宋体" w:eastAsia="宋体" w:cs="宋体" w:hint="eastAsia"/>
                <w:kern w:val="0"/>
                <w:sz w:val="20"/>
                <w:szCs w:val="20"/>
              </w:rPr>
              <w:t>社会公益组织</w:t>
            </w:r>
          </w:p>
        </w:tc>
        <w:tc>
          <w:tcPr>
            <w:tcW w:w="974" w:type="dxa"/>
            <w:tcBorders>
              <w:tl2br w:val="nil"/>
              <w:tr2bl w:val="nil"/>
            </w:tcBorders>
            <w:noWrap/>
            <w:tcMar>
              <w:left w:w="108" w:type="dxa"/>
              <w:right w:w="108" w:type="dxa"/>
            </w:tcMar>
            <w:vAlign w:val="center"/>
          </w:tcPr>
          <w:p>
            <w:pPr>
              <w:widowControl/>
              <w:spacing w:after="180"/>
              <w:jc w:val="center"/>
            </w:pPr>
            <w:r>
              <w:rPr>
                <w:rFonts w:ascii="宋体" w:eastAsia="宋体" w:cs="宋体" w:hint="eastAsia"/>
                <w:kern w:val="0"/>
                <w:sz w:val="20"/>
                <w:szCs w:val="20"/>
              </w:rPr>
              <w:t>法律服务机构</w:t>
            </w:r>
          </w:p>
        </w:tc>
        <w:tc>
          <w:tcPr>
            <w:tcW w:w="712" w:type="dxa"/>
            <w:tcBorders>
              <w:tl2br w:val="nil"/>
              <w:tr2bl w:val="nil"/>
            </w:tcBorders>
            <w:noWrap/>
            <w:tcMar>
              <w:left w:w="108" w:type="dxa"/>
              <w:right w:w="108" w:type="dxa"/>
            </w:tcMar>
            <w:vAlign w:val="center"/>
          </w:tcPr>
          <w:p>
            <w:pPr>
              <w:widowControl/>
              <w:spacing w:after="180"/>
              <w:jc w:val="center"/>
            </w:pPr>
            <w:r>
              <w:rPr>
                <w:rFonts w:ascii="宋体" w:eastAsia="宋体" w:cs="宋体" w:hint="eastAsia"/>
                <w:kern w:val="0"/>
                <w:sz w:val="20"/>
                <w:szCs w:val="20"/>
              </w:rPr>
              <w:t>其他</w:t>
            </w:r>
          </w:p>
        </w:tc>
        <w:tc>
          <w:tcPr>
            <w:tcW w:w="689" w:type="dxa"/>
            <w:vMerge/>
            <w:tcBorders>
              <w:tl2br w:val="nil"/>
              <w:tr2bl w:val="nil"/>
            </w:tcBorders>
            <w:noWrap/>
            <w:tcMar>
              <w:left w:w="108" w:type="dxa"/>
              <w:right w:w="108" w:type="dxa"/>
            </w:tcMar>
            <w:vAlign w:val="center"/>
          </w:tcPr>
          <w:p/>
        </w:tc>
      </w:tr>
      <w:tr>
        <w:tc>
          <w:tcPr>
            <w:tcW w:w="3558" w:type="dxa"/>
            <w:gridSpan w:val="3"/>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宋体" w:eastAsia="宋体" w:cs="宋体" w:hint="eastAsia"/>
                <w:kern w:val="0"/>
                <w:sz w:val="20"/>
                <w:szCs w:val="20"/>
              </w:rPr>
              <w:t>一、本年新收政府信息公开申请数量</w:t>
            </w:r>
          </w:p>
        </w:tc>
        <w:tc>
          <w:tcPr>
            <w:tcW w:w="814" w:type="dxa"/>
            <w:tcBorders>
              <w:tl2br w:val="nil"/>
              <w:tr2bl w:val="nil"/>
            </w:tcBorders>
            <w:noWrap/>
            <w:tcMar>
              <w:left w:w="108" w:type="dxa"/>
              <w:right w:w="108" w:type="dxa"/>
            </w:tcMar>
            <w:vAlign w:val="center"/>
          </w:tcPr>
          <w:p>
            <w:pPr>
              <w:widowControl/>
              <w:spacing w:after="180"/>
              <w:jc w:val="center"/>
              <w:rPr>
                <w:rFonts w:eastAsia="仿宋_GB2312"/>
                <w:lang w:val="en-US" w:eastAsia="zh-CN"/>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eastAsia="仿宋_GB2312" w:hint="eastAsia"/>
                <w:lang w:eastAsia="zh-CN"/>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eastAsia="仿宋_GB2312" w:hint="eastAsia"/>
                <w:lang w:eastAsia="zh-CN"/>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eastAsia="仿宋_GB2312"/>
                <w:lang w:val="en-US" w:eastAsia="zh-CN"/>
              </w:rPr>
            </w:pPr>
            <w:r>
              <w:rPr>
                <w:rFonts w:ascii="Calibri" w:eastAsia="宋体" w:cs="Calibri" w:hAnsi="Calibri" w:hint="eastAsia"/>
                <w:kern w:val="0"/>
                <w:sz w:val="20"/>
                <w:szCs w:val="20"/>
                <w:lang w:val="en-US" w:eastAsia="zh-CN"/>
              </w:rPr>
              <w:t>0</w:t>
            </w:r>
          </w:p>
        </w:tc>
      </w:tr>
      <w:tr>
        <w:tc>
          <w:tcPr>
            <w:tcW w:w="3558" w:type="dxa"/>
            <w:gridSpan w:val="3"/>
            <w:tcBorders>
              <w:tl2br w:val="nil"/>
              <w:tr2bl w:val="nil"/>
            </w:tcBorders>
            <w:noWrap/>
            <w:tcMar>
              <w:left w:w="108" w:type="dxa"/>
              <w:right w:w="108" w:type="dxa"/>
            </w:tcMar>
            <w:vAlign w:val="center"/>
          </w:tcPr>
          <w:p>
            <w:pPr>
              <w:widowControl/>
              <w:spacing w:after="180"/>
              <w:jc w:val="left"/>
            </w:pPr>
            <w:r>
              <w:rPr>
                <w:rFonts w:ascii="宋体" w:eastAsia="宋体" w:cs="宋体" w:hint="eastAsia"/>
                <w:kern w:val="0"/>
                <w:sz w:val="20"/>
                <w:szCs w:val="20"/>
              </w:rPr>
              <w:t>二、上年结转政府信息公开申请数量</w:t>
            </w:r>
          </w:p>
        </w:tc>
        <w:tc>
          <w:tcPr>
            <w:tcW w:w="81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r>
      <w:tr>
        <w:tc>
          <w:tcPr>
            <w:tcW w:w="618" w:type="dxa"/>
            <w:vMerge w:val="restart"/>
            <w:tcBorders>
              <w:tl2br w:val="nil"/>
              <w:tr2bl w:val="nil"/>
            </w:tcBorders>
            <w:noWrap/>
            <w:tcMar>
              <w:left w:w="108" w:type="dxa"/>
              <w:right w:w="108" w:type="dxa"/>
            </w:tcMar>
            <w:vAlign w:val="center"/>
          </w:tcPr>
          <w:p>
            <w:pPr>
              <w:widowControl/>
              <w:spacing w:after="180"/>
              <w:jc w:val="center"/>
            </w:pPr>
            <w:r>
              <w:rPr>
                <w:rFonts w:ascii="宋体" w:eastAsia="宋体" w:cs="宋体" w:hint="eastAsia"/>
                <w:kern w:val="0"/>
                <w:sz w:val="20"/>
                <w:szCs w:val="20"/>
              </w:rPr>
              <w:t>三、本年度办理结果</w:t>
            </w:r>
          </w:p>
        </w:tc>
        <w:tc>
          <w:tcPr>
            <w:tcW w:w="2940" w:type="dxa"/>
            <w:gridSpan w:val="2"/>
            <w:tcBorders>
              <w:tl2br w:val="nil"/>
              <w:tr2bl w:val="nil"/>
            </w:tcBorders>
            <w:noWrap/>
            <w:tcMar>
              <w:left w:w="108" w:type="dxa"/>
              <w:right w:w="108" w:type="dxa"/>
            </w:tcMar>
            <w:vAlign w:val="center"/>
          </w:tcPr>
          <w:p>
            <w:pPr>
              <w:widowControl/>
              <w:spacing w:after="180"/>
              <w:jc w:val="left"/>
            </w:pPr>
            <w:r>
              <w:rPr>
                <w:rFonts w:ascii="楷体" w:eastAsia="楷体" w:cs="楷体" w:hint="eastAsia"/>
                <w:kern w:val="0"/>
                <w:sz w:val="20"/>
                <w:szCs w:val="20"/>
              </w:rPr>
              <w:t>（一）予以公开</w:t>
            </w:r>
          </w:p>
        </w:tc>
        <w:tc>
          <w:tcPr>
            <w:tcW w:w="814" w:type="dxa"/>
            <w:tcBorders>
              <w:tl2br w:val="nil"/>
              <w:tr2bl w:val="nil"/>
            </w:tcBorders>
            <w:noWrap/>
            <w:tcMar>
              <w:left w:w="108" w:type="dxa"/>
              <w:right w:w="108" w:type="dxa"/>
            </w:tcMar>
            <w:vAlign w:val="center"/>
          </w:tcPr>
          <w:p>
            <w:pPr>
              <w:widowControl/>
              <w:spacing w:after="180"/>
              <w:jc w:val="center"/>
              <w:rPr>
                <w:rFonts w:eastAsia="仿宋_GB2312"/>
                <w:lang w:val="en-US" w:eastAsia="zh-CN"/>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lang w:val="en-US"/>
              </w:rP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2940" w:type="dxa"/>
            <w:gridSpan w:val="2"/>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（二）部分公开（区分处理的，只计这一情形，不计其他情形）</w:t>
            </w:r>
          </w:p>
        </w:tc>
        <w:tc>
          <w:tcPr>
            <w:tcW w:w="81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val="restart"/>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（三）不予公开</w:t>
            </w:r>
          </w:p>
        </w:tc>
        <w:tc>
          <w:tcPr>
            <w:tcW w:w="2086" w:type="dxa"/>
            <w:tcBorders>
              <w:tl2br w:val="nil"/>
              <w:tr2bl w:val="nil"/>
            </w:tcBorders>
            <w:noWrap/>
            <w:tcMar>
              <w:left w:w="108" w:type="dxa"/>
              <w:right w:w="108" w:type="dxa"/>
            </w:tcMar>
            <w:vAlign w:val="center"/>
          </w:tcPr>
          <w:p>
            <w:pPr>
              <w:widowControl/>
              <w:spacing w:after="180"/>
              <w:jc w:val="left"/>
            </w:pPr>
            <w:r>
              <w:rPr>
                <w:rFonts w:ascii="楷体" w:eastAsia="楷体" w:cs="楷体" w:hint="eastAsia"/>
                <w:kern w:val="0"/>
                <w:sz w:val="20"/>
                <w:szCs w:val="20"/>
              </w:rPr>
              <w:t>1.属于国家秘密</w:t>
            </w:r>
          </w:p>
        </w:tc>
        <w:tc>
          <w:tcPr>
            <w:tcW w:w="81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2.其他法律行政法规禁止公开</w:t>
            </w:r>
          </w:p>
        </w:tc>
        <w:tc>
          <w:tcPr>
            <w:tcW w:w="81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3.危及“三安全一稳定”</w:t>
            </w:r>
          </w:p>
        </w:tc>
        <w:tc>
          <w:tcPr>
            <w:tcW w:w="81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4.保护第三方合法权益</w:t>
            </w:r>
          </w:p>
        </w:tc>
        <w:tc>
          <w:tcPr>
            <w:tcW w:w="81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5.属于三类内部事务信息</w:t>
            </w:r>
          </w:p>
        </w:tc>
        <w:tc>
          <w:tcPr>
            <w:tcW w:w="81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6.属于四类过程性信息</w:t>
            </w:r>
          </w:p>
        </w:tc>
        <w:tc>
          <w:tcPr>
            <w:tcW w:w="81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7.属于行政执法案卷</w:t>
            </w:r>
          </w:p>
        </w:tc>
        <w:tc>
          <w:tcPr>
            <w:tcW w:w="814"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8.属于行政查询事项</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rPr>
          <w:trHeight w:val="646"/>
        </w:trPr>
        <w:tc>
          <w:tcPr>
            <w:tcW w:w="618" w:type="dxa"/>
            <w:vMerge/>
            <w:tcBorders>
              <w:tl2br w:val="nil"/>
              <w:tr2bl w:val="nil"/>
            </w:tcBorders>
            <w:noWrap/>
            <w:tcMar>
              <w:left w:w="108" w:type="dxa"/>
              <w:right w:w="108" w:type="dxa"/>
            </w:tcMar>
            <w:vAlign w:val="center"/>
          </w:tcPr>
          <w:p/>
        </w:tc>
        <w:tc>
          <w:tcPr>
            <w:tcW w:w="854" w:type="dxa"/>
            <w:vMerge w:val="restart"/>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（四）无法提供</w:t>
            </w:r>
          </w:p>
        </w:tc>
        <w:tc>
          <w:tcPr>
            <w:tcW w:w="2086" w:type="dxa"/>
            <w:tcBorders>
              <w:tl2br w:val="nil"/>
              <w:tr2bl w:val="nil"/>
            </w:tcBorders>
            <w:noWrap/>
            <w:tcMar>
              <w:left w:w="108" w:type="dxa"/>
              <w:right w:w="108" w:type="dxa"/>
            </w:tcMar>
            <w:vAlign w:val="center"/>
          </w:tcPr>
          <w:p>
            <w:pPr>
              <w:widowControl/>
              <w:spacing w:after="180"/>
              <w:jc w:val="left"/>
            </w:pPr>
            <w:r>
              <w:rPr>
                <w:rFonts w:ascii="楷体" w:eastAsia="楷体" w:cs="楷体" w:hint="eastAsia"/>
                <w:kern w:val="0"/>
                <w:sz w:val="20"/>
                <w:szCs w:val="20"/>
              </w:rPr>
              <w:t>1.本机关不掌握相关政府信息</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rPr>
          <w:trHeight w:val="646"/>
        </w:trP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2.没有现成信息需要另行制作</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rPr>
          <w:trHeight w:val="646"/>
        </w:trP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3.补正后申请内容仍不明确</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val="restart"/>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（五）不予处理</w:t>
            </w:r>
          </w:p>
        </w:tc>
        <w:tc>
          <w:tcPr>
            <w:tcW w:w="2086" w:type="dxa"/>
            <w:tcBorders>
              <w:tl2br w:val="nil"/>
              <w:tr2bl w:val="nil"/>
            </w:tcBorders>
            <w:noWrap/>
            <w:tcMar>
              <w:left w:w="108" w:type="dxa"/>
              <w:right w:w="108" w:type="dxa"/>
            </w:tcMar>
            <w:vAlign w:val="center"/>
          </w:tcPr>
          <w:p>
            <w:pPr>
              <w:widowControl/>
              <w:spacing w:after="180"/>
              <w:jc w:val="left"/>
            </w:pPr>
            <w:r>
              <w:rPr>
                <w:rFonts w:ascii="楷体" w:eastAsia="楷体" w:cs="楷体" w:hint="eastAsia"/>
                <w:kern w:val="0"/>
                <w:sz w:val="20"/>
                <w:szCs w:val="20"/>
              </w:rPr>
              <w:t>1.信访举报投诉类申请</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2.重复申请</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3.要求提供公开出版物</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4.无正当理由大量反复申请</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854" w:type="dxa"/>
            <w:vMerge/>
            <w:tcBorders>
              <w:tl2br w:val="nil"/>
              <w:tr2bl w:val="nil"/>
            </w:tcBorders>
            <w:noWrap/>
            <w:tcMar>
              <w:left w:w="108" w:type="dxa"/>
              <w:right w:w="108" w:type="dxa"/>
            </w:tcMar>
            <w:vAlign w:val="center"/>
          </w:tcPr>
          <w:p/>
        </w:tc>
        <w:tc>
          <w:tcPr>
            <w:tcW w:w="2086" w:type="dxa"/>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5.要求行政机关确认或重新出具已获取信息</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2940" w:type="dxa"/>
            <w:gridSpan w:val="2"/>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（六）其他处理</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c>
          <w:tcPr>
            <w:tcW w:w="618" w:type="dxa"/>
            <w:vMerge/>
            <w:tcBorders>
              <w:tl2br w:val="nil"/>
              <w:tr2bl w:val="nil"/>
            </w:tcBorders>
            <w:noWrap/>
            <w:tcMar>
              <w:left w:w="108" w:type="dxa"/>
              <w:right w:w="108" w:type="dxa"/>
            </w:tcMar>
            <w:vAlign w:val="center"/>
          </w:tcPr>
          <w:p/>
        </w:tc>
        <w:tc>
          <w:tcPr>
            <w:tcW w:w="2940" w:type="dxa"/>
            <w:gridSpan w:val="2"/>
            <w:tcBorders>
              <w:tl2br w:val="nil"/>
              <w:tr2bl w:val="nil"/>
            </w:tcBorders>
            <w:noWrap/>
            <w:tcMar>
              <w:left w:w="108" w:type="dxa"/>
              <w:right w:w="108" w:type="dxa"/>
            </w:tcMar>
            <w:vAlign w:val="center"/>
          </w:tcPr>
          <w:p>
            <w:pPr>
              <w:widowControl/>
              <w:spacing w:after="180"/>
              <w:jc w:val="left"/>
              <w:rPr>
                <w:rFonts w:ascii="宋体" w:hAnsi="宋体" w:hint="eastAsia"/>
                <w:sz w:val="24"/>
              </w:rPr>
            </w:pPr>
            <w:r>
              <w:rPr>
                <w:rFonts w:ascii="楷体" w:eastAsia="楷体" w:cs="楷体" w:hint="eastAsia"/>
                <w:kern w:val="0"/>
                <w:sz w:val="20"/>
                <w:szCs w:val="20"/>
              </w:rPr>
              <w:t>（七）总计</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r>
      <w:tr>
        <w:tc>
          <w:tcPr>
            <w:tcW w:w="3558" w:type="dxa"/>
            <w:gridSpan w:val="3"/>
            <w:tcBorders>
              <w:tl2br w:val="nil"/>
              <w:tr2bl w:val="nil"/>
            </w:tcBorders>
            <w:noWrap/>
            <w:tcMar>
              <w:left w:w="108" w:type="dxa"/>
              <w:right w:w="108" w:type="dxa"/>
            </w:tcMar>
            <w:vAlign w:val="center"/>
          </w:tcPr>
          <w:p>
            <w:pPr>
              <w:widowControl/>
              <w:spacing w:after="180"/>
              <w:jc w:val="left"/>
            </w:pPr>
            <w:r>
              <w:rPr>
                <w:rFonts w:ascii="宋体" w:eastAsia="宋体" w:cs="宋体" w:hint="eastAsia"/>
                <w:kern w:val="0"/>
                <w:sz w:val="20"/>
                <w:szCs w:val="20"/>
              </w:rPr>
              <w:t>四、结转下年度继续办理</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755"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81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974"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712"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89" w:type="dxa"/>
            <w:tcBorders>
              <w:tl2br w:val="nil"/>
              <w:tr2bl w:val="nil"/>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r>
    </w:tbl>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ind w:left="0" w:firstLineChars="200" w:firstLine="640"/>
        <w:jc w:val="both"/>
        <w:textAlignment w:val="auto"/>
        <w:rPr>
          <w:rFonts w:ascii="黑体" w:eastAsia="黑体" w:cs="黑体" w:hint="eastAsia"/>
          <w:b/>
          <w:color w:val="333333"/>
          <w:sz w:val="32"/>
          <w:szCs w:val="32"/>
          <w:shd w:val="clear" w:color="auto" w:fill="FFFFFF"/>
        </w:rPr>
      </w:pPr>
      <w:r>
        <w:rPr>
          <w:rFonts w:ascii="黑体" w:eastAsia="黑体" w:cs="黑体" w:hint="eastAsia"/>
          <w:b/>
          <w:color w:val="333333"/>
          <w:sz w:val="32"/>
          <w:szCs w:val="32"/>
          <w:shd w:val="clear" w:color="auto" w:fill="FFFFFF"/>
        </w:rPr>
        <w:t>四、政府信息公开行政复议、行政诉讼情况</w:t>
      </w:r>
    </w:p>
    <w:p>
      <w:pPr>
        <w:pStyle w:val="15"/>
        <w:shd w:val="clear" w:color="auto" w:fill="auto"/>
        <w:spacing w:before="0" w:beforeAutospacing="0" w:after="0" w:afterAutospacing="0"/>
        <w:ind w:firstLine="420"/>
        <w:jc w:val="both"/>
        <w:rPr>
          <w:rFonts w:hint="eastAsia"/>
          <w:color w:val="333333"/>
        </w:rPr>
      </w:pPr>
    </w:p>
    <w:tbl>
      <w:tblPr>
        <w:jc w:val="center"/>
        <w:tblW w:w="9071"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c>
          <w:tcPr>
            <w:tcW w:w="3074" w:type="dxa"/>
            <w:gridSpan w:val="5"/>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行政诉讼</w:t>
            </w:r>
          </w:p>
        </w:tc>
      </w:tr>
      <w:tr>
        <w:tc>
          <w:tcPr>
            <w:tcW w:w="604"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复议后起诉</w:t>
            </w:r>
          </w:p>
        </w:tc>
      </w:tr>
      <w:tr>
        <w:tc>
          <w:tcPr>
            <w:tcW w:w="604" w:type="dxa"/>
            <w:vMerge/>
            <w:tcBorders>
              <w:top w:val="nil"/>
              <w:left w:val="single" w:sz="8" w:space="0" w:color="auto"/>
              <w:bottom w:val="single" w:sz="8" w:space="0" w:color="auto"/>
              <w:right w:val="single" w:sz="8" w:space="0" w:color="auto"/>
            </w:tcBorders>
            <w:noWrap/>
            <w:tcMar>
              <w:left w:w="108" w:type="dxa"/>
              <w:right w:w="108" w:type="dxa"/>
            </w:tcMar>
            <w:vAlign w:val="center"/>
          </w:tcPr>
          <w:p/>
        </w:tc>
        <w:tc>
          <w:tcPr>
            <w:tcW w:w="604" w:type="dxa"/>
            <w:vMerge/>
            <w:tcBorders>
              <w:top w:val="nil"/>
              <w:left w:val="nil"/>
              <w:bottom w:val="single" w:sz="8" w:space="0" w:color="auto"/>
              <w:right w:val="single" w:sz="8" w:space="0" w:color="auto"/>
            </w:tcBorders>
            <w:noWrap/>
            <w:tcMar>
              <w:left w:w="108" w:type="dxa"/>
              <w:right w:w="108" w:type="dxa"/>
            </w:tcMar>
            <w:vAlign w:val="center"/>
          </w:tcPr>
          <w:p/>
        </w:tc>
        <w:tc>
          <w:tcPr>
            <w:tcW w:w="604" w:type="dxa"/>
            <w:vMerge/>
            <w:tcBorders>
              <w:top w:val="single" w:sz="8" w:space="0" w:color="auto"/>
              <w:left w:val="nil"/>
              <w:bottom w:val="single" w:sz="8" w:space="0" w:color="auto"/>
              <w:right w:val="single" w:sz="8" w:space="0" w:color="auto"/>
            </w:tcBorders>
            <w:noWrap/>
            <w:tcMar>
              <w:left w:w="108" w:type="dxa"/>
              <w:right w:w="108" w:type="dxa"/>
            </w:tcMar>
            <w:vAlign w:val="center"/>
          </w:tcPr>
          <w:p/>
        </w:tc>
        <w:tc>
          <w:tcPr>
            <w:tcW w:w="604" w:type="dxa"/>
            <w:vMerge/>
            <w:tcBorders>
              <w:top w:val="single" w:sz="8" w:space="0" w:color="auto"/>
              <w:left w:val="nil"/>
              <w:bottom w:val="single" w:sz="8" w:space="0" w:color="auto"/>
              <w:right w:val="single" w:sz="8" w:space="0" w:color="auto"/>
            </w:tcBorders>
            <w:noWrap/>
            <w:tcMar>
              <w:left w:w="108" w:type="dxa"/>
              <w:right w:w="108" w:type="dxa"/>
            </w:tcMar>
            <w:vAlign w:val="center"/>
          </w:tcPr>
          <w:p/>
        </w:tc>
        <w:tc>
          <w:tcPr>
            <w:tcW w:w="658" w:type="dxa"/>
            <w:vMerge/>
            <w:tcBorders>
              <w:top w:val="single" w:sz="8" w:space="0" w:color="auto"/>
              <w:left w:val="nil"/>
              <w:bottom w:val="single" w:sz="8" w:space="0" w:color="auto"/>
              <w:right w:val="single" w:sz="8" w:space="0" w:color="auto"/>
            </w:tcBorders>
            <w:noWrap/>
            <w:tcMar>
              <w:left w:w="108" w:type="dxa"/>
              <w:right w:w="108" w:type="dxa"/>
            </w:tcMar>
            <w:vAlign w:val="center"/>
          </w:tcPr>
          <w:p/>
        </w:tc>
        <w:tc>
          <w:tcPr>
            <w:tcW w:w="550"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宋体" w:hAnsi="宋体" w:hint="eastAsia"/>
                <w:sz w:val="24"/>
              </w:rPr>
            </w:pPr>
            <w:r>
              <w:rPr>
                <w:rFonts w:ascii="宋体" w:eastAsia="宋体" w:cs="宋体" w:hint="eastAsia"/>
                <w:kern w:val="0"/>
                <w:sz w:val="20"/>
                <w:szCs w:val="20"/>
              </w:rPr>
              <w:t>结果维持</w:t>
            </w:r>
          </w:p>
        </w:tc>
        <w:tc>
          <w:tcPr>
            <w:tcW w:w="605"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noWrap/>
            <w:tcMar>
              <w:left w:w="108" w:type="dxa"/>
              <w:right w:w="108" w:type="dxa"/>
            </w:tcMar>
            <w:vAlign w:val="center"/>
          </w:tcPr>
          <w:p>
            <w:pPr>
              <w:widowControl/>
              <w:spacing w:after="180"/>
              <w:jc w:val="center"/>
            </w:pPr>
            <w:r>
              <w:rPr>
                <w:rFonts w:ascii="宋体" w:eastAsia="宋体" w:cs="宋体" w:hint="eastAsia"/>
                <w:color w:val="000000"/>
                <w:kern w:val="0"/>
                <w:sz w:val="20"/>
                <w:szCs w:val="20"/>
              </w:rPr>
              <w:t>总计</w:t>
            </w:r>
          </w:p>
        </w:tc>
      </w:tr>
      <w:tr>
        <w:tc>
          <w:tcPr>
            <w:tcW w:w="604" w:type="dxa"/>
            <w:tcBorders>
              <w:top w:val="nil"/>
              <w:left w:val="single" w:sz="8" w:space="0" w:color="auto"/>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04"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604"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604"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58"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550"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05"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05"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05"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605"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hint="eastAsia"/>
                <w:kern w:val="2"/>
                <w:sz w:val="32"/>
                <w:szCs w:val="24"/>
                <w:lang w:val="en-US" w:eastAsia="zh-CN" w:bidi="ar-SA"/>
              </w:rPr>
            </w:pPr>
            <w:r>
              <w:rPr>
                <w:rFonts w:ascii="Calibri" w:eastAsia="宋体" w:cs="Calibri" w:hAnsi="Calibri" w:hint="eastAsia"/>
                <w:kern w:val="0"/>
                <w:sz w:val="20"/>
                <w:szCs w:val="20"/>
                <w:lang w:val="en-US" w:eastAsia="zh-CN"/>
              </w:rPr>
              <w:t>0</w:t>
            </w:r>
          </w:p>
        </w:tc>
        <w:tc>
          <w:tcPr>
            <w:tcW w:w="605"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05"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05"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06" w:type="dxa"/>
            <w:tcBorders>
              <w:top w:val="nil"/>
              <w:left w:val="nil"/>
              <w:bottom w:val="single" w:sz="8" w:space="0" w:color="auto"/>
              <w:right w:val="single" w:sz="8" w:space="0" w:color="auto"/>
            </w:tcBorders>
            <w:noWrap/>
            <w:tcMar>
              <w:left w:w="108" w:type="dxa"/>
              <w:right w:w="108" w:type="dxa"/>
            </w:tcMar>
            <w:vAlign w:val="center"/>
          </w:tcPr>
          <w:p>
            <w:pPr>
              <w:widowControl/>
              <w:spacing w:after="180"/>
              <w:jc w:val="center"/>
              <w:rPr>
                <w:rFonts w:ascii="仿宋_GB2312" w:eastAsia="仿宋_GB2312" w:cs="Times New Roman"/>
                <w:kern w:val="2"/>
                <w:sz w:val="32"/>
                <w:szCs w:val="24"/>
                <w:lang w:val="en-US" w:eastAsia="zh-CN" w:bidi="ar-SA"/>
              </w:rPr>
            </w:pPr>
            <w:r>
              <w:rPr>
                <w:rFonts w:ascii="Calibri" w:eastAsia="宋体" w:cs="Calibri" w:hAnsi="Calibri" w:hint="eastAsia"/>
                <w:kern w:val="0"/>
                <w:sz w:val="20"/>
                <w:szCs w:val="20"/>
                <w:lang w:val="en-US" w:eastAsia="zh-CN"/>
              </w:rPr>
              <w:t>0</w:t>
            </w:r>
          </w:p>
        </w:tc>
        <w:tc>
          <w:tcPr>
            <w:tcW w:w="606" w:type="dxa"/>
            <w:tcBorders>
              <w:top w:val="nil"/>
              <w:left w:val="nil"/>
              <w:bottom w:val="single" w:sz="8" w:space="0" w:color="auto"/>
              <w:right w:val="single" w:sz="8" w:space="0" w:color="auto"/>
            </w:tcBorders>
            <w:noWrap/>
            <w:tcMar>
              <w:left w:w="108" w:type="dxa"/>
              <w:right w:w="108" w:type="dxa"/>
            </w:tcMar>
            <w:vAlign w:val="center"/>
          </w:tcPr>
          <w:p>
            <w:pPr>
              <w:jc w:val="center"/>
              <w:rPr>
                <w:rFonts w:ascii="宋体" w:hAnsi="宋体" w:hint="eastAsia"/>
                <w:sz w:val="24"/>
              </w:rPr>
            </w:pPr>
            <w:r>
              <w:rPr>
                <w:rFonts w:ascii="Calibri" w:eastAsia="宋体" w:cs="Calibri" w:hAnsi="Calibri" w:hint="eastAsia"/>
                <w:kern w:val="0"/>
                <w:sz w:val="20"/>
                <w:szCs w:val="20"/>
                <w:lang w:val="en-US" w:eastAsia="zh-CN"/>
              </w:rPr>
              <w:t>0</w:t>
            </w:r>
          </w:p>
        </w:tc>
      </w:tr>
    </w:tbl>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outlineLvl w:val="0"/>
        <w:rPr>
          <w:rFonts w:ascii="黑体" w:eastAsia="黑体" w:cs="黑体" w:hint="eastAsia"/>
          <w:color w:val="333333"/>
          <w:sz w:val="32"/>
          <w:szCs w:val="32"/>
        </w:rPr>
      </w:pPr>
      <w:r>
        <w:rPr>
          <w:rFonts w:ascii="黑体" w:eastAsia="黑体" w:cs="黑体" w:hint="eastAsia"/>
          <w:b/>
          <w:color w:val="333333"/>
          <w:sz w:val="32"/>
          <w:szCs w:val="32"/>
          <w:shd w:val="clear" w:color="auto" w:fill="FFFFFF"/>
        </w:rPr>
        <w:t>五、存在的主要问题及改进情况</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560" w:lineRule="exact"/>
        <w:ind w:right="0" w:firstLineChars="200" w:firstLine="640"/>
        <w:jc w:val="both"/>
        <w:textAlignment w:val="auto"/>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pPr>
      <w:r>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t>2023年度，我局政府信息公开工作较上一年度工作有所提升，但与《</w:t>
      </w:r>
      <w:r>
        <w:rPr>
          <w:rFonts w:ascii="仿宋_GB2312" w:eastAsia="仿宋_GB2312" w:cs="仿宋_GB2312"/>
          <w:i w:val="0"/>
          <w:iCs w:val="0"/>
          <w:caps w:val="0"/>
          <w:smallCaps w:val="0"/>
          <w:color w:val="auto"/>
          <w:spacing w:val="0"/>
          <w:kern w:val="0"/>
          <w:sz w:val="32"/>
          <w:szCs w:val="32"/>
          <w:shd w:val="clear" w:color="auto" w:fill="FFFFFF"/>
          <w:lang w:val="en-US" w:eastAsia="zh-CN" w:bidi="ar-SA"/>
        </w:rPr>
        <w:t>中华人民共和国</w:t>
      </w:r>
      <w:r>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t>政府信息公开条例》的要求相比，工作上还存在一定的差距。一是公开的内容不够全面，公开信息较少；二是公开信息不够及时，主动性差。为此，在今后的工作中，我局将进一步贯彻落实《</w:t>
      </w:r>
      <w:r>
        <w:rPr>
          <w:rFonts w:ascii="仿宋_GB2312" w:eastAsia="仿宋_GB2312" w:cs="仿宋_GB2312"/>
          <w:i w:val="0"/>
          <w:iCs w:val="0"/>
          <w:caps w:val="0"/>
          <w:smallCaps w:val="0"/>
          <w:color w:val="auto"/>
          <w:spacing w:val="0"/>
          <w:kern w:val="0"/>
          <w:sz w:val="32"/>
          <w:szCs w:val="32"/>
          <w:shd w:val="clear" w:color="auto" w:fill="FFFFFF"/>
          <w:lang w:val="en-US" w:eastAsia="zh-CN" w:bidi="ar-SA"/>
        </w:rPr>
        <w:t>中华人民共和国</w:t>
      </w:r>
      <w:r>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t>政府信息公开条例》，继续大力推进政府</w:t>
      </w:r>
      <w:bookmarkStart w:id="0" w:name="_GoBack"/>
      <w:bookmarkEnd w:id="0"/>
      <w:r>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t>信息公开工作，重点做好以下2方面工作：一是加强《条例》的学习领会，进一步提高各部门对政府信息公开工作重要性的认识，自觉推行信息公开。二是建立长效工作机制，将主动公开政府信息工作与日常业务工作紧密结合，确保及时公开。</w:t>
      </w:r>
    </w:p>
    <w:p>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outlineLvl w:val="0"/>
        <w:rPr>
          <w:rFonts w:ascii="黑体" w:eastAsia="黑体" w:cs="黑体" w:hint="eastAsia"/>
          <w:b/>
          <w:color w:val="333333"/>
          <w:sz w:val="32"/>
          <w:szCs w:val="32"/>
          <w:shd w:val="clear" w:color="auto" w:fill="FFFFFF"/>
          <w:lang w:val="en-US" w:eastAsia="zh-CN"/>
        </w:rPr>
      </w:pPr>
      <w:r>
        <w:rPr>
          <w:rFonts w:ascii="黑体" w:eastAsia="黑体" w:cs="黑体" w:hint="eastAsia"/>
          <w:b/>
          <w:color w:val="333333"/>
          <w:sz w:val="32"/>
          <w:szCs w:val="32"/>
          <w:shd w:val="clear" w:color="auto" w:fill="FFFFFF"/>
          <w:lang w:val="en-US" w:eastAsia="zh-CN"/>
        </w:rPr>
        <w:t>六、其他需要报告的事项</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560" w:lineRule="exact"/>
        <w:ind w:right="0" w:firstLineChars="200" w:firstLine="640"/>
        <w:jc w:val="both"/>
        <w:textAlignment w:val="auto"/>
      </w:pPr>
      <w:r>
        <w:rPr>
          <w:rFonts w:ascii="仿宋_GB2312" w:eastAsia="仿宋_GB2312" w:cs="仿宋_GB2312" w:hint="eastAsia"/>
          <w:i w:val="0"/>
          <w:iCs w:val="0"/>
          <w:caps w:val="0"/>
          <w:smallCaps w:val="0"/>
          <w:color w:val="auto"/>
          <w:spacing w:val="0"/>
          <w:kern w:val="0"/>
          <w:sz w:val="32"/>
          <w:szCs w:val="32"/>
          <w:shd w:val="clear" w:color="auto" w:fill="FFFFFF"/>
          <w:lang w:val="en-US" w:eastAsia="zh-CN" w:bidi="ar-SA"/>
        </w:rPr>
        <w:t>认真贯彻执行国务院办公厅《政府信息公开信息处理费管理办法》和《关于政府信息公开处理费管理有关事项的通知》。2023年度我单位无收取信息处理费情况。</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auto"/>
    <w:pitch w:val="variable"/>
    <w:sig w:usb0="00000000" w:usb1="00000000" w:usb2="00000000" w:usb3="00000000" w:csb0="00040000" w:csb1="00000000"/>
  </w:font>
  <w:font w:name="楷体_GB2312">
    <w:altName w:val="楷体"/>
    <w:panose1 w:val="02010609030101010101"/>
    <w:charset w:val="86"/>
    <w:family w:val="auto"/>
    <w:pitch w:val="variable"/>
    <w:sig w:usb0="00000000" w:usb1="00000000" w:usb2="0000000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Times New Roman">
    <w:panose1 w:val="02020603050405020304"/>
    <w:charset w:val="50"/>
    <w:family w:val="auto"/>
    <w:pitch w:val="variable"/>
    <w:sig w:usb0="E0002EFF" w:usb1="C000785B" w:usb2="00000009" w:usb3="00000000" w:csb0="400001FF" w:csb1="FFFF0000"/>
  </w:font>
  <w:font w:name="楷体">
    <w:panose1 w:val="02010609060101010101"/>
    <w:charset w:val="86"/>
    <w:family w:val="modern"/>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mNiNDUwMjczYjRkMjE5NmQ3OGVlZjgxMmE2ZjhjZT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仿宋_GB2312" w:eastAsia="仿宋_GB2312" w:cs="Times New Roman"/>
      <w:kern w:val="2"/>
      <w:sz w:val="32"/>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eastAsia="宋体" w:cs="宋体"/>
      <w:color w:val="000000"/>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81</TotalTime>
  <Application>Yozo_Office27021597764231179</Application>
  <Pages>5</Pages>
  <Words>2012</Words>
  <Characters>2066</Characters>
  <Lines>390</Lines>
  <Paragraphs>279</Paragraphs>
  <CharactersWithSpaces>2066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姬很烦。</dc:creator>
  <cp:lastModifiedBy>dh</cp:lastModifiedBy>
  <cp:revision>1</cp:revision>
  <dcterms:created xsi:type="dcterms:W3CDTF">2024-01-26T08:42:00Z</dcterms:created>
  <dcterms:modified xsi:type="dcterms:W3CDTF">2024-06-03T03:32:01Z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A5BBFA26D9A845388394A474F4A71659_13</vt:lpwstr>
  </property>
</Properties>
</file>