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2024年单位预算信息公开目录</w:t>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涞源县信访局本级收支预算</w:t>
      </w:r>
      <w:r>
        <w:tab/>
      </w:r>
      <w:r>
        <w:rPr>
          <w:rFonts w:hint="eastAsia"/>
          <w:lang w:val="en-US" w:eastAsia="zh-CN"/>
        </w:rPr>
        <w:t>4</w:t>
      </w:r>
      <w:r>
        <w:fldChar w:fldCharType="end"/>
      </w:r>
    </w:p>
    <w:p>
      <w:pPr>
        <w:pStyle w:val="2"/>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rPr>
          <w:rFonts w:hint="eastAsia"/>
          <w:lang w:val="en-US" w:eastAsia="zh-CN"/>
        </w:rPr>
        <w:t>7</w:t>
      </w:r>
      <w:r>
        <w:fldChar w:fldCharType="end"/>
      </w:r>
    </w:p>
    <w:p>
      <w:pPr>
        <w:pStyle w:val="2"/>
        <w:tabs>
          <w:tab w:val="right" w:leader="dot" w:pos="14562"/>
        </w:tabs>
        <w:rPr>
          <w:rFonts w:hint="eastAsia" w:eastAsia="方正仿宋_GBK"/>
          <w:lang w:val="en-US" w:eastAsia="zh-CN"/>
        </w:rPr>
      </w:pPr>
      <w:r>
        <w:fldChar w:fldCharType="begin"/>
      </w:r>
      <w:r>
        <w:instrText xml:space="preserve"> HYPERLINK \l "_Toc_2_2_0000000003" </w:instrText>
      </w:r>
      <w:r>
        <w:fldChar w:fldCharType="separate"/>
      </w:r>
      <w:r>
        <w:rPr>
          <w:rFonts w:hint="eastAsia"/>
          <w:lang w:eastAsia="zh-CN"/>
        </w:rPr>
        <w:t>单位</w:t>
      </w:r>
      <w:r>
        <w:t>预算支出总表</w:t>
      </w:r>
      <w:r>
        <w:tab/>
      </w:r>
      <w:r>
        <w:rPr>
          <w:rFonts w:hint="eastAsia"/>
          <w:lang w:val="en-US" w:eastAsia="zh-CN"/>
        </w:rPr>
        <w:t>1</w:t>
      </w:r>
      <w:r>
        <w:fldChar w:fldCharType="end"/>
      </w:r>
      <w:r>
        <w:rPr>
          <w:rFonts w:hint="eastAsia"/>
          <w:lang w:val="en-US" w:eastAsia="zh-CN"/>
        </w:rPr>
        <w:t>0</w:t>
      </w:r>
    </w:p>
    <w:p>
      <w:pPr>
        <w:pStyle w:val="2"/>
        <w:tabs>
          <w:tab w:val="right" w:leader="dot" w:pos="14562"/>
        </w:tabs>
        <w:rPr>
          <w:rFonts w:hint="eastAsia" w:eastAsia="方正仿宋_GBK"/>
          <w:lang w:val="en-US" w:eastAsia="zh-CN"/>
        </w:rPr>
      </w:pPr>
      <w:r>
        <w:fldChar w:fldCharType="begin"/>
      </w:r>
      <w:r>
        <w:instrText xml:space="preserve"> HYPERLINK \l "_Toc_2_2_0000000004" </w:instrText>
      </w:r>
      <w:r>
        <w:fldChar w:fldCharType="separate"/>
      </w:r>
      <w:r>
        <w:rPr>
          <w:rFonts w:hint="eastAsia"/>
          <w:lang w:eastAsia="zh-CN"/>
        </w:rPr>
        <w:t>单位</w:t>
      </w:r>
      <w:r>
        <w:t>预算财政拨款收支总表</w:t>
      </w:r>
      <w:r>
        <w:tab/>
      </w:r>
      <w:r>
        <w:rPr>
          <w:rFonts w:hint="eastAsia"/>
          <w:lang w:val="en-US" w:eastAsia="zh-CN"/>
        </w:rPr>
        <w:t>1</w:t>
      </w:r>
      <w:r>
        <w:fldChar w:fldCharType="end"/>
      </w:r>
      <w:r>
        <w:rPr>
          <w:rFonts w:hint="eastAsia"/>
          <w:lang w:val="en-US" w:eastAsia="zh-CN"/>
        </w:rPr>
        <w:t>2</w:t>
      </w:r>
    </w:p>
    <w:p>
      <w:pPr>
        <w:pStyle w:val="2"/>
        <w:tabs>
          <w:tab w:val="right" w:leader="dot" w:pos="14562"/>
        </w:tabs>
        <w:rPr>
          <w:rFonts w:hint="default" w:eastAsia="方正仿宋_GBK"/>
          <w:lang w:val="en-US" w:eastAsia="zh-CN"/>
        </w:rPr>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rPr>
          <w:rFonts w:hint="eastAsia"/>
          <w:lang w:val="en-US" w:eastAsia="zh-CN"/>
        </w:rPr>
        <w:t>1</w:t>
      </w:r>
      <w:r>
        <w:fldChar w:fldCharType="end"/>
      </w:r>
      <w:r>
        <w:rPr>
          <w:rFonts w:hint="eastAsia"/>
          <w:lang w:val="en-US" w:eastAsia="zh-CN"/>
        </w:rPr>
        <w:t>7</w:t>
      </w:r>
    </w:p>
    <w:p>
      <w:pPr>
        <w:pStyle w:val="2"/>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rPr>
          <w:rFonts w:hint="eastAsia"/>
          <w:lang w:val="en-US" w:eastAsia="zh-CN"/>
        </w:rPr>
        <w:t>1</w:t>
      </w:r>
      <w:r>
        <w:fldChar w:fldCharType="end"/>
      </w:r>
      <w:r>
        <w:rPr>
          <w:rFonts w:hint="eastAsia"/>
          <w:lang w:val="en-US" w:eastAsia="zh-CN"/>
        </w:rPr>
        <w:t>9</w:t>
      </w:r>
    </w:p>
    <w:p>
      <w:pPr>
        <w:pStyle w:val="2"/>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rPr>
          <w:rFonts w:hint="eastAsia"/>
          <w:lang w:eastAsia="zh-CN"/>
        </w:rPr>
        <w:t>单位</w:t>
      </w:r>
      <w:r>
        <w:t>预算政府基金预算财政拨款支出表</w:t>
      </w:r>
      <w:r>
        <w:tab/>
      </w:r>
      <w:r>
        <w:rPr>
          <w:rFonts w:hint="eastAsia"/>
          <w:lang w:val="en-US" w:eastAsia="zh-CN"/>
        </w:rPr>
        <w:t>2</w:t>
      </w:r>
      <w:r>
        <w:fldChar w:fldCharType="end"/>
      </w:r>
      <w:r>
        <w:rPr>
          <w:rFonts w:hint="eastAsia"/>
          <w:lang w:val="en-US" w:eastAsia="zh-CN"/>
        </w:rPr>
        <w:t>1</w:t>
      </w:r>
    </w:p>
    <w:p>
      <w:pPr>
        <w:pStyle w:val="2"/>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rPr>
          <w:rFonts w:hint="eastAsia"/>
          <w:lang w:val="en-US" w:eastAsia="zh-CN"/>
        </w:rPr>
        <w:t>2</w:t>
      </w:r>
      <w:r>
        <w:fldChar w:fldCharType="end"/>
      </w:r>
      <w:r>
        <w:rPr>
          <w:rFonts w:hint="eastAsia"/>
          <w:lang w:val="en-US" w:eastAsia="zh-CN"/>
        </w:rPr>
        <w:t>2</w:t>
      </w:r>
    </w:p>
    <w:p>
      <w:pPr>
        <w:pStyle w:val="2"/>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rPr>
          <w:rFonts w:hint="eastAsia"/>
          <w:lang w:val="en-US" w:eastAsia="zh-CN"/>
        </w:rPr>
        <w:t>2</w:t>
      </w:r>
      <w:r>
        <w:fldChar w:fldCharType="end"/>
      </w:r>
      <w:r>
        <w:rPr>
          <w:rFonts w:hint="eastAsia"/>
          <w:lang w:val="en-US" w:eastAsia="zh-CN"/>
        </w:rPr>
        <w:t>3</w:t>
      </w:r>
    </w:p>
    <w:p>
      <w:r>
        <w:fldChar w:fldCharType="end"/>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2"/>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rPr>
          <w:rFonts w:hint="eastAsia"/>
          <w:lang w:val="en-US" w:eastAsia="zh-CN"/>
        </w:rPr>
        <w:t>2</w:t>
      </w:r>
      <w:r>
        <w:fldChar w:fldCharType="end"/>
      </w:r>
      <w:r>
        <w:rPr>
          <w:rFonts w:hint="eastAsia"/>
          <w:lang w:val="en-US" w:eastAsia="zh-CN"/>
        </w:rPr>
        <w:t>4</w:t>
      </w:r>
    </w:p>
    <w:p>
      <w:pPr>
        <w:pStyle w:val="2"/>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rPr>
          <w:rFonts w:hint="eastAsia"/>
          <w:lang w:val="en-US" w:eastAsia="zh-CN"/>
        </w:rPr>
        <w:t>2</w:t>
      </w:r>
      <w:r>
        <w:fldChar w:fldCharType="end"/>
      </w:r>
      <w:r>
        <w:rPr>
          <w:rFonts w:hint="eastAsia"/>
          <w:lang w:val="en-US" w:eastAsia="zh-CN"/>
        </w:rPr>
        <w:t>5</w:t>
      </w:r>
    </w:p>
    <w:p>
      <w:pPr>
        <w:pStyle w:val="2"/>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2</w:t>
      </w:r>
      <w:r>
        <w:fldChar w:fldCharType="end"/>
      </w:r>
      <w:r>
        <w:rPr>
          <w:rFonts w:hint="eastAsia"/>
          <w:lang w:val="en-US" w:eastAsia="zh-CN"/>
        </w:rPr>
        <w:t>5</w:t>
      </w:r>
    </w:p>
    <w:p>
      <w:pPr>
        <w:pStyle w:val="2"/>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2</w:t>
      </w:r>
      <w:r>
        <w:fldChar w:fldCharType="end"/>
      </w:r>
      <w:r>
        <w:rPr>
          <w:rFonts w:hint="eastAsia"/>
          <w:lang w:val="en-US" w:eastAsia="zh-CN"/>
        </w:rPr>
        <w:t>6</w:t>
      </w:r>
    </w:p>
    <w:p>
      <w:pPr>
        <w:pStyle w:val="2"/>
        <w:tabs>
          <w:tab w:val="right" w:leader="dot" w:pos="14562"/>
        </w:tabs>
      </w:pPr>
    </w:p>
    <w:p>
      <w:pPr>
        <w:pStyle w:val="2"/>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rPr>
          <w:rFonts w:hint="eastAsia"/>
          <w:lang w:eastAsia="zh-CN"/>
        </w:rPr>
        <w:t>五</w:t>
      </w:r>
      <w:r>
        <w:t>、</w:t>
      </w:r>
      <w:r>
        <w:rPr>
          <w:rFonts w:hint="eastAsia"/>
          <w:lang w:eastAsia="zh-CN"/>
        </w:rPr>
        <w:t>单位项目预算安排情况及绩效目标</w:t>
      </w:r>
      <w:r>
        <w:tab/>
      </w:r>
      <w:r>
        <w:rPr>
          <w:rFonts w:hint="eastAsia"/>
          <w:lang w:val="en-US" w:eastAsia="zh-CN"/>
        </w:rPr>
        <w:t>2</w:t>
      </w:r>
      <w:r>
        <w:fldChar w:fldCharType="end"/>
      </w:r>
      <w:r>
        <w:rPr>
          <w:rFonts w:hint="eastAsia"/>
          <w:lang w:val="en-US" w:eastAsia="zh-CN"/>
        </w:rPr>
        <w:t>6</w:t>
      </w:r>
    </w:p>
    <w:p>
      <w:pPr>
        <w:pStyle w:val="2"/>
        <w:tabs>
          <w:tab w:val="right" w:leader="dot" w:pos="14562"/>
        </w:tabs>
        <w:rPr>
          <w:rFonts w:hint="default" w:eastAsia="方正仿宋_GBK"/>
          <w:lang w:val="en-US" w:eastAsia="zh-CN"/>
        </w:rPr>
      </w:pPr>
      <w:r>
        <w:rPr>
          <w:rFonts w:hint="eastAsia"/>
          <w:lang w:eastAsia="zh-CN"/>
        </w:rPr>
        <w:t>六</w:t>
      </w:r>
      <w:r>
        <w:t>、</w:t>
      </w:r>
      <w:r>
        <w:rPr>
          <w:rFonts w:hint="eastAsia"/>
          <w:lang w:eastAsia="zh-CN"/>
        </w:rPr>
        <w:t>政府采购预算情况</w:t>
      </w:r>
      <w:r>
        <w:tab/>
      </w:r>
      <w:r>
        <w:rPr>
          <w:rFonts w:hint="eastAsia"/>
          <w:lang w:val="en-US" w:eastAsia="zh-CN"/>
        </w:rPr>
        <w:t>30</w:t>
      </w:r>
    </w:p>
    <w:p>
      <w:pPr>
        <w:pStyle w:val="2"/>
        <w:tabs>
          <w:tab w:val="right" w:leader="dot" w:pos="14562"/>
        </w:tabs>
        <w:ind w:left="0" w:leftChars="0" w:firstLine="560" w:firstLineChars="200"/>
        <w:rPr>
          <w:rFonts w:hint="eastAsia" w:eastAsia="方正仿宋_GBK"/>
          <w:lang w:val="en-US" w:eastAsia="zh-CN"/>
        </w:rPr>
      </w:pPr>
      <w:r>
        <w:fldChar w:fldCharType="begin"/>
      </w:r>
      <w:r>
        <w:instrText xml:space="preserve"> HYPERLINK \l "_Toc_3_3_0000000016" </w:instrText>
      </w:r>
      <w:r>
        <w:fldChar w:fldCharType="separate"/>
      </w:r>
      <w:r>
        <w:rPr>
          <w:rFonts w:hint="eastAsia"/>
          <w:lang w:eastAsia="zh-CN"/>
        </w:rPr>
        <w:t>七</w:t>
      </w:r>
      <w:r>
        <w:t>、国有资产信息</w:t>
      </w:r>
      <w:r>
        <w:tab/>
      </w:r>
      <w:r>
        <w:rPr>
          <w:rFonts w:hint="eastAsia"/>
          <w:lang w:val="en-US" w:eastAsia="zh-CN"/>
        </w:rPr>
        <w:t>3</w:t>
      </w:r>
      <w:r>
        <w:fldChar w:fldCharType="end"/>
      </w:r>
      <w:r>
        <w:rPr>
          <w:rFonts w:hint="eastAsia"/>
          <w:lang w:val="en-US" w:eastAsia="zh-CN"/>
        </w:rPr>
        <w:t>0</w:t>
      </w:r>
    </w:p>
    <w:p>
      <w:pPr>
        <w:pStyle w:val="2"/>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rPr>
          <w:rFonts w:hint="eastAsia"/>
          <w:lang w:eastAsia="zh-CN"/>
        </w:rPr>
        <w:t>八</w:t>
      </w:r>
      <w:r>
        <w:t>、名词解释</w:t>
      </w:r>
      <w:r>
        <w:tab/>
      </w:r>
      <w:r>
        <w:rPr>
          <w:rFonts w:hint="eastAsia"/>
          <w:lang w:val="en-US" w:eastAsia="zh-CN"/>
        </w:rPr>
        <w:t>3</w:t>
      </w:r>
      <w:r>
        <w:fldChar w:fldCharType="end"/>
      </w:r>
      <w:r>
        <w:rPr>
          <w:rFonts w:hint="eastAsia"/>
          <w:lang w:val="en-US" w:eastAsia="zh-CN"/>
        </w:rPr>
        <w:t>1</w:t>
      </w:r>
    </w:p>
    <w:p>
      <w:pPr>
        <w:pStyle w:val="2"/>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rPr>
          <w:rFonts w:hint="eastAsia"/>
          <w:lang w:eastAsia="zh-CN"/>
        </w:rPr>
        <w:t>九</w:t>
      </w:r>
      <w:r>
        <w:t>、其他需要说明的事项</w:t>
      </w:r>
      <w:r>
        <w:tab/>
      </w:r>
      <w:r>
        <w:rPr>
          <w:rFonts w:hint="eastAsia"/>
          <w:lang w:val="en-US" w:eastAsia="zh-CN"/>
        </w:rPr>
        <w:t>3</w:t>
      </w:r>
      <w:r>
        <w:fldChar w:fldCharType="end"/>
      </w:r>
      <w:r>
        <w:rPr>
          <w:rFonts w:hint="eastAsia"/>
          <w:lang w:val="en-US" w:eastAsia="zh-CN"/>
        </w:rPr>
        <w:t>2</w:t>
      </w:r>
    </w:p>
    <w:p>
      <w:pPr>
        <w:spacing w:before="0" w:after="0" w:line="240" w:lineRule="auto"/>
        <w:ind w:firstLine="0"/>
        <w:jc w:val="center"/>
        <w:outlineLvl w:val="9"/>
      </w:pPr>
      <w:r>
        <w:fldChar w:fldCharType="end"/>
      </w:r>
      <w:r>
        <w:rPr>
          <w:rFonts w:ascii="黑体" w:hAnsi="黑体" w:eastAsia="黑体" w:cs="黑体"/>
          <w:b/>
          <w:color w:val="000000"/>
          <w:sz w:val="30"/>
        </w:rPr>
        <w:t xml:space="preserve"> </w:t>
      </w:r>
    </w:p>
    <w:p>
      <w:pPr>
        <w:sectPr>
          <w:pgSz w:w="16840" w:h="11900" w:orient="landscape"/>
          <w:pgMar w:top="1587" w:right="1134" w:bottom="1361" w:left="1134" w:header="720" w:footer="720" w:gutter="0"/>
          <w:pgNumType w:start="1"/>
          <w:cols w:space="720" w:num="1"/>
        </w:sectPr>
      </w:pP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一、涞源县信访局本级收支预算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501001涞源县信访局本级</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336.65</w:t>
            </w:r>
          </w:p>
        </w:tc>
        <w:tc>
          <w:tcPr>
            <w:tcW w:w="4535" w:type="dxa"/>
            <w:vAlign w:val="center"/>
          </w:tcPr>
          <w:p>
            <w:pPr>
              <w:pStyle w:val="12"/>
            </w:pPr>
            <w:r>
              <w:t>一、一般公共服务支出</w:t>
            </w:r>
          </w:p>
        </w:tc>
        <w:tc>
          <w:tcPr>
            <w:tcW w:w="2126" w:type="dxa"/>
            <w:vAlign w:val="center"/>
          </w:tcPr>
          <w:p>
            <w:pPr>
              <w:pStyle w:val="11"/>
            </w:pPr>
            <w:r>
              <w:t>308.06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21.44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7.15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336.65</w:t>
            </w:r>
          </w:p>
        </w:tc>
        <w:tc>
          <w:tcPr>
            <w:tcW w:w="4535" w:type="dxa"/>
            <w:vAlign w:val="center"/>
          </w:tcPr>
          <w:p>
            <w:pPr>
              <w:pStyle w:val="14"/>
            </w:pPr>
            <w:r>
              <w:t>本年支出合计</w:t>
            </w:r>
          </w:p>
        </w:tc>
        <w:tc>
          <w:tcPr>
            <w:tcW w:w="2126" w:type="dxa"/>
            <w:vAlign w:val="center"/>
          </w:tcPr>
          <w:p>
            <w:pPr>
              <w:pStyle w:val="15"/>
            </w:pPr>
            <w:r>
              <w:t>336.65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336.65</w:t>
            </w:r>
          </w:p>
        </w:tc>
        <w:tc>
          <w:tcPr>
            <w:tcW w:w="4535" w:type="dxa"/>
            <w:vAlign w:val="center"/>
          </w:tcPr>
          <w:p>
            <w:pPr>
              <w:pStyle w:val="14"/>
            </w:pPr>
            <w:r>
              <w:t>支出总计</w:t>
            </w:r>
          </w:p>
        </w:tc>
        <w:tc>
          <w:tcPr>
            <w:tcW w:w="2126" w:type="dxa"/>
            <w:vAlign w:val="center"/>
          </w:tcPr>
          <w:p>
            <w:pPr>
              <w:pStyle w:val="15"/>
            </w:pPr>
            <w:r>
              <w:t>336.65</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501001涞源县信访局本级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336.65</w:t>
            </w:r>
          </w:p>
        </w:tc>
        <w:tc>
          <w:tcPr>
            <w:tcW w:w="1134" w:type="dxa"/>
            <w:vAlign w:val="center"/>
          </w:tcPr>
          <w:p>
            <w:pPr>
              <w:pStyle w:val="15"/>
            </w:pPr>
            <w:r>
              <w:t>336.65</w:t>
            </w:r>
          </w:p>
        </w:tc>
        <w:tc>
          <w:tcPr>
            <w:tcW w:w="1134" w:type="dxa"/>
            <w:vAlign w:val="center"/>
          </w:tcPr>
          <w:p>
            <w:pPr>
              <w:pStyle w:val="15"/>
            </w:pPr>
            <w:r>
              <w:t>336.65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308.06</w:t>
            </w:r>
          </w:p>
        </w:tc>
        <w:tc>
          <w:tcPr>
            <w:tcW w:w="1134" w:type="dxa"/>
            <w:vAlign w:val="center"/>
          </w:tcPr>
          <w:p>
            <w:pPr>
              <w:pStyle w:val="11"/>
            </w:pPr>
            <w:r>
              <w:t>308.06</w:t>
            </w:r>
          </w:p>
        </w:tc>
        <w:tc>
          <w:tcPr>
            <w:tcW w:w="1134" w:type="dxa"/>
            <w:vAlign w:val="center"/>
          </w:tcPr>
          <w:p>
            <w:pPr>
              <w:pStyle w:val="11"/>
            </w:pPr>
            <w:r>
              <w:t>308.06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20140</w:t>
            </w:r>
          </w:p>
        </w:tc>
        <w:tc>
          <w:tcPr>
            <w:tcW w:w="1559" w:type="dxa"/>
            <w:vAlign w:val="center"/>
          </w:tcPr>
          <w:p>
            <w:pPr>
              <w:pStyle w:val="12"/>
            </w:pPr>
            <w:r>
              <w:t>信访事务</w:t>
            </w:r>
          </w:p>
        </w:tc>
        <w:tc>
          <w:tcPr>
            <w:tcW w:w="1134" w:type="dxa"/>
            <w:vAlign w:val="center"/>
          </w:tcPr>
          <w:p>
            <w:pPr>
              <w:pStyle w:val="11"/>
            </w:pPr>
            <w:r>
              <w:t>308.06</w:t>
            </w:r>
          </w:p>
        </w:tc>
        <w:tc>
          <w:tcPr>
            <w:tcW w:w="1134" w:type="dxa"/>
            <w:vAlign w:val="center"/>
          </w:tcPr>
          <w:p>
            <w:pPr>
              <w:pStyle w:val="11"/>
            </w:pPr>
            <w:r>
              <w:t>308.06</w:t>
            </w:r>
          </w:p>
        </w:tc>
        <w:tc>
          <w:tcPr>
            <w:tcW w:w="1134" w:type="dxa"/>
            <w:vAlign w:val="center"/>
          </w:tcPr>
          <w:p>
            <w:pPr>
              <w:pStyle w:val="11"/>
            </w:pPr>
            <w:r>
              <w:t>308.06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2014002</w:t>
            </w:r>
          </w:p>
        </w:tc>
        <w:tc>
          <w:tcPr>
            <w:tcW w:w="1559" w:type="dxa"/>
            <w:vAlign w:val="center"/>
          </w:tcPr>
          <w:p>
            <w:pPr>
              <w:pStyle w:val="12"/>
            </w:pPr>
            <w:r>
              <w:t>一般行政管理事务</w:t>
            </w:r>
          </w:p>
        </w:tc>
        <w:tc>
          <w:tcPr>
            <w:tcW w:w="1134" w:type="dxa"/>
            <w:vAlign w:val="center"/>
          </w:tcPr>
          <w:p>
            <w:pPr>
              <w:pStyle w:val="11"/>
            </w:pPr>
            <w:r>
              <w:t>39.00</w:t>
            </w:r>
          </w:p>
        </w:tc>
        <w:tc>
          <w:tcPr>
            <w:tcW w:w="1134" w:type="dxa"/>
            <w:vAlign w:val="center"/>
          </w:tcPr>
          <w:p>
            <w:pPr>
              <w:pStyle w:val="11"/>
            </w:pPr>
            <w:r>
              <w:t>39.00</w:t>
            </w:r>
          </w:p>
        </w:tc>
        <w:tc>
          <w:tcPr>
            <w:tcW w:w="1134" w:type="dxa"/>
            <w:vAlign w:val="center"/>
          </w:tcPr>
          <w:p>
            <w:pPr>
              <w:pStyle w:val="11"/>
            </w:pPr>
            <w:r>
              <w:t>39.00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2014004</w:t>
            </w:r>
          </w:p>
        </w:tc>
        <w:tc>
          <w:tcPr>
            <w:tcW w:w="1559" w:type="dxa"/>
            <w:vAlign w:val="center"/>
          </w:tcPr>
          <w:p>
            <w:pPr>
              <w:pStyle w:val="12"/>
            </w:pPr>
            <w:r>
              <w:t>信访业务</w:t>
            </w:r>
          </w:p>
        </w:tc>
        <w:tc>
          <w:tcPr>
            <w:tcW w:w="1134" w:type="dxa"/>
            <w:vAlign w:val="center"/>
          </w:tcPr>
          <w:p>
            <w:pPr>
              <w:pStyle w:val="11"/>
            </w:pPr>
            <w:r>
              <w:t>269.06</w:t>
            </w:r>
          </w:p>
        </w:tc>
        <w:tc>
          <w:tcPr>
            <w:tcW w:w="1134" w:type="dxa"/>
            <w:vAlign w:val="center"/>
          </w:tcPr>
          <w:p>
            <w:pPr>
              <w:pStyle w:val="11"/>
            </w:pPr>
            <w:r>
              <w:t>269.06</w:t>
            </w:r>
          </w:p>
        </w:tc>
        <w:tc>
          <w:tcPr>
            <w:tcW w:w="1134" w:type="dxa"/>
            <w:vAlign w:val="center"/>
          </w:tcPr>
          <w:p>
            <w:pPr>
              <w:pStyle w:val="11"/>
            </w:pPr>
            <w:r>
              <w:t>269.06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21.44</w:t>
            </w:r>
          </w:p>
        </w:tc>
        <w:tc>
          <w:tcPr>
            <w:tcW w:w="1134" w:type="dxa"/>
            <w:vAlign w:val="center"/>
          </w:tcPr>
          <w:p>
            <w:pPr>
              <w:pStyle w:val="11"/>
            </w:pPr>
            <w:r>
              <w:t>21.44</w:t>
            </w:r>
          </w:p>
        </w:tc>
        <w:tc>
          <w:tcPr>
            <w:tcW w:w="1134" w:type="dxa"/>
            <w:vAlign w:val="center"/>
          </w:tcPr>
          <w:p>
            <w:pPr>
              <w:pStyle w:val="11"/>
            </w:pPr>
            <w:r>
              <w:t>21.44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21.44</w:t>
            </w:r>
          </w:p>
        </w:tc>
        <w:tc>
          <w:tcPr>
            <w:tcW w:w="1134" w:type="dxa"/>
            <w:vAlign w:val="center"/>
          </w:tcPr>
          <w:p>
            <w:pPr>
              <w:pStyle w:val="11"/>
            </w:pPr>
            <w:r>
              <w:t>21.44</w:t>
            </w:r>
          </w:p>
        </w:tc>
        <w:tc>
          <w:tcPr>
            <w:tcW w:w="1134" w:type="dxa"/>
            <w:vAlign w:val="center"/>
          </w:tcPr>
          <w:p>
            <w:pPr>
              <w:pStyle w:val="11"/>
            </w:pPr>
            <w:r>
              <w:t>21.44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14.29</w:t>
            </w:r>
          </w:p>
        </w:tc>
        <w:tc>
          <w:tcPr>
            <w:tcW w:w="1134" w:type="dxa"/>
            <w:vAlign w:val="center"/>
          </w:tcPr>
          <w:p>
            <w:pPr>
              <w:pStyle w:val="11"/>
            </w:pPr>
            <w:r>
              <w:t>14.29</w:t>
            </w:r>
          </w:p>
        </w:tc>
        <w:tc>
          <w:tcPr>
            <w:tcW w:w="1134" w:type="dxa"/>
            <w:vAlign w:val="center"/>
          </w:tcPr>
          <w:p>
            <w:pPr>
              <w:pStyle w:val="11"/>
            </w:pPr>
            <w:r>
              <w:t>14.29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7.15</w:t>
            </w:r>
          </w:p>
        </w:tc>
        <w:tc>
          <w:tcPr>
            <w:tcW w:w="1134" w:type="dxa"/>
            <w:vAlign w:val="center"/>
          </w:tcPr>
          <w:p>
            <w:pPr>
              <w:pStyle w:val="11"/>
            </w:pPr>
            <w:r>
              <w:t>7.15</w:t>
            </w:r>
          </w:p>
        </w:tc>
        <w:tc>
          <w:tcPr>
            <w:tcW w:w="1134" w:type="dxa"/>
            <w:vAlign w:val="center"/>
          </w:tcPr>
          <w:p>
            <w:pPr>
              <w:pStyle w:val="11"/>
            </w:pPr>
            <w:r>
              <w:t>7.15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7.15</w:t>
            </w:r>
          </w:p>
        </w:tc>
        <w:tc>
          <w:tcPr>
            <w:tcW w:w="1134" w:type="dxa"/>
            <w:vAlign w:val="center"/>
          </w:tcPr>
          <w:p>
            <w:pPr>
              <w:pStyle w:val="11"/>
            </w:pPr>
            <w:r>
              <w:t>7.15</w:t>
            </w:r>
          </w:p>
        </w:tc>
        <w:tc>
          <w:tcPr>
            <w:tcW w:w="1134" w:type="dxa"/>
            <w:vAlign w:val="center"/>
          </w:tcPr>
          <w:p>
            <w:pPr>
              <w:pStyle w:val="11"/>
            </w:pPr>
            <w:r>
              <w:t>7.15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7.15</w:t>
            </w:r>
          </w:p>
        </w:tc>
        <w:tc>
          <w:tcPr>
            <w:tcW w:w="1134" w:type="dxa"/>
            <w:vAlign w:val="center"/>
          </w:tcPr>
          <w:p>
            <w:pPr>
              <w:pStyle w:val="11"/>
            </w:pPr>
            <w:r>
              <w:t>7.15</w:t>
            </w:r>
          </w:p>
        </w:tc>
        <w:tc>
          <w:tcPr>
            <w:tcW w:w="1134" w:type="dxa"/>
            <w:vAlign w:val="center"/>
          </w:tcPr>
          <w:p>
            <w:pPr>
              <w:pStyle w:val="11"/>
            </w:pPr>
            <w:r>
              <w:t>7.15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7.15</w:t>
            </w:r>
          </w:p>
        </w:tc>
        <w:tc>
          <w:tcPr>
            <w:tcW w:w="1134" w:type="dxa"/>
            <w:vAlign w:val="center"/>
          </w:tcPr>
          <w:p>
            <w:pPr>
              <w:pStyle w:val="11"/>
            </w:pPr>
            <w:r>
              <w:t>7.15</w:t>
            </w:r>
          </w:p>
        </w:tc>
        <w:tc>
          <w:tcPr>
            <w:tcW w:w="1134" w:type="dxa"/>
            <w:vAlign w:val="center"/>
          </w:tcPr>
          <w:p>
            <w:pPr>
              <w:pStyle w:val="11"/>
            </w:pPr>
            <w:r>
              <w:t>7.15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501001涞源县信访局本级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336.65</w:t>
            </w:r>
          </w:p>
        </w:tc>
        <w:tc>
          <w:tcPr>
            <w:tcW w:w="1361" w:type="dxa"/>
            <w:vAlign w:val="center"/>
          </w:tcPr>
          <w:p>
            <w:pPr>
              <w:pStyle w:val="15"/>
            </w:pPr>
            <w:r>
              <w:t>207.65</w:t>
            </w:r>
          </w:p>
        </w:tc>
        <w:tc>
          <w:tcPr>
            <w:tcW w:w="1361" w:type="dxa"/>
            <w:vAlign w:val="center"/>
          </w:tcPr>
          <w:p>
            <w:pPr>
              <w:pStyle w:val="15"/>
            </w:pPr>
            <w:r>
              <w:t>129.00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308.06</w:t>
            </w:r>
          </w:p>
        </w:tc>
        <w:tc>
          <w:tcPr>
            <w:tcW w:w="1361" w:type="dxa"/>
            <w:vAlign w:val="center"/>
          </w:tcPr>
          <w:p>
            <w:pPr>
              <w:pStyle w:val="11"/>
            </w:pPr>
            <w:r>
              <w:t>179.06</w:t>
            </w:r>
          </w:p>
        </w:tc>
        <w:tc>
          <w:tcPr>
            <w:tcW w:w="1361" w:type="dxa"/>
            <w:vAlign w:val="center"/>
          </w:tcPr>
          <w:p>
            <w:pPr>
              <w:pStyle w:val="11"/>
            </w:pPr>
            <w:r>
              <w:t>129.00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20140</w:t>
            </w:r>
          </w:p>
        </w:tc>
        <w:tc>
          <w:tcPr>
            <w:tcW w:w="4535" w:type="dxa"/>
            <w:vAlign w:val="center"/>
          </w:tcPr>
          <w:p>
            <w:pPr>
              <w:pStyle w:val="12"/>
            </w:pPr>
            <w:r>
              <w:t>信访事务</w:t>
            </w:r>
          </w:p>
        </w:tc>
        <w:tc>
          <w:tcPr>
            <w:tcW w:w="1361" w:type="dxa"/>
            <w:vAlign w:val="center"/>
          </w:tcPr>
          <w:p>
            <w:pPr>
              <w:pStyle w:val="11"/>
            </w:pPr>
            <w:r>
              <w:t>308.06</w:t>
            </w:r>
          </w:p>
        </w:tc>
        <w:tc>
          <w:tcPr>
            <w:tcW w:w="1361" w:type="dxa"/>
            <w:vAlign w:val="center"/>
          </w:tcPr>
          <w:p>
            <w:pPr>
              <w:pStyle w:val="11"/>
            </w:pPr>
            <w:r>
              <w:t>179.06</w:t>
            </w:r>
          </w:p>
        </w:tc>
        <w:tc>
          <w:tcPr>
            <w:tcW w:w="1361" w:type="dxa"/>
            <w:vAlign w:val="center"/>
          </w:tcPr>
          <w:p>
            <w:pPr>
              <w:pStyle w:val="11"/>
            </w:pPr>
            <w:r>
              <w:t>129.00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2014002</w:t>
            </w:r>
          </w:p>
        </w:tc>
        <w:tc>
          <w:tcPr>
            <w:tcW w:w="4535" w:type="dxa"/>
            <w:vAlign w:val="center"/>
          </w:tcPr>
          <w:p>
            <w:pPr>
              <w:pStyle w:val="12"/>
            </w:pPr>
            <w:r>
              <w:t>一般行政管理事务</w:t>
            </w:r>
          </w:p>
        </w:tc>
        <w:tc>
          <w:tcPr>
            <w:tcW w:w="1361" w:type="dxa"/>
            <w:vAlign w:val="center"/>
          </w:tcPr>
          <w:p>
            <w:pPr>
              <w:pStyle w:val="11"/>
            </w:pPr>
            <w:r>
              <w:t>39.00</w:t>
            </w:r>
          </w:p>
        </w:tc>
        <w:tc>
          <w:tcPr>
            <w:tcW w:w="1361" w:type="dxa"/>
            <w:vAlign w:val="center"/>
          </w:tcPr>
          <w:p>
            <w:pPr>
              <w:pStyle w:val="11"/>
            </w:pPr>
          </w:p>
        </w:tc>
        <w:tc>
          <w:tcPr>
            <w:tcW w:w="1361" w:type="dxa"/>
            <w:vAlign w:val="center"/>
          </w:tcPr>
          <w:p>
            <w:pPr>
              <w:pStyle w:val="11"/>
            </w:pPr>
            <w:r>
              <w:t>39.00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2014004</w:t>
            </w:r>
          </w:p>
        </w:tc>
        <w:tc>
          <w:tcPr>
            <w:tcW w:w="4535" w:type="dxa"/>
            <w:vAlign w:val="center"/>
          </w:tcPr>
          <w:p>
            <w:pPr>
              <w:pStyle w:val="12"/>
            </w:pPr>
            <w:r>
              <w:t>信访业务</w:t>
            </w:r>
          </w:p>
        </w:tc>
        <w:tc>
          <w:tcPr>
            <w:tcW w:w="1361" w:type="dxa"/>
            <w:vAlign w:val="center"/>
          </w:tcPr>
          <w:p>
            <w:pPr>
              <w:pStyle w:val="11"/>
            </w:pPr>
            <w:r>
              <w:t>269.06</w:t>
            </w:r>
          </w:p>
        </w:tc>
        <w:tc>
          <w:tcPr>
            <w:tcW w:w="1361" w:type="dxa"/>
            <w:vAlign w:val="center"/>
          </w:tcPr>
          <w:p>
            <w:pPr>
              <w:pStyle w:val="11"/>
            </w:pPr>
            <w:r>
              <w:t>179.06</w:t>
            </w:r>
          </w:p>
        </w:tc>
        <w:tc>
          <w:tcPr>
            <w:tcW w:w="1361" w:type="dxa"/>
            <w:vAlign w:val="center"/>
          </w:tcPr>
          <w:p>
            <w:pPr>
              <w:pStyle w:val="11"/>
            </w:pPr>
            <w:r>
              <w:t>90.00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21.44</w:t>
            </w:r>
          </w:p>
        </w:tc>
        <w:tc>
          <w:tcPr>
            <w:tcW w:w="1361" w:type="dxa"/>
            <w:vAlign w:val="center"/>
          </w:tcPr>
          <w:p>
            <w:pPr>
              <w:pStyle w:val="11"/>
            </w:pPr>
            <w:r>
              <w:t>21.44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21.44</w:t>
            </w:r>
          </w:p>
        </w:tc>
        <w:tc>
          <w:tcPr>
            <w:tcW w:w="1361" w:type="dxa"/>
            <w:vAlign w:val="center"/>
          </w:tcPr>
          <w:p>
            <w:pPr>
              <w:pStyle w:val="11"/>
            </w:pPr>
            <w:r>
              <w:t>21.44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14.29</w:t>
            </w:r>
          </w:p>
        </w:tc>
        <w:tc>
          <w:tcPr>
            <w:tcW w:w="1361" w:type="dxa"/>
            <w:vAlign w:val="center"/>
          </w:tcPr>
          <w:p>
            <w:pPr>
              <w:pStyle w:val="11"/>
            </w:pPr>
            <w:r>
              <w:t>14.29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7.15</w:t>
            </w:r>
          </w:p>
        </w:tc>
        <w:tc>
          <w:tcPr>
            <w:tcW w:w="1361" w:type="dxa"/>
            <w:vAlign w:val="center"/>
          </w:tcPr>
          <w:p>
            <w:pPr>
              <w:pStyle w:val="11"/>
            </w:pPr>
            <w:r>
              <w:t>7.15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7.15</w:t>
            </w:r>
          </w:p>
        </w:tc>
        <w:tc>
          <w:tcPr>
            <w:tcW w:w="1361" w:type="dxa"/>
            <w:vAlign w:val="center"/>
          </w:tcPr>
          <w:p>
            <w:pPr>
              <w:pStyle w:val="11"/>
            </w:pPr>
            <w:r>
              <w:t>7.15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7.15</w:t>
            </w:r>
          </w:p>
        </w:tc>
        <w:tc>
          <w:tcPr>
            <w:tcW w:w="1361" w:type="dxa"/>
            <w:vAlign w:val="center"/>
          </w:tcPr>
          <w:p>
            <w:pPr>
              <w:pStyle w:val="11"/>
            </w:pPr>
            <w:r>
              <w:t>7.15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7.15</w:t>
            </w:r>
          </w:p>
        </w:tc>
        <w:tc>
          <w:tcPr>
            <w:tcW w:w="1361" w:type="dxa"/>
            <w:vAlign w:val="center"/>
          </w:tcPr>
          <w:p>
            <w:pPr>
              <w:pStyle w:val="11"/>
            </w:pPr>
            <w:r>
              <w:t>7.15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501001涞源县信访局本级</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336.65</w:t>
            </w:r>
          </w:p>
        </w:tc>
        <w:tc>
          <w:tcPr>
            <w:tcW w:w="3402" w:type="dxa"/>
            <w:vAlign w:val="center"/>
          </w:tcPr>
          <w:p>
            <w:pPr>
              <w:pStyle w:val="12"/>
            </w:pPr>
            <w:r>
              <w:t>一、一般公共服务支出</w:t>
            </w:r>
          </w:p>
        </w:tc>
        <w:tc>
          <w:tcPr>
            <w:tcW w:w="1474" w:type="dxa"/>
            <w:vAlign w:val="center"/>
          </w:tcPr>
          <w:p>
            <w:pPr>
              <w:pStyle w:val="11"/>
            </w:pPr>
            <w:r>
              <w:t>308.06</w:t>
            </w:r>
          </w:p>
        </w:tc>
        <w:tc>
          <w:tcPr>
            <w:tcW w:w="1474" w:type="dxa"/>
            <w:vAlign w:val="center"/>
          </w:tcPr>
          <w:p>
            <w:pPr>
              <w:pStyle w:val="11"/>
            </w:pPr>
            <w:r>
              <w:t>308.06</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21.44</w:t>
            </w:r>
          </w:p>
        </w:tc>
        <w:tc>
          <w:tcPr>
            <w:tcW w:w="1474" w:type="dxa"/>
            <w:vAlign w:val="center"/>
          </w:tcPr>
          <w:p>
            <w:pPr>
              <w:pStyle w:val="11"/>
            </w:pPr>
            <w:r>
              <w:t>21.44</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7.15</w:t>
            </w:r>
          </w:p>
        </w:tc>
        <w:tc>
          <w:tcPr>
            <w:tcW w:w="1474" w:type="dxa"/>
            <w:vAlign w:val="center"/>
          </w:tcPr>
          <w:p>
            <w:pPr>
              <w:pStyle w:val="11"/>
            </w:pPr>
            <w:r>
              <w:t>7.15</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336.65</w:t>
            </w:r>
          </w:p>
        </w:tc>
        <w:tc>
          <w:tcPr>
            <w:tcW w:w="3402" w:type="dxa"/>
            <w:vAlign w:val="center"/>
          </w:tcPr>
          <w:p>
            <w:pPr>
              <w:pStyle w:val="14"/>
            </w:pPr>
            <w:r>
              <w:t>本年支出合计</w:t>
            </w:r>
          </w:p>
        </w:tc>
        <w:tc>
          <w:tcPr>
            <w:tcW w:w="1474" w:type="dxa"/>
            <w:vAlign w:val="center"/>
          </w:tcPr>
          <w:p>
            <w:pPr>
              <w:pStyle w:val="15"/>
            </w:pPr>
            <w:r>
              <w:t>336.65</w:t>
            </w:r>
          </w:p>
        </w:tc>
        <w:tc>
          <w:tcPr>
            <w:tcW w:w="1474" w:type="dxa"/>
            <w:vAlign w:val="center"/>
          </w:tcPr>
          <w:p>
            <w:pPr>
              <w:pStyle w:val="15"/>
            </w:pPr>
            <w:r>
              <w:t>336.65</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336.65</w:t>
            </w:r>
          </w:p>
        </w:tc>
        <w:tc>
          <w:tcPr>
            <w:tcW w:w="3402" w:type="dxa"/>
            <w:vAlign w:val="center"/>
          </w:tcPr>
          <w:p>
            <w:pPr>
              <w:pStyle w:val="14"/>
            </w:pPr>
            <w:r>
              <w:t>支出总计</w:t>
            </w:r>
          </w:p>
        </w:tc>
        <w:tc>
          <w:tcPr>
            <w:tcW w:w="1474" w:type="dxa"/>
            <w:vAlign w:val="center"/>
          </w:tcPr>
          <w:p>
            <w:pPr>
              <w:pStyle w:val="15"/>
            </w:pPr>
            <w:r>
              <w:t>336.65</w:t>
            </w:r>
          </w:p>
        </w:tc>
        <w:tc>
          <w:tcPr>
            <w:tcW w:w="1474" w:type="dxa"/>
            <w:vAlign w:val="center"/>
          </w:tcPr>
          <w:p>
            <w:pPr>
              <w:pStyle w:val="15"/>
            </w:pPr>
            <w:r>
              <w:t>336.65</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501001涞源县信访局本级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336.65</w:t>
            </w:r>
          </w:p>
        </w:tc>
        <w:tc>
          <w:tcPr>
            <w:tcW w:w="2551" w:type="dxa"/>
            <w:vAlign w:val="center"/>
          </w:tcPr>
          <w:p>
            <w:pPr>
              <w:pStyle w:val="15"/>
            </w:pPr>
            <w:r>
              <w:t>207.65</w:t>
            </w:r>
          </w:p>
        </w:tc>
        <w:tc>
          <w:tcPr>
            <w:tcW w:w="2551" w:type="dxa"/>
            <w:vAlign w:val="center"/>
          </w:tcPr>
          <w:p>
            <w:pPr>
              <w:pStyle w:val="15"/>
            </w:pPr>
            <w:r>
              <w:t>129.00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308.06</w:t>
            </w:r>
          </w:p>
        </w:tc>
        <w:tc>
          <w:tcPr>
            <w:tcW w:w="2551" w:type="dxa"/>
            <w:vAlign w:val="center"/>
          </w:tcPr>
          <w:p>
            <w:pPr>
              <w:pStyle w:val="11"/>
            </w:pPr>
            <w:r>
              <w:t>179.06</w:t>
            </w:r>
          </w:p>
        </w:tc>
        <w:tc>
          <w:tcPr>
            <w:tcW w:w="2551" w:type="dxa"/>
            <w:vAlign w:val="center"/>
          </w:tcPr>
          <w:p>
            <w:pPr>
              <w:pStyle w:val="11"/>
            </w:pPr>
            <w:r>
              <w:t>129.00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20140</w:t>
            </w:r>
          </w:p>
        </w:tc>
        <w:tc>
          <w:tcPr>
            <w:tcW w:w="4535" w:type="dxa"/>
            <w:vAlign w:val="center"/>
          </w:tcPr>
          <w:p>
            <w:pPr>
              <w:pStyle w:val="12"/>
            </w:pPr>
            <w:r>
              <w:t>信访事务</w:t>
            </w:r>
          </w:p>
        </w:tc>
        <w:tc>
          <w:tcPr>
            <w:tcW w:w="2551" w:type="dxa"/>
            <w:vAlign w:val="center"/>
          </w:tcPr>
          <w:p>
            <w:pPr>
              <w:pStyle w:val="11"/>
            </w:pPr>
            <w:r>
              <w:t>308.06</w:t>
            </w:r>
          </w:p>
        </w:tc>
        <w:tc>
          <w:tcPr>
            <w:tcW w:w="2551" w:type="dxa"/>
            <w:vAlign w:val="center"/>
          </w:tcPr>
          <w:p>
            <w:pPr>
              <w:pStyle w:val="11"/>
            </w:pPr>
            <w:r>
              <w:t>179.06</w:t>
            </w:r>
          </w:p>
        </w:tc>
        <w:tc>
          <w:tcPr>
            <w:tcW w:w="2551" w:type="dxa"/>
            <w:vAlign w:val="center"/>
          </w:tcPr>
          <w:p>
            <w:pPr>
              <w:pStyle w:val="11"/>
            </w:pPr>
            <w:r>
              <w:t>129.00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2014002</w:t>
            </w:r>
          </w:p>
        </w:tc>
        <w:tc>
          <w:tcPr>
            <w:tcW w:w="4535" w:type="dxa"/>
            <w:vAlign w:val="center"/>
          </w:tcPr>
          <w:p>
            <w:pPr>
              <w:pStyle w:val="12"/>
            </w:pPr>
            <w:r>
              <w:t>一般行政管理事务</w:t>
            </w:r>
          </w:p>
        </w:tc>
        <w:tc>
          <w:tcPr>
            <w:tcW w:w="2551" w:type="dxa"/>
            <w:vAlign w:val="center"/>
          </w:tcPr>
          <w:p>
            <w:pPr>
              <w:pStyle w:val="11"/>
            </w:pPr>
            <w:r>
              <w:t>39.00</w:t>
            </w:r>
          </w:p>
        </w:tc>
        <w:tc>
          <w:tcPr>
            <w:tcW w:w="2551" w:type="dxa"/>
            <w:vAlign w:val="center"/>
          </w:tcPr>
          <w:p>
            <w:pPr>
              <w:pStyle w:val="11"/>
            </w:pPr>
          </w:p>
        </w:tc>
        <w:tc>
          <w:tcPr>
            <w:tcW w:w="2551" w:type="dxa"/>
            <w:vAlign w:val="center"/>
          </w:tcPr>
          <w:p>
            <w:pPr>
              <w:pStyle w:val="11"/>
            </w:pPr>
            <w:r>
              <w:t>39.00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2014004</w:t>
            </w:r>
          </w:p>
        </w:tc>
        <w:tc>
          <w:tcPr>
            <w:tcW w:w="4535" w:type="dxa"/>
            <w:vAlign w:val="center"/>
          </w:tcPr>
          <w:p>
            <w:pPr>
              <w:pStyle w:val="12"/>
            </w:pPr>
            <w:r>
              <w:t>信访业务</w:t>
            </w:r>
          </w:p>
        </w:tc>
        <w:tc>
          <w:tcPr>
            <w:tcW w:w="2551" w:type="dxa"/>
            <w:vAlign w:val="center"/>
          </w:tcPr>
          <w:p>
            <w:pPr>
              <w:pStyle w:val="11"/>
            </w:pPr>
            <w:r>
              <w:t>269.06</w:t>
            </w:r>
          </w:p>
        </w:tc>
        <w:tc>
          <w:tcPr>
            <w:tcW w:w="2551" w:type="dxa"/>
            <w:vAlign w:val="center"/>
          </w:tcPr>
          <w:p>
            <w:pPr>
              <w:pStyle w:val="11"/>
            </w:pPr>
            <w:r>
              <w:t>179.06</w:t>
            </w:r>
          </w:p>
        </w:tc>
        <w:tc>
          <w:tcPr>
            <w:tcW w:w="2551" w:type="dxa"/>
            <w:vAlign w:val="center"/>
          </w:tcPr>
          <w:p>
            <w:pPr>
              <w:pStyle w:val="11"/>
            </w:pPr>
            <w:r>
              <w:t>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21.44</w:t>
            </w:r>
          </w:p>
        </w:tc>
        <w:tc>
          <w:tcPr>
            <w:tcW w:w="2551" w:type="dxa"/>
            <w:vAlign w:val="center"/>
          </w:tcPr>
          <w:p>
            <w:pPr>
              <w:pStyle w:val="11"/>
            </w:pPr>
            <w:r>
              <w:t>21.44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21.44</w:t>
            </w:r>
          </w:p>
        </w:tc>
        <w:tc>
          <w:tcPr>
            <w:tcW w:w="2551" w:type="dxa"/>
            <w:vAlign w:val="center"/>
          </w:tcPr>
          <w:p>
            <w:pPr>
              <w:pStyle w:val="11"/>
            </w:pPr>
            <w:r>
              <w:t>21.44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14.29</w:t>
            </w:r>
          </w:p>
        </w:tc>
        <w:tc>
          <w:tcPr>
            <w:tcW w:w="2551" w:type="dxa"/>
            <w:vAlign w:val="center"/>
          </w:tcPr>
          <w:p>
            <w:pPr>
              <w:pStyle w:val="11"/>
            </w:pPr>
            <w:r>
              <w:t>14.29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7.15</w:t>
            </w:r>
          </w:p>
        </w:tc>
        <w:tc>
          <w:tcPr>
            <w:tcW w:w="2551" w:type="dxa"/>
            <w:vAlign w:val="center"/>
          </w:tcPr>
          <w:p>
            <w:pPr>
              <w:pStyle w:val="11"/>
            </w:pPr>
            <w:r>
              <w:t>7.15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7.15</w:t>
            </w:r>
          </w:p>
        </w:tc>
        <w:tc>
          <w:tcPr>
            <w:tcW w:w="2551" w:type="dxa"/>
            <w:vAlign w:val="center"/>
          </w:tcPr>
          <w:p>
            <w:pPr>
              <w:pStyle w:val="11"/>
            </w:pPr>
            <w:r>
              <w:t>7.15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7.15</w:t>
            </w:r>
          </w:p>
        </w:tc>
        <w:tc>
          <w:tcPr>
            <w:tcW w:w="2551" w:type="dxa"/>
            <w:vAlign w:val="center"/>
          </w:tcPr>
          <w:p>
            <w:pPr>
              <w:pStyle w:val="11"/>
            </w:pPr>
            <w:r>
              <w:t>7.15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7.15</w:t>
            </w:r>
          </w:p>
        </w:tc>
        <w:tc>
          <w:tcPr>
            <w:tcW w:w="2551" w:type="dxa"/>
            <w:vAlign w:val="center"/>
          </w:tcPr>
          <w:p>
            <w:pPr>
              <w:pStyle w:val="11"/>
            </w:pPr>
            <w:r>
              <w:t>7.15</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501001涞源县信访局本级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207.65</w:t>
            </w:r>
          </w:p>
        </w:tc>
        <w:tc>
          <w:tcPr>
            <w:tcW w:w="2551" w:type="dxa"/>
            <w:vAlign w:val="center"/>
          </w:tcPr>
          <w:p>
            <w:pPr>
              <w:pStyle w:val="15"/>
            </w:pPr>
            <w:r>
              <w:t>178.10</w:t>
            </w:r>
          </w:p>
        </w:tc>
        <w:tc>
          <w:tcPr>
            <w:tcW w:w="2551" w:type="dxa"/>
            <w:vAlign w:val="center"/>
          </w:tcPr>
          <w:p>
            <w:pPr>
              <w:pStyle w:val="15"/>
            </w:pPr>
            <w:r>
              <w:t>29.55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171.44</w:t>
            </w:r>
          </w:p>
        </w:tc>
        <w:tc>
          <w:tcPr>
            <w:tcW w:w="2551" w:type="dxa"/>
            <w:vAlign w:val="center"/>
          </w:tcPr>
          <w:p>
            <w:pPr>
              <w:pStyle w:val="11"/>
            </w:pPr>
            <w:r>
              <w:t>171.44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88.17</w:t>
            </w:r>
          </w:p>
        </w:tc>
        <w:tc>
          <w:tcPr>
            <w:tcW w:w="2551" w:type="dxa"/>
            <w:vAlign w:val="center"/>
          </w:tcPr>
          <w:p>
            <w:pPr>
              <w:pStyle w:val="11"/>
            </w:pPr>
            <w:r>
              <w:t>88.17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32.54</w:t>
            </w:r>
          </w:p>
        </w:tc>
        <w:tc>
          <w:tcPr>
            <w:tcW w:w="2551" w:type="dxa"/>
            <w:vAlign w:val="center"/>
          </w:tcPr>
          <w:p>
            <w:pPr>
              <w:pStyle w:val="11"/>
            </w:pPr>
            <w:r>
              <w:t>32.54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12.92</w:t>
            </w:r>
          </w:p>
        </w:tc>
        <w:tc>
          <w:tcPr>
            <w:tcW w:w="2551" w:type="dxa"/>
            <w:vAlign w:val="center"/>
          </w:tcPr>
          <w:p>
            <w:pPr>
              <w:pStyle w:val="11"/>
            </w:pPr>
            <w:r>
              <w:t>12.92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3.00</w:t>
            </w:r>
          </w:p>
        </w:tc>
        <w:tc>
          <w:tcPr>
            <w:tcW w:w="2551" w:type="dxa"/>
            <w:vAlign w:val="center"/>
          </w:tcPr>
          <w:p>
            <w:pPr>
              <w:pStyle w:val="11"/>
            </w:pPr>
            <w:r>
              <w:t>3.00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14.29</w:t>
            </w:r>
          </w:p>
        </w:tc>
        <w:tc>
          <w:tcPr>
            <w:tcW w:w="2551" w:type="dxa"/>
            <w:vAlign w:val="center"/>
          </w:tcPr>
          <w:p>
            <w:pPr>
              <w:pStyle w:val="11"/>
            </w:pPr>
            <w:r>
              <w:t>14.29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7.15</w:t>
            </w:r>
          </w:p>
        </w:tc>
        <w:tc>
          <w:tcPr>
            <w:tcW w:w="2551" w:type="dxa"/>
            <w:vAlign w:val="center"/>
          </w:tcPr>
          <w:p>
            <w:pPr>
              <w:pStyle w:val="11"/>
            </w:pPr>
            <w:r>
              <w:t>7.15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5.77</w:t>
            </w:r>
          </w:p>
        </w:tc>
        <w:tc>
          <w:tcPr>
            <w:tcW w:w="2551" w:type="dxa"/>
            <w:vAlign w:val="center"/>
          </w:tcPr>
          <w:p>
            <w:pPr>
              <w:pStyle w:val="11"/>
            </w:pPr>
            <w:r>
              <w:t>5.77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0.45</w:t>
            </w:r>
          </w:p>
        </w:tc>
        <w:tc>
          <w:tcPr>
            <w:tcW w:w="2551" w:type="dxa"/>
            <w:vAlign w:val="center"/>
          </w:tcPr>
          <w:p>
            <w:pPr>
              <w:pStyle w:val="11"/>
            </w:pPr>
            <w:r>
              <w:t>0.45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7.15</w:t>
            </w:r>
          </w:p>
        </w:tc>
        <w:tc>
          <w:tcPr>
            <w:tcW w:w="2551" w:type="dxa"/>
            <w:vAlign w:val="center"/>
          </w:tcPr>
          <w:p>
            <w:pPr>
              <w:pStyle w:val="11"/>
            </w:pPr>
            <w:r>
              <w:t>7.15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29.55</w:t>
            </w:r>
          </w:p>
        </w:tc>
        <w:tc>
          <w:tcPr>
            <w:tcW w:w="2551" w:type="dxa"/>
            <w:vAlign w:val="center"/>
          </w:tcPr>
          <w:p>
            <w:pPr>
              <w:pStyle w:val="11"/>
            </w:pPr>
          </w:p>
        </w:tc>
        <w:tc>
          <w:tcPr>
            <w:tcW w:w="2551" w:type="dxa"/>
            <w:vAlign w:val="center"/>
          </w:tcPr>
          <w:p>
            <w:pPr>
              <w:pStyle w:val="11"/>
            </w:pPr>
            <w:r>
              <w:t>29.55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3.35</w:t>
            </w:r>
          </w:p>
        </w:tc>
        <w:tc>
          <w:tcPr>
            <w:tcW w:w="2551" w:type="dxa"/>
            <w:vAlign w:val="center"/>
          </w:tcPr>
          <w:p>
            <w:pPr>
              <w:pStyle w:val="11"/>
            </w:pPr>
          </w:p>
        </w:tc>
        <w:tc>
          <w:tcPr>
            <w:tcW w:w="2551" w:type="dxa"/>
            <w:vAlign w:val="center"/>
          </w:tcPr>
          <w:p>
            <w:pPr>
              <w:pStyle w:val="11"/>
            </w:pPr>
            <w:r>
              <w:t>3.35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3.10</w:t>
            </w:r>
          </w:p>
        </w:tc>
        <w:tc>
          <w:tcPr>
            <w:tcW w:w="2551" w:type="dxa"/>
            <w:vAlign w:val="center"/>
          </w:tcPr>
          <w:p>
            <w:pPr>
              <w:pStyle w:val="11"/>
            </w:pPr>
          </w:p>
        </w:tc>
        <w:tc>
          <w:tcPr>
            <w:tcW w:w="2551" w:type="dxa"/>
            <w:vAlign w:val="center"/>
          </w:tcPr>
          <w:p>
            <w:pPr>
              <w:pStyle w:val="11"/>
            </w:pPr>
            <w:r>
              <w:t>3.10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3.00</w:t>
            </w:r>
          </w:p>
        </w:tc>
        <w:tc>
          <w:tcPr>
            <w:tcW w:w="2551" w:type="dxa"/>
            <w:vAlign w:val="center"/>
          </w:tcPr>
          <w:p>
            <w:pPr>
              <w:pStyle w:val="11"/>
            </w:pPr>
          </w:p>
        </w:tc>
        <w:tc>
          <w:tcPr>
            <w:tcW w:w="2551"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6.20</w:t>
            </w:r>
          </w:p>
        </w:tc>
        <w:tc>
          <w:tcPr>
            <w:tcW w:w="2551" w:type="dxa"/>
            <w:vAlign w:val="center"/>
          </w:tcPr>
          <w:p>
            <w:pPr>
              <w:pStyle w:val="11"/>
            </w:pPr>
          </w:p>
        </w:tc>
        <w:tc>
          <w:tcPr>
            <w:tcW w:w="2551" w:type="dxa"/>
            <w:vAlign w:val="center"/>
          </w:tcPr>
          <w:p>
            <w:pPr>
              <w:pStyle w:val="11"/>
            </w:pPr>
            <w:r>
              <w:t>6.20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4.70</w:t>
            </w:r>
          </w:p>
        </w:tc>
        <w:tc>
          <w:tcPr>
            <w:tcW w:w="2551" w:type="dxa"/>
            <w:vAlign w:val="center"/>
          </w:tcPr>
          <w:p>
            <w:pPr>
              <w:pStyle w:val="11"/>
            </w:pPr>
          </w:p>
        </w:tc>
        <w:tc>
          <w:tcPr>
            <w:tcW w:w="2551" w:type="dxa"/>
            <w:vAlign w:val="center"/>
          </w:tcPr>
          <w:p>
            <w:pPr>
              <w:pStyle w:val="11"/>
            </w:pPr>
            <w:r>
              <w:t>4.70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3.50</w:t>
            </w:r>
          </w:p>
        </w:tc>
        <w:tc>
          <w:tcPr>
            <w:tcW w:w="2551" w:type="dxa"/>
            <w:vAlign w:val="center"/>
          </w:tcPr>
          <w:p>
            <w:pPr>
              <w:pStyle w:val="11"/>
            </w:pPr>
          </w:p>
        </w:tc>
        <w:tc>
          <w:tcPr>
            <w:tcW w:w="2551" w:type="dxa"/>
            <w:vAlign w:val="center"/>
          </w:tcPr>
          <w:p>
            <w:pPr>
              <w:pStyle w:val="11"/>
            </w:pPr>
            <w:r>
              <w:t>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5.70</w:t>
            </w:r>
          </w:p>
        </w:tc>
        <w:tc>
          <w:tcPr>
            <w:tcW w:w="2551" w:type="dxa"/>
            <w:vAlign w:val="center"/>
          </w:tcPr>
          <w:p>
            <w:pPr>
              <w:pStyle w:val="11"/>
            </w:pPr>
          </w:p>
        </w:tc>
        <w:tc>
          <w:tcPr>
            <w:tcW w:w="2551" w:type="dxa"/>
            <w:vAlign w:val="center"/>
          </w:tcPr>
          <w:p>
            <w:pPr>
              <w:pStyle w:val="11"/>
            </w:pPr>
            <w:r>
              <w:t>5.70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6.66</w:t>
            </w:r>
          </w:p>
        </w:tc>
        <w:tc>
          <w:tcPr>
            <w:tcW w:w="2551" w:type="dxa"/>
            <w:vAlign w:val="center"/>
          </w:tcPr>
          <w:p>
            <w:pPr>
              <w:pStyle w:val="11"/>
            </w:pPr>
            <w:r>
              <w:t>6.66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6.66</w:t>
            </w:r>
          </w:p>
        </w:tc>
        <w:tc>
          <w:tcPr>
            <w:tcW w:w="2551" w:type="dxa"/>
            <w:vAlign w:val="center"/>
          </w:tcPr>
          <w:p>
            <w:pPr>
              <w:pStyle w:val="11"/>
            </w:pPr>
            <w:r>
              <w:t>6.66</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501001涞源县信访局本级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501001涞源县信访局本级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501001涞源县信访局本级</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8.20</w:t>
            </w:r>
          </w:p>
        </w:tc>
        <w:tc>
          <w:tcPr>
            <w:tcW w:w="2381" w:type="dxa"/>
            <w:vAlign w:val="center"/>
          </w:tcPr>
          <w:p>
            <w:pPr>
              <w:pStyle w:val="15"/>
            </w:pPr>
            <w:r>
              <w:t>8.20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8.20</w:t>
            </w:r>
          </w:p>
        </w:tc>
        <w:tc>
          <w:tcPr>
            <w:tcW w:w="2381" w:type="dxa"/>
            <w:vAlign w:val="center"/>
          </w:tcPr>
          <w:p>
            <w:pPr>
              <w:pStyle w:val="11"/>
            </w:pPr>
            <w:r>
              <w:t>8.20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r>
              <w:t>3.50</w:t>
            </w:r>
          </w:p>
        </w:tc>
        <w:tc>
          <w:tcPr>
            <w:tcW w:w="2381" w:type="dxa"/>
            <w:vAlign w:val="center"/>
          </w:tcPr>
          <w:p>
            <w:pPr>
              <w:pStyle w:val="11"/>
            </w:pPr>
            <w:r>
              <w:t>3.50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3.50</w:t>
            </w:r>
          </w:p>
        </w:tc>
        <w:tc>
          <w:tcPr>
            <w:tcW w:w="2381" w:type="dxa"/>
            <w:vAlign w:val="center"/>
          </w:tcPr>
          <w:p>
            <w:pPr>
              <w:pStyle w:val="11"/>
            </w:pPr>
            <w:r>
              <w:t>3.50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r>
              <w:t>4.70</w:t>
            </w:r>
          </w:p>
        </w:tc>
        <w:tc>
          <w:tcPr>
            <w:tcW w:w="2381" w:type="dxa"/>
            <w:vAlign w:val="center"/>
          </w:tcPr>
          <w:p>
            <w:pPr>
              <w:pStyle w:val="11"/>
            </w:pPr>
            <w:r>
              <w:t>4.70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10</w:t>
            </w:r>
          </w:p>
        </w:tc>
        <w:tc>
          <w:tcPr>
            <w:tcW w:w="3798" w:type="dxa"/>
            <w:vAlign w:val="center"/>
          </w:tcPr>
          <w:p>
            <w:pPr>
              <w:pStyle w:val="12"/>
            </w:pPr>
            <w:r>
              <w:t>四、会议费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11</w:t>
            </w:r>
          </w:p>
        </w:tc>
        <w:tc>
          <w:tcPr>
            <w:tcW w:w="3798" w:type="dxa"/>
            <w:vAlign w:val="center"/>
          </w:tcPr>
          <w:p>
            <w:pPr>
              <w:pStyle w:val="12"/>
            </w:pPr>
            <w:r>
              <w:t xml:space="preserve">    其中：省属高校业务性会议费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12</w:t>
            </w:r>
          </w:p>
        </w:tc>
        <w:tc>
          <w:tcPr>
            <w:tcW w:w="3798" w:type="dxa"/>
            <w:vAlign w:val="center"/>
          </w:tcPr>
          <w:p>
            <w:pPr>
              <w:pStyle w:val="12"/>
            </w:pPr>
            <w:r>
              <w:t xml:space="preserve">          其他会议费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13</w:t>
            </w:r>
          </w:p>
        </w:tc>
        <w:tc>
          <w:tcPr>
            <w:tcW w:w="3798" w:type="dxa"/>
            <w:vAlign w:val="center"/>
          </w:tcPr>
          <w:p>
            <w:pPr>
              <w:pStyle w:val="12"/>
            </w:pPr>
            <w:r>
              <w:t>五、培训费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涞源县信访局本级2024年单位预算信息公开情况说明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按照《中华人民共和国预算法》、《地方预决算公开操作规程》和《关于进一步推进预算公开工作的实施意见》规定，现将涞源县信访局本级2024年单位预算公开如下：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单位职责：</w:t>
      </w:r>
    </w:p>
    <w:p>
      <w:pPr>
        <w:pStyle w:val="17"/>
      </w:pPr>
      <w:r>
        <w:t>（一）研究提出全县信访工作思路，拟订信访工作规范性文件。</w:t>
      </w:r>
    </w:p>
    <w:p>
      <w:pPr>
        <w:pStyle w:val="17"/>
      </w:pPr>
      <w:r>
        <w:t>（二）办理人民群众来信，接待群众来访，受理群众网上投诉，查办信访案件，负责人民群众建议征集工作。</w:t>
      </w:r>
    </w:p>
    <w:p>
      <w:pPr>
        <w:pStyle w:val="17"/>
      </w:pPr>
      <w:r>
        <w:t>（三）调查研究和综合分析全县信访形势及信访工作状况，总结推广各地各部门信访工作经验，提出改进和加强信访工作的意见和建议。</w:t>
      </w:r>
    </w:p>
    <w:p>
      <w:pPr>
        <w:pStyle w:val="17"/>
      </w:pPr>
      <w:r>
        <w:t>（四）参与组织、协调、指导会县社会治安综合治理和维护社会政治稳定工作，协调保障国家和省、市、县重大政治活动顺利进行，参与处理影响社会政治稳定的突发性、群体性事件。</w:t>
      </w:r>
    </w:p>
    <w:p>
      <w:pPr>
        <w:pStyle w:val="17"/>
      </w:pPr>
      <w:r>
        <w:t>（五）督促检查和指导乡（镇）党委、政府和县直部门的信访工作。对乡（镇）党委、政府和县直有关部门信访工作年度责任目标进行考核，对全县社会治安综合治理和维护社会政治稳定年度责任目标中有关信访工作进行考核。</w:t>
      </w:r>
    </w:p>
    <w:p>
      <w:pPr>
        <w:pStyle w:val="17"/>
      </w:pPr>
      <w:r>
        <w:t>（六）协助国家、省和市信访局处理涞源县群众进京、赴省、到市上访工作，综合协调处理跨地区、跨部门、跨行业的重要信访问题，协助公安机关堆护县委、县政府机关正常工作族序。</w:t>
      </w:r>
    </w:p>
    <w:p>
      <w:pPr>
        <w:pStyle w:val="17"/>
      </w:pPr>
      <w:r>
        <w:t>（七）负责县级领导和县直部门领导公开接访、包联案件和重点信访事项会商的组织协调工作。</w:t>
      </w:r>
    </w:p>
    <w:p>
      <w:pPr>
        <w:pStyle w:val="17"/>
      </w:pPr>
      <w:r>
        <w:t>（八)承担涞源县信访工作联席会议的日常工作，督促落实联席会议决定的事项。</w:t>
      </w:r>
    </w:p>
    <w:p>
      <w:pPr>
        <w:pStyle w:val="17"/>
      </w:pPr>
      <w:r>
        <w:t>（九）完成县委、县政府以及国家信访局、省信访局、市信访局交办的其他任务。</w:t>
      </w: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firstLineChars="20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涞源县信访局本级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336.65万元，其中：一般公共预算收入336.65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涞源县信访局本级年度单位预算中支出预算的总体情况。2024年支出预算336.65万元，其中基本支出207.65万元，包括人员经费178.10万元和日常公用经费29.55万元；项目支出129.00万元，主要为维稳经费及房屋租赁费</w:t>
      </w:r>
    </w:p>
    <w:p>
      <w:pPr>
        <w:pStyle w:val="18"/>
      </w:pPr>
      <w:r>
        <w:t>3、比上年增减情况</w:t>
      </w:r>
    </w:p>
    <w:p>
      <w:pPr>
        <w:pStyle w:val="18"/>
      </w:pPr>
      <w:r>
        <w:t>2024年预算收支安排336.65万元，较2023年预算减少1.96万元，其中：基本支出增加15.04万元，主要为增加人员经费支出</w:t>
      </w:r>
      <w:r>
        <w:rPr>
          <w:rFonts w:hint="eastAsia"/>
          <w:lang w:val="en-US" w:eastAsia="zh-CN"/>
        </w:rPr>
        <w:t>,</w:t>
      </w:r>
      <w:r>
        <w:t>项目支出减少17.00万元，主要为减少维稳经费支出</w:t>
      </w:r>
    </w:p>
    <w:p>
      <w:pPr>
        <w:numPr>
          <w:ilvl w:val="0"/>
          <w:numId w:val="1"/>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机关运行经费安排情况</w:t>
      </w:r>
    </w:p>
    <w:p>
      <w:pPr>
        <w:pStyle w:val="22"/>
      </w:pPr>
      <w:r>
        <w:t>202</w:t>
      </w:r>
      <w:r>
        <w:rPr>
          <w:rFonts w:hint="eastAsia"/>
          <w:lang w:val="en-US" w:eastAsia="zh-CN"/>
        </w:rPr>
        <w:t>4</w:t>
      </w:r>
      <w:r>
        <w:t>年，我单位运行经费共计安排</w:t>
      </w:r>
      <w:r>
        <w:rPr>
          <w:rFonts w:hint="eastAsia"/>
          <w:lang w:val="en-US" w:eastAsia="zh-CN"/>
        </w:rPr>
        <w:t>29.55</w:t>
      </w:r>
      <w:r>
        <w:t>万元，主要用于日常办公费、电费、差旅费、公务用车维护费、公务招待费等日常运行支出。</w:t>
      </w:r>
    </w:p>
    <w:p>
      <w:pPr>
        <w:spacing w:before="10" w:after="10" w:line="360" w:lineRule="auto"/>
        <w:ind w:firstLine="320" w:firstLineChars="100"/>
        <w:jc w:val="left"/>
        <w:outlineLvl w:val="2"/>
        <w:rPr>
          <w:rFonts w:ascii="黑体" w:hAnsi="黑体" w:eastAsia="黑体" w:cs="黑体"/>
          <w:color w:val="000000"/>
          <w:sz w:val="32"/>
        </w:rPr>
      </w:pPr>
    </w:p>
    <w:p>
      <w:pPr>
        <w:numPr>
          <w:ilvl w:val="0"/>
          <w:numId w:val="1"/>
        </w:numPr>
        <w:spacing w:before="10" w:after="10" w:line="240" w:lineRule="auto"/>
        <w:ind w:left="0" w:leftChars="0" w:firstLine="640" w:firstLineChars="0"/>
        <w:jc w:val="left"/>
        <w:outlineLvl w:val="5"/>
        <w:rPr>
          <w:rFonts w:ascii="黑体" w:hAnsi="黑体" w:eastAsia="黑体" w:cs="黑体"/>
          <w:color w:val="000000"/>
          <w:sz w:val="32"/>
        </w:rPr>
      </w:pPr>
      <w:r>
        <w:rPr>
          <w:rFonts w:ascii="黑体" w:hAnsi="黑体" w:eastAsia="黑体" w:cs="黑体"/>
          <w:color w:val="000000"/>
          <w:sz w:val="32"/>
        </w:rPr>
        <w:t>财政拨款“三公”经费预算情况及增减变化原因</w:t>
      </w:r>
    </w:p>
    <w:p>
      <w:pPr>
        <w:pStyle w:val="23"/>
      </w:pPr>
      <w:r>
        <w:t>202</w:t>
      </w:r>
      <w:r>
        <w:rPr>
          <w:rFonts w:hint="eastAsia"/>
          <w:lang w:val="en-US" w:eastAsia="zh-CN"/>
        </w:rPr>
        <w:t>4</w:t>
      </w:r>
      <w:r>
        <w:t>年，我单位财政拨款“三公”经费预算安排</w:t>
      </w:r>
      <w:r>
        <w:rPr>
          <w:rFonts w:hint="eastAsia"/>
          <w:lang w:val="en-US" w:eastAsia="zh-CN"/>
        </w:rPr>
        <w:t>8.2</w:t>
      </w:r>
      <w:r>
        <w:t>万，其中公务接待费收入预算为</w:t>
      </w:r>
      <w:r>
        <w:rPr>
          <w:rFonts w:hint="eastAsia"/>
          <w:lang w:val="en-US" w:eastAsia="zh-CN"/>
        </w:rPr>
        <w:t>4.7</w:t>
      </w:r>
      <w:r>
        <w:t>万元，公务用车运行维护费收入预算为3.5万元。</w:t>
      </w:r>
      <w:r>
        <w:rPr>
          <w:rFonts w:hint="eastAsia"/>
          <w:lang w:eastAsia="zh-CN"/>
        </w:rPr>
        <w:t>比</w:t>
      </w:r>
      <w:r>
        <w:t>202</w:t>
      </w:r>
      <w:r>
        <w:rPr>
          <w:rFonts w:hint="eastAsia"/>
          <w:lang w:val="en-US" w:eastAsia="zh-CN"/>
        </w:rPr>
        <w:t>3</w:t>
      </w:r>
      <w:r>
        <w:t>年度预算</w:t>
      </w:r>
      <w:r>
        <w:rPr>
          <w:rFonts w:hint="eastAsia"/>
          <w:lang w:eastAsia="zh-CN"/>
        </w:rPr>
        <w:t>减少了</w:t>
      </w:r>
      <w:r>
        <w:rPr>
          <w:rFonts w:hint="eastAsia"/>
          <w:lang w:val="en-US" w:eastAsia="zh-CN"/>
        </w:rPr>
        <w:t>0.3万元</w:t>
      </w:r>
      <w:r>
        <w:rPr>
          <w:rFonts w:hint="eastAsia"/>
          <w:lang w:eastAsia="zh-CN"/>
        </w:rPr>
        <w:t>公务接待费</w:t>
      </w:r>
      <w:r>
        <w:rPr>
          <w:rFonts w:hint="eastAsia"/>
          <w:lang w:val="en-US" w:eastAsia="zh-CN"/>
        </w:rPr>
        <w:t>,为节省开支，减少公务接待费</w:t>
      </w:r>
      <w:r>
        <w:t>。</w:t>
      </w:r>
    </w:p>
    <w:p>
      <w:pPr>
        <w:numPr>
          <w:numId w:val="0"/>
        </w:numPr>
        <w:spacing w:before="10" w:after="10" w:line="240" w:lineRule="auto"/>
        <w:ind w:left="640" w:leftChars="0"/>
        <w:jc w:val="left"/>
        <w:outlineLvl w:val="5"/>
        <w:rPr>
          <w:rFonts w:ascii="黑体" w:hAnsi="黑体" w:eastAsia="黑体" w:cs="黑体"/>
          <w:color w:val="000000"/>
          <w:sz w:val="32"/>
        </w:rPr>
      </w:pPr>
    </w:p>
    <w:p>
      <w:pPr>
        <w:spacing w:before="10" w:after="10" w:line="240" w:lineRule="auto"/>
        <w:ind w:firstLine="640" w:firstLineChars="20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1、房屋租赁费项目绩效目标表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13063024P000127100013</w:t>
            </w:r>
          </w:p>
        </w:tc>
        <w:tc>
          <w:tcPr>
            <w:tcW w:w="2835" w:type="dxa"/>
            <w:vAlign w:val="center"/>
          </w:tcPr>
          <w:p>
            <w:pPr>
              <w:pStyle w:val="10"/>
            </w:pPr>
            <w:r>
              <w:t>项目名称</w:t>
            </w:r>
          </w:p>
        </w:tc>
        <w:tc>
          <w:tcPr>
            <w:tcW w:w="6094" w:type="dxa"/>
            <w:gridSpan w:val="3"/>
            <w:vAlign w:val="center"/>
          </w:tcPr>
          <w:p>
            <w:pPr>
              <w:pStyle w:val="12"/>
            </w:pPr>
            <w:r>
              <w:t>房屋租赁费项目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36.00</w:t>
            </w:r>
          </w:p>
        </w:tc>
        <w:tc>
          <w:tcPr>
            <w:tcW w:w="2835" w:type="dxa"/>
            <w:vAlign w:val="center"/>
          </w:tcPr>
          <w:p>
            <w:pPr>
              <w:pStyle w:val="10"/>
            </w:pPr>
            <w:r>
              <w:t>其中：财政    资金</w:t>
            </w:r>
          </w:p>
        </w:tc>
        <w:tc>
          <w:tcPr>
            <w:tcW w:w="2551" w:type="dxa"/>
            <w:vAlign w:val="center"/>
          </w:tcPr>
          <w:p>
            <w:pPr>
              <w:pStyle w:val="12"/>
            </w:pPr>
            <w:r>
              <w:t>36.00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满足办公用房</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36.00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1.满足办公用房安排</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租赁面积</w:t>
            </w:r>
          </w:p>
        </w:tc>
        <w:tc>
          <w:tcPr>
            <w:tcW w:w="5386" w:type="dxa"/>
            <w:vAlign w:val="center"/>
          </w:tcPr>
          <w:p>
            <w:pPr>
              <w:pStyle w:val="12"/>
            </w:pPr>
            <w:r>
              <w:t>租赁面积</w:t>
            </w:r>
          </w:p>
        </w:tc>
        <w:tc>
          <w:tcPr>
            <w:tcW w:w="2268" w:type="dxa"/>
            <w:vAlign w:val="center"/>
          </w:tcPr>
          <w:p>
            <w:pPr>
              <w:pStyle w:val="12"/>
            </w:pPr>
            <w:r>
              <w:t>≥100平方米</w:t>
            </w:r>
          </w:p>
        </w:tc>
        <w:tc>
          <w:tcPr>
            <w:tcW w:w="1276" w:type="dxa"/>
            <w:vAlign w:val="center"/>
          </w:tcPr>
          <w:p>
            <w:pPr>
              <w:pStyle w:val="12"/>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租赁服务质量合格率</w:t>
            </w:r>
          </w:p>
        </w:tc>
        <w:tc>
          <w:tcPr>
            <w:tcW w:w="5386" w:type="dxa"/>
            <w:vAlign w:val="center"/>
          </w:tcPr>
          <w:p>
            <w:pPr>
              <w:pStyle w:val="12"/>
            </w:pPr>
            <w:r>
              <w:t>租赁服务质量合格率</w:t>
            </w:r>
          </w:p>
        </w:tc>
        <w:tc>
          <w:tcPr>
            <w:tcW w:w="2268" w:type="dxa"/>
            <w:vAlign w:val="center"/>
          </w:tcPr>
          <w:p>
            <w:pPr>
              <w:pStyle w:val="12"/>
            </w:pPr>
            <w:r>
              <w:t>100百分比</w:t>
            </w:r>
          </w:p>
        </w:tc>
        <w:tc>
          <w:tcPr>
            <w:tcW w:w="1276" w:type="dxa"/>
            <w:vAlign w:val="center"/>
          </w:tcPr>
          <w:p>
            <w:pPr>
              <w:pStyle w:val="12"/>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资金支付及时率</w:t>
            </w:r>
          </w:p>
        </w:tc>
        <w:tc>
          <w:tcPr>
            <w:tcW w:w="5386" w:type="dxa"/>
            <w:vAlign w:val="center"/>
          </w:tcPr>
          <w:p>
            <w:pPr>
              <w:pStyle w:val="12"/>
            </w:pPr>
            <w:r>
              <w:t>根据年初预算安排及工作需求及时支付</w:t>
            </w:r>
          </w:p>
        </w:tc>
        <w:tc>
          <w:tcPr>
            <w:tcW w:w="2268" w:type="dxa"/>
            <w:vAlign w:val="center"/>
          </w:tcPr>
          <w:p>
            <w:pPr>
              <w:pStyle w:val="12"/>
            </w:pPr>
            <w:r>
              <w:t>100百分比</w:t>
            </w:r>
          </w:p>
        </w:tc>
        <w:tc>
          <w:tcPr>
            <w:tcW w:w="1276" w:type="dxa"/>
            <w:vAlign w:val="center"/>
          </w:tcPr>
          <w:p>
            <w:pPr>
              <w:pStyle w:val="12"/>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成本控制</w:t>
            </w:r>
          </w:p>
        </w:tc>
        <w:tc>
          <w:tcPr>
            <w:tcW w:w="5386" w:type="dxa"/>
            <w:vAlign w:val="center"/>
          </w:tcPr>
          <w:p>
            <w:pPr>
              <w:pStyle w:val="12"/>
            </w:pPr>
            <w:r>
              <w:t>成本控制</w:t>
            </w:r>
          </w:p>
        </w:tc>
        <w:tc>
          <w:tcPr>
            <w:tcW w:w="2268" w:type="dxa"/>
            <w:vAlign w:val="center"/>
          </w:tcPr>
          <w:p>
            <w:pPr>
              <w:pStyle w:val="12"/>
            </w:pPr>
            <w:r>
              <w:t>100百分比</w:t>
            </w:r>
          </w:p>
        </w:tc>
        <w:tc>
          <w:tcPr>
            <w:tcW w:w="1276" w:type="dxa"/>
            <w:vAlign w:val="center"/>
          </w:tcPr>
          <w:p>
            <w:pPr>
              <w:pStyle w:val="12"/>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提升办公质量</w:t>
            </w:r>
          </w:p>
        </w:tc>
        <w:tc>
          <w:tcPr>
            <w:tcW w:w="5386" w:type="dxa"/>
            <w:vAlign w:val="center"/>
          </w:tcPr>
          <w:p>
            <w:pPr>
              <w:pStyle w:val="12"/>
            </w:pPr>
            <w:r>
              <w:t>保障办公质量，提升办公环境</w:t>
            </w:r>
          </w:p>
        </w:tc>
        <w:tc>
          <w:tcPr>
            <w:tcW w:w="2268" w:type="dxa"/>
            <w:vAlign w:val="center"/>
          </w:tcPr>
          <w:p>
            <w:pPr>
              <w:pStyle w:val="12"/>
            </w:pPr>
            <w:r>
              <w:t>≥95有效提升</w:t>
            </w:r>
          </w:p>
        </w:tc>
        <w:tc>
          <w:tcPr>
            <w:tcW w:w="1276" w:type="dxa"/>
            <w:vAlign w:val="center"/>
          </w:tcPr>
          <w:p>
            <w:pPr>
              <w:pStyle w:val="12"/>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使用人满意度</w:t>
            </w:r>
          </w:p>
        </w:tc>
        <w:tc>
          <w:tcPr>
            <w:tcW w:w="5386" w:type="dxa"/>
            <w:vAlign w:val="center"/>
          </w:tcPr>
          <w:p>
            <w:pPr>
              <w:pStyle w:val="12"/>
            </w:pPr>
            <w:r>
              <w:t>使用人，满意度</w:t>
            </w:r>
          </w:p>
        </w:tc>
        <w:tc>
          <w:tcPr>
            <w:tcW w:w="2268" w:type="dxa"/>
            <w:vAlign w:val="center"/>
          </w:tcPr>
          <w:p>
            <w:pPr>
              <w:pStyle w:val="12"/>
            </w:pPr>
            <w:r>
              <w:t>≥95百分比</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2、取暖费项目绩效目标表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13063024P000126100021</w:t>
            </w:r>
          </w:p>
        </w:tc>
        <w:tc>
          <w:tcPr>
            <w:tcW w:w="2835" w:type="dxa"/>
            <w:vAlign w:val="center"/>
          </w:tcPr>
          <w:p>
            <w:pPr>
              <w:pStyle w:val="10"/>
            </w:pPr>
            <w:r>
              <w:t>项目名称</w:t>
            </w:r>
          </w:p>
        </w:tc>
        <w:tc>
          <w:tcPr>
            <w:tcW w:w="6094" w:type="dxa"/>
            <w:gridSpan w:val="3"/>
            <w:vAlign w:val="center"/>
          </w:tcPr>
          <w:p>
            <w:pPr>
              <w:pStyle w:val="12"/>
            </w:pPr>
            <w:r>
              <w:t>取暖费项目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w:t>
            </w:r>
          </w:p>
        </w:tc>
        <w:tc>
          <w:tcPr>
            <w:tcW w:w="2835" w:type="dxa"/>
            <w:vAlign w:val="center"/>
          </w:tcPr>
          <w:p>
            <w:pPr>
              <w:pStyle w:val="10"/>
            </w:pPr>
            <w:r>
              <w:t>其中：财政    资金</w:t>
            </w:r>
          </w:p>
        </w:tc>
        <w:tc>
          <w:tcPr>
            <w:tcW w:w="2551" w:type="dxa"/>
            <w:vAlign w:val="center"/>
          </w:tcPr>
          <w:p>
            <w:pPr>
              <w:pStyle w:val="12"/>
            </w:pPr>
            <w:r>
              <w:t>3.00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保障工作正常运转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3.00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1.保障工作正常运转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支出完成率</w:t>
            </w:r>
          </w:p>
        </w:tc>
        <w:tc>
          <w:tcPr>
            <w:tcW w:w="5386" w:type="dxa"/>
            <w:vAlign w:val="center"/>
          </w:tcPr>
          <w:p>
            <w:pPr>
              <w:pStyle w:val="12"/>
            </w:pPr>
            <w:r>
              <w:t>按时有序支付</w:t>
            </w:r>
          </w:p>
        </w:tc>
        <w:tc>
          <w:tcPr>
            <w:tcW w:w="2268" w:type="dxa"/>
            <w:vAlign w:val="center"/>
          </w:tcPr>
          <w:p>
            <w:pPr>
              <w:pStyle w:val="12"/>
            </w:pPr>
            <w:r>
              <w:t>按时拨付</w:t>
            </w:r>
          </w:p>
        </w:tc>
        <w:tc>
          <w:tcPr>
            <w:tcW w:w="1276" w:type="dxa"/>
            <w:vAlign w:val="center"/>
          </w:tcPr>
          <w:p>
            <w:pPr>
              <w:pStyle w:val="12"/>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正常使用率</w:t>
            </w:r>
          </w:p>
        </w:tc>
        <w:tc>
          <w:tcPr>
            <w:tcW w:w="5386" w:type="dxa"/>
            <w:vAlign w:val="center"/>
          </w:tcPr>
          <w:p>
            <w:pPr>
              <w:pStyle w:val="12"/>
            </w:pPr>
            <w:r>
              <w:t>正常受用率</w:t>
            </w:r>
          </w:p>
        </w:tc>
        <w:tc>
          <w:tcPr>
            <w:tcW w:w="2268" w:type="dxa"/>
            <w:vAlign w:val="center"/>
          </w:tcPr>
          <w:p>
            <w:pPr>
              <w:pStyle w:val="12"/>
            </w:pPr>
            <w:r>
              <w:t>正常使用</w:t>
            </w:r>
          </w:p>
        </w:tc>
        <w:tc>
          <w:tcPr>
            <w:tcW w:w="1276" w:type="dxa"/>
            <w:vAlign w:val="center"/>
          </w:tcPr>
          <w:p>
            <w:pPr>
              <w:pStyle w:val="12"/>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及时性</w:t>
            </w:r>
          </w:p>
        </w:tc>
        <w:tc>
          <w:tcPr>
            <w:tcW w:w="5386" w:type="dxa"/>
            <w:vAlign w:val="center"/>
          </w:tcPr>
          <w:p>
            <w:pPr>
              <w:pStyle w:val="12"/>
            </w:pPr>
            <w:r>
              <w:t>及时性</w:t>
            </w:r>
          </w:p>
        </w:tc>
        <w:tc>
          <w:tcPr>
            <w:tcW w:w="2268" w:type="dxa"/>
            <w:vAlign w:val="center"/>
          </w:tcPr>
          <w:p>
            <w:pPr>
              <w:pStyle w:val="12"/>
            </w:pPr>
            <w:r>
              <w:t>≥100率</w:t>
            </w:r>
          </w:p>
        </w:tc>
        <w:tc>
          <w:tcPr>
            <w:tcW w:w="1276" w:type="dxa"/>
            <w:vAlign w:val="center"/>
          </w:tcPr>
          <w:p>
            <w:pPr>
              <w:pStyle w:val="12"/>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5386" w:type="dxa"/>
            <w:vAlign w:val="center"/>
          </w:tcPr>
          <w:p>
            <w:pPr>
              <w:pStyle w:val="12"/>
            </w:pPr>
            <w:r>
              <w:t>资金成本</w:t>
            </w:r>
          </w:p>
        </w:tc>
        <w:tc>
          <w:tcPr>
            <w:tcW w:w="2268" w:type="dxa"/>
            <w:vAlign w:val="center"/>
          </w:tcPr>
          <w:p>
            <w:pPr>
              <w:pStyle w:val="12"/>
            </w:pPr>
            <w:r>
              <w:t>控制成本</w:t>
            </w:r>
          </w:p>
        </w:tc>
        <w:tc>
          <w:tcPr>
            <w:tcW w:w="1276" w:type="dxa"/>
            <w:vAlign w:val="center"/>
          </w:tcPr>
          <w:p>
            <w:pPr>
              <w:pStyle w:val="12"/>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提高效率</w:t>
            </w:r>
          </w:p>
        </w:tc>
        <w:tc>
          <w:tcPr>
            <w:tcW w:w="5386" w:type="dxa"/>
            <w:vAlign w:val="center"/>
          </w:tcPr>
          <w:p>
            <w:pPr>
              <w:pStyle w:val="12"/>
            </w:pPr>
            <w:r>
              <w:t>提高效率</w:t>
            </w:r>
          </w:p>
        </w:tc>
        <w:tc>
          <w:tcPr>
            <w:tcW w:w="2268" w:type="dxa"/>
            <w:vAlign w:val="center"/>
          </w:tcPr>
          <w:p>
            <w:pPr>
              <w:pStyle w:val="12"/>
            </w:pPr>
            <w:r>
              <w:t>不断提高</w:t>
            </w:r>
          </w:p>
        </w:tc>
        <w:tc>
          <w:tcPr>
            <w:tcW w:w="1276" w:type="dxa"/>
            <w:vAlign w:val="center"/>
          </w:tcPr>
          <w:p>
            <w:pPr>
              <w:pStyle w:val="12"/>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改善氛围</w:t>
            </w:r>
          </w:p>
        </w:tc>
        <w:tc>
          <w:tcPr>
            <w:tcW w:w="5386" w:type="dxa"/>
            <w:vAlign w:val="center"/>
          </w:tcPr>
          <w:p>
            <w:pPr>
              <w:pStyle w:val="12"/>
            </w:pPr>
            <w:r>
              <w:t>改善氛围</w:t>
            </w:r>
          </w:p>
        </w:tc>
        <w:tc>
          <w:tcPr>
            <w:tcW w:w="2268" w:type="dxa"/>
            <w:vAlign w:val="center"/>
          </w:tcPr>
          <w:p>
            <w:pPr>
              <w:pStyle w:val="12"/>
            </w:pPr>
            <w:r>
              <w:t>≥100率</w:t>
            </w:r>
          </w:p>
        </w:tc>
        <w:tc>
          <w:tcPr>
            <w:tcW w:w="1276" w:type="dxa"/>
            <w:vAlign w:val="center"/>
          </w:tcPr>
          <w:p>
            <w:pPr>
              <w:pStyle w:val="12"/>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改善生态环境质量</w:t>
            </w:r>
          </w:p>
        </w:tc>
        <w:tc>
          <w:tcPr>
            <w:tcW w:w="5386" w:type="dxa"/>
            <w:vAlign w:val="center"/>
          </w:tcPr>
          <w:p>
            <w:pPr>
              <w:pStyle w:val="12"/>
            </w:pPr>
            <w:r>
              <w:t>改善生态环境质量</w:t>
            </w:r>
          </w:p>
        </w:tc>
        <w:tc>
          <w:tcPr>
            <w:tcW w:w="2268" w:type="dxa"/>
            <w:vAlign w:val="center"/>
          </w:tcPr>
          <w:p>
            <w:pPr>
              <w:pStyle w:val="12"/>
            </w:pPr>
            <w:r>
              <w:t>不断改善</w:t>
            </w:r>
          </w:p>
        </w:tc>
        <w:tc>
          <w:tcPr>
            <w:tcW w:w="1276" w:type="dxa"/>
            <w:vAlign w:val="center"/>
          </w:tcPr>
          <w:p>
            <w:pPr>
              <w:pStyle w:val="12"/>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维护社会稳定</w:t>
            </w:r>
          </w:p>
        </w:tc>
        <w:tc>
          <w:tcPr>
            <w:tcW w:w="5386" w:type="dxa"/>
            <w:vAlign w:val="center"/>
          </w:tcPr>
          <w:p>
            <w:pPr>
              <w:pStyle w:val="12"/>
            </w:pPr>
            <w:r>
              <w:t>维护社会稳定</w:t>
            </w:r>
          </w:p>
        </w:tc>
        <w:tc>
          <w:tcPr>
            <w:tcW w:w="2268" w:type="dxa"/>
            <w:vAlign w:val="center"/>
          </w:tcPr>
          <w:p>
            <w:pPr>
              <w:pStyle w:val="12"/>
            </w:pPr>
            <w:r>
              <w:t>≥100率</w:t>
            </w:r>
          </w:p>
        </w:tc>
        <w:tc>
          <w:tcPr>
            <w:tcW w:w="1276" w:type="dxa"/>
            <w:vAlign w:val="center"/>
          </w:tcPr>
          <w:p>
            <w:pPr>
              <w:pStyle w:val="12"/>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满意率</w:t>
            </w:r>
          </w:p>
        </w:tc>
        <w:tc>
          <w:tcPr>
            <w:tcW w:w="5386" w:type="dxa"/>
            <w:vAlign w:val="center"/>
          </w:tcPr>
          <w:p>
            <w:pPr>
              <w:pStyle w:val="12"/>
            </w:pPr>
            <w:r>
              <w:t>维护社会稳定</w:t>
            </w:r>
          </w:p>
        </w:tc>
        <w:tc>
          <w:tcPr>
            <w:tcW w:w="2268" w:type="dxa"/>
            <w:vAlign w:val="center"/>
          </w:tcPr>
          <w:p>
            <w:pPr>
              <w:pStyle w:val="12"/>
            </w:pPr>
            <w:r>
              <w:t>不断提升</w:t>
            </w:r>
          </w:p>
        </w:tc>
        <w:tc>
          <w:tcPr>
            <w:tcW w:w="1276" w:type="dxa"/>
            <w:vAlign w:val="center"/>
          </w:tcPr>
          <w:p>
            <w:pPr>
              <w:pStyle w:val="12"/>
            </w:pPr>
            <w:r>
              <w:t>财政预算安排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3、信访局维稳经费绩效目标表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13063024P00012410002M</w:t>
            </w:r>
          </w:p>
        </w:tc>
        <w:tc>
          <w:tcPr>
            <w:tcW w:w="2835" w:type="dxa"/>
            <w:vAlign w:val="center"/>
          </w:tcPr>
          <w:p>
            <w:pPr>
              <w:pStyle w:val="10"/>
            </w:pPr>
            <w:r>
              <w:t>项目名称</w:t>
            </w:r>
          </w:p>
        </w:tc>
        <w:tc>
          <w:tcPr>
            <w:tcW w:w="6094" w:type="dxa"/>
            <w:gridSpan w:val="3"/>
            <w:vAlign w:val="center"/>
          </w:tcPr>
          <w:p>
            <w:pPr>
              <w:pStyle w:val="12"/>
            </w:pPr>
            <w:r>
              <w:t>信访局维稳经费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90.00</w:t>
            </w:r>
          </w:p>
        </w:tc>
        <w:tc>
          <w:tcPr>
            <w:tcW w:w="2835" w:type="dxa"/>
            <w:vAlign w:val="center"/>
          </w:tcPr>
          <w:p>
            <w:pPr>
              <w:pStyle w:val="10"/>
            </w:pPr>
            <w:r>
              <w:t>其中：财政    资金</w:t>
            </w:r>
          </w:p>
        </w:tc>
        <w:tc>
          <w:tcPr>
            <w:tcW w:w="2551" w:type="dxa"/>
            <w:vAlign w:val="center"/>
          </w:tcPr>
          <w:p>
            <w:pPr>
              <w:pStyle w:val="12"/>
            </w:pPr>
            <w:r>
              <w:t>90.00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处理突发问题及群体性事件，进京赴省到市值班，敏感时期各地值班。</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22.50</w:t>
            </w:r>
          </w:p>
        </w:tc>
        <w:tc>
          <w:tcPr>
            <w:tcW w:w="2835" w:type="dxa"/>
            <w:vAlign w:val="center"/>
          </w:tcPr>
          <w:p>
            <w:pPr>
              <w:pStyle w:val="13"/>
            </w:pPr>
            <w:r>
              <w:t>22.50</w:t>
            </w:r>
          </w:p>
        </w:tc>
        <w:tc>
          <w:tcPr>
            <w:tcW w:w="2551" w:type="dxa"/>
            <w:vAlign w:val="center"/>
          </w:tcPr>
          <w:p>
            <w:pPr>
              <w:pStyle w:val="13"/>
            </w:pPr>
            <w:r>
              <w:t>22.50</w:t>
            </w:r>
          </w:p>
        </w:tc>
        <w:tc>
          <w:tcPr>
            <w:tcW w:w="3543" w:type="dxa"/>
            <w:gridSpan w:val="2"/>
            <w:vAlign w:val="center"/>
          </w:tcPr>
          <w:p>
            <w:pPr>
              <w:pStyle w:val="13"/>
            </w:pPr>
            <w:r>
              <w:t>22.50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1.处理突发问题及群体性事件，进京赴省到市值班，敏感时期各地值班。</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接访天数</w:t>
            </w:r>
          </w:p>
        </w:tc>
        <w:tc>
          <w:tcPr>
            <w:tcW w:w="5386" w:type="dxa"/>
            <w:vAlign w:val="center"/>
          </w:tcPr>
          <w:p>
            <w:pPr>
              <w:pStyle w:val="12"/>
            </w:pPr>
            <w:r>
              <w:t>进京、赴省到市、敏感时期各地值班</w:t>
            </w:r>
          </w:p>
        </w:tc>
        <w:tc>
          <w:tcPr>
            <w:tcW w:w="2268" w:type="dxa"/>
            <w:vAlign w:val="center"/>
          </w:tcPr>
          <w:p>
            <w:pPr>
              <w:pStyle w:val="12"/>
            </w:pPr>
            <w:r>
              <w:t>≥350</w:t>
            </w:r>
          </w:p>
        </w:tc>
        <w:tc>
          <w:tcPr>
            <w:tcW w:w="1276" w:type="dxa"/>
            <w:vAlign w:val="center"/>
          </w:tcPr>
          <w:p>
            <w:pPr>
              <w:pStyle w:val="12"/>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接访任务完成率</w:t>
            </w:r>
          </w:p>
        </w:tc>
        <w:tc>
          <w:tcPr>
            <w:tcW w:w="5386" w:type="dxa"/>
            <w:vAlign w:val="center"/>
          </w:tcPr>
          <w:p>
            <w:pPr>
              <w:pStyle w:val="12"/>
            </w:pPr>
            <w:r>
              <w:t>接访工作完成情况占接访任务的比率</w:t>
            </w:r>
          </w:p>
        </w:tc>
        <w:tc>
          <w:tcPr>
            <w:tcW w:w="2268" w:type="dxa"/>
            <w:vAlign w:val="center"/>
          </w:tcPr>
          <w:p>
            <w:pPr>
              <w:pStyle w:val="12"/>
            </w:pPr>
            <w:r>
              <w:t>≥95</w:t>
            </w:r>
          </w:p>
        </w:tc>
        <w:tc>
          <w:tcPr>
            <w:tcW w:w="1276" w:type="dxa"/>
            <w:vAlign w:val="center"/>
          </w:tcPr>
          <w:p>
            <w:pPr>
              <w:pStyle w:val="12"/>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接访及时率</w:t>
            </w:r>
          </w:p>
        </w:tc>
        <w:tc>
          <w:tcPr>
            <w:tcW w:w="5386" w:type="dxa"/>
            <w:vAlign w:val="center"/>
          </w:tcPr>
          <w:p>
            <w:pPr>
              <w:pStyle w:val="12"/>
            </w:pPr>
            <w:r>
              <w:t>实际支出资金÷预算资金x100%</w:t>
            </w:r>
          </w:p>
        </w:tc>
        <w:tc>
          <w:tcPr>
            <w:tcW w:w="2268" w:type="dxa"/>
            <w:vAlign w:val="center"/>
          </w:tcPr>
          <w:p>
            <w:pPr>
              <w:pStyle w:val="12"/>
            </w:pPr>
            <w:r>
              <w:t>≥95</w:t>
            </w:r>
          </w:p>
        </w:tc>
        <w:tc>
          <w:tcPr>
            <w:tcW w:w="1276" w:type="dxa"/>
            <w:vAlign w:val="center"/>
          </w:tcPr>
          <w:p>
            <w:pPr>
              <w:pStyle w:val="12"/>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成本控制</w:t>
            </w:r>
          </w:p>
        </w:tc>
        <w:tc>
          <w:tcPr>
            <w:tcW w:w="5386" w:type="dxa"/>
            <w:vAlign w:val="center"/>
          </w:tcPr>
          <w:p>
            <w:pPr>
              <w:pStyle w:val="12"/>
            </w:pPr>
            <w:r>
              <w:t>社会效益指标</w:t>
            </w:r>
          </w:p>
        </w:tc>
        <w:tc>
          <w:tcPr>
            <w:tcW w:w="2268" w:type="dxa"/>
            <w:vAlign w:val="center"/>
          </w:tcPr>
          <w:p>
            <w:pPr>
              <w:pStyle w:val="12"/>
            </w:pPr>
            <w:r>
              <w:t>≥95</w:t>
            </w:r>
          </w:p>
        </w:tc>
        <w:tc>
          <w:tcPr>
            <w:tcW w:w="1276" w:type="dxa"/>
            <w:vAlign w:val="center"/>
          </w:tcPr>
          <w:p>
            <w:pPr>
              <w:pStyle w:val="12"/>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社会效益指标</w:t>
            </w:r>
          </w:p>
        </w:tc>
        <w:tc>
          <w:tcPr>
            <w:tcW w:w="5386" w:type="dxa"/>
            <w:vAlign w:val="center"/>
          </w:tcPr>
          <w:p>
            <w:pPr>
              <w:pStyle w:val="12"/>
            </w:pPr>
            <w:r>
              <w:t>社会效益指标</w:t>
            </w:r>
          </w:p>
        </w:tc>
        <w:tc>
          <w:tcPr>
            <w:tcW w:w="2268" w:type="dxa"/>
            <w:vAlign w:val="center"/>
          </w:tcPr>
          <w:p>
            <w:pPr>
              <w:pStyle w:val="12"/>
            </w:pPr>
            <w:r>
              <w:t>≥95</w:t>
            </w:r>
          </w:p>
        </w:tc>
        <w:tc>
          <w:tcPr>
            <w:tcW w:w="1276" w:type="dxa"/>
            <w:vAlign w:val="center"/>
          </w:tcPr>
          <w:p>
            <w:pPr>
              <w:pStyle w:val="12"/>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信访成果</w:t>
            </w:r>
          </w:p>
        </w:tc>
        <w:tc>
          <w:tcPr>
            <w:tcW w:w="5386" w:type="dxa"/>
            <w:vAlign w:val="center"/>
          </w:tcPr>
          <w:p>
            <w:pPr>
              <w:pStyle w:val="12"/>
            </w:pPr>
            <w:r>
              <w:t>维护全县信访稳定、确保不发生越级访</w:t>
            </w:r>
          </w:p>
        </w:tc>
        <w:tc>
          <w:tcPr>
            <w:tcW w:w="2268" w:type="dxa"/>
            <w:vAlign w:val="center"/>
          </w:tcPr>
          <w:p>
            <w:pPr>
              <w:pStyle w:val="12"/>
            </w:pPr>
            <w:r>
              <w:t>≥95</w:t>
            </w:r>
          </w:p>
        </w:tc>
        <w:tc>
          <w:tcPr>
            <w:tcW w:w="1276" w:type="dxa"/>
            <w:vAlign w:val="center"/>
          </w:tcPr>
          <w:p>
            <w:pPr>
              <w:pStyle w:val="12"/>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生态效益指标</w:t>
            </w:r>
          </w:p>
        </w:tc>
        <w:tc>
          <w:tcPr>
            <w:tcW w:w="5386" w:type="dxa"/>
            <w:vAlign w:val="center"/>
          </w:tcPr>
          <w:p>
            <w:pPr>
              <w:pStyle w:val="12"/>
            </w:pPr>
            <w:r>
              <w:t>生态效益指标</w:t>
            </w:r>
          </w:p>
        </w:tc>
        <w:tc>
          <w:tcPr>
            <w:tcW w:w="2268" w:type="dxa"/>
            <w:vAlign w:val="center"/>
          </w:tcPr>
          <w:p>
            <w:pPr>
              <w:pStyle w:val="12"/>
            </w:pPr>
            <w:r>
              <w:t>≥95</w:t>
            </w:r>
          </w:p>
        </w:tc>
        <w:tc>
          <w:tcPr>
            <w:tcW w:w="1276" w:type="dxa"/>
            <w:vAlign w:val="center"/>
          </w:tcPr>
          <w:p>
            <w:pPr>
              <w:pStyle w:val="12"/>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减少上访率</w:t>
            </w:r>
          </w:p>
        </w:tc>
        <w:tc>
          <w:tcPr>
            <w:tcW w:w="5386" w:type="dxa"/>
            <w:vAlign w:val="center"/>
          </w:tcPr>
          <w:p>
            <w:pPr>
              <w:pStyle w:val="12"/>
            </w:pPr>
            <w:r>
              <w:t>减少突发问题及群体性事件</w:t>
            </w:r>
          </w:p>
        </w:tc>
        <w:tc>
          <w:tcPr>
            <w:tcW w:w="2268" w:type="dxa"/>
            <w:vAlign w:val="center"/>
          </w:tcPr>
          <w:p>
            <w:pPr>
              <w:pStyle w:val="12"/>
            </w:pPr>
            <w:r>
              <w:t>≥95</w:t>
            </w:r>
          </w:p>
        </w:tc>
        <w:tc>
          <w:tcPr>
            <w:tcW w:w="1276" w:type="dxa"/>
            <w:vAlign w:val="center"/>
          </w:tcPr>
          <w:p>
            <w:pPr>
              <w:pStyle w:val="12"/>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信访群众满意度</w:t>
            </w:r>
          </w:p>
        </w:tc>
        <w:tc>
          <w:tcPr>
            <w:tcW w:w="5386" w:type="dxa"/>
            <w:vAlign w:val="center"/>
          </w:tcPr>
          <w:p>
            <w:pPr>
              <w:pStyle w:val="12"/>
            </w:pPr>
            <w:r>
              <w:t>反映信访群众满意度</w:t>
            </w:r>
          </w:p>
        </w:tc>
        <w:tc>
          <w:tcPr>
            <w:tcW w:w="2268" w:type="dxa"/>
            <w:vAlign w:val="center"/>
          </w:tcPr>
          <w:p>
            <w:pPr>
              <w:pStyle w:val="12"/>
            </w:pPr>
            <w:r>
              <w:t>≥95</w:t>
            </w:r>
          </w:p>
        </w:tc>
        <w:tc>
          <w:tcPr>
            <w:tcW w:w="1276" w:type="dxa"/>
            <w:vAlign w:val="center"/>
          </w:tcPr>
          <w:p>
            <w:pPr>
              <w:pStyle w:val="12"/>
            </w:pPr>
            <w:r>
              <w:t>依据文件</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501001涞源县信访局本级</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涞源县信访局本级上年末固定资产金额为</w:t>
      </w:r>
      <w:r>
        <w:rPr>
          <w:rFonts w:hint="eastAsia" w:eastAsia="方正仿宋_GBK" w:cs="Times New Roman"/>
          <w:b w:val="0"/>
          <w:color w:val="000000"/>
          <w:sz w:val="28"/>
          <w:lang w:val="en-US" w:eastAsia="zh-CN"/>
        </w:rPr>
        <w:t>128.89682</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501001涞源县信访局本级</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rPr>
                <w:rFonts w:hint="eastAsia" w:eastAsia="方正仿宋_GBK" w:cs="Times New Roman"/>
                <w:b w:val="0"/>
                <w:color w:val="000000"/>
                <w:sz w:val="24"/>
                <w:szCs w:val="22"/>
                <w:lang w:val="en-US" w:eastAsia="zh-CN"/>
              </w:rPr>
              <w:t>128.89682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rPr>
                <w:rFonts w:hint="default" w:eastAsia="方正书宋_GBK"/>
                <w:lang w:val="en-US" w:eastAsia="zh-CN"/>
              </w:rPr>
            </w:pPr>
            <w:r>
              <w:rPr>
                <w:rFonts w:hint="eastAsia"/>
                <w:lang w:val="en-US" w:eastAsia="zh-CN"/>
              </w:rPr>
              <w:t>2.25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p>
        </w:tc>
        <w:tc>
          <w:tcPr>
            <w:tcW w:w="2835" w:type="dxa"/>
            <w:vAlign w:val="center"/>
          </w:tcPr>
          <w:p>
            <w:pPr>
              <w:pStyle w:val="11"/>
            </w:pPr>
            <w:r>
              <w:rPr>
                <w:rFonts w:hint="eastAsia"/>
                <w:lang w:val="en-US" w:eastAsia="zh-CN"/>
              </w:rPr>
              <w:t>126.64682</w:t>
            </w:r>
            <w:bookmarkStart w:id="1" w:name="_GoBack"/>
            <w:bookmarkEnd w:id="1"/>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仿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A8BD93"/>
    <w:multiLevelType w:val="singleLevel"/>
    <w:tmpl w:val="52A8BD93"/>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OGEwMTVhNDg5MzhkYzg3ZGY2NTIwMDk1YzJjOGI2YmIifQ=="/>
  </w:docVars>
  <w:rsids>
    <w:rsidRoot w:val="00000000"/>
    <w:rsid w:val="540728B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qFormat/>
    <w:uiPriority w:val="0"/>
    <w:pPr>
      <w:ind w:left="720"/>
    </w:pPr>
  </w:style>
  <w:style w:type="table" w:styleId="5">
    <w:name w:val="Table Grid"/>
    <w:basedOn w:val="4"/>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2024-03-07T11:31:02Z</dcterms:created>
  <dcterms:modified xsi:type="dcterms:W3CDTF">2024-03-07T03:31:02Z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2024-03-07T11:31:02Z</dcterms:created>
  <dcterms:modified xsi:type="dcterms:W3CDTF">2024-03-07T03:31:02Z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2024-03-07T11:30:56Z</dcterms:created>
  <dcterms:modified xsi:type="dcterms:W3CDTF">2024-03-07T03:30:56Z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2024-03-07T11:31:01Z</dcterms:created>
  <dcterms:modified xsi:type="dcterms:W3CDTF">2024-03-07T03:31:01Z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2024-03-07T11:31:01Z</dcterms:created>
  <dcterms:modified xsi:type="dcterms:W3CDTF">2024-03-07T03:31:01Z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2024-03-07T11:31:00Z</dcterms:created>
  <dcterms:modified xsi:type="dcterms:W3CDTF">2024-03-07T03:31:00Z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a19ef368-1f80-4da0-af03-4d087e51b8bc}">
  <ds:schemaRefs/>
</ds:datastoreItem>
</file>

<file path=customXml/itemProps10.xml><?xml version="1.0" encoding="utf-8"?>
<ds:datastoreItem xmlns:ds="http://schemas.openxmlformats.org/officeDocument/2006/customXml" ds:itemID="{6564c752-dfe0-4008-8ab1-7ea825f23655}">
  <ds:schemaRefs/>
</ds:datastoreItem>
</file>

<file path=customXml/itemProps11.xml><?xml version="1.0" encoding="utf-8"?>
<ds:datastoreItem xmlns:ds="http://schemas.openxmlformats.org/officeDocument/2006/customXml" ds:itemID="{93d4f89c-db36-4362-b2a8-6dc6ffb36763}">
  <ds:schemaRefs/>
</ds:datastoreItem>
</file>

<file path=customXml/itemProps12.xml><?xml version="1.0" encoding="utf-8"?>
<ds:datastoreItem xmlns:ds="http://schemas.openxmlformats.org/officeDocument/2006/customXml" ds:itemID="{67adf2df-02fc-4041-9848-2cf046d57d08}">
  <ds:schemaRefs/>
</ds:datastoreItem>
</file>

<file path=customXml/itemProps2.xml><?xml version="1.0" encoding="utf-8"?>
<ds:datastoreItem xmlns:ds="http://schemas.openxmlformats.org/officeDocument/2006/customXml" ds:itemID="{ff990ce5-51fc-4919-922c-74326ef104fa}">
  <ds:schemaRefs/>
</ds:datastoreItem>
</file>

<file path=customXml/itemProps3.xml><?xml version="1.0" encoding="utf-8"?>
<ds:datastoreItem xmlns:ds="http://schemas.openxmlformats.org/officeDocument/2006/customXml" ds:itemID="{cafed20f-599a-440e-a19b-a062acc7f381}">
  <ds:schemaRefs/>
</ds:datastoreItem>
</file>

<file path=customXml/itemProps4.xml><?xml version="1.0" encoding="utf-8"?>
<ds:datastoreItem xmlns:ds="http://schemas.openxmlformats.org/officeDocument/2006/customXml" ds:itemID="{116b85fa-035a-420f-ad41-284e9cfd33b8}">
  <ds:schemaRefs/>
</ds:datastoreItem>
</file>

<file path=customXml/itemProps5.xml><?xml version="1.0" encoding="utf-8"?>
<ds:datastoreItem xmlns:ds="http://schemas.openxmlformats.org/officeDocument/2006/customXml" ds:itemID="{bf4561f2-ddbe-4593-9faa-f7ceb407fc13}">
  <ds:schemaRefs/>
</ds:datastoreItem>
</file>

<file path=customXml/itemProps6.xml><?xml version="1.0" encoding="utf-8"?>
<ds:datastoreItem xmlns:ds="http://schemas.openxmlformats.org/officeDocument/2006/customXml" ds:itemID="{d142bbfe-ef24-48c8-b6f5-1a728d4a2d75}">
  <ds:schemaRefs/>
</ds:datastoreItem>
</file>

<file path=customXml/itemProps7.xml><?xml version="1.0" encoding="utf-8"?>
<ds:datastoreItem xmlns:ds="http://schemas.openxmlformats.org/officeDocument/2006/customXml" ds:itemID="{1c0f2b56-b987-4f25-a9b2-34dee2f9cd49}">
  <ds:schemaRefs/>
</ds:datastoreItem>
</file>

<file path=customXml/itemProps8.xml><?xml version="1.0" encoding="utf-8"?>
<ds:datastoreItem xmlns:ds="http://schemas.openxmlformats.org/officeDocument/2006/customXml" ds:itemID="{9137eca3-f46b-4ba1-9c54-4b6ede3b629b}">
  <ds:schemaRefs/>
</ds:datastoreItem>
</file>

<file path=customXml/itemProps9.xml><?xml version="1.0" encoding="utf-8"?>
<ds:datastoreItem xmlns:ds="http://schemas.openxmlformats.org/officeDocument/2006/customXml" ds:itemID="{95b6ed3c-b49d-452c-a930-eadf28642657}">
  <ds:schemaRefs/>
</ds:datastoreItem>
</file>

<file path=docProps/app.xml><?xml version="1.0" encoding="utf-8"?>
<Properties xmlns="http://schemas.openxmlformats.org/officeDocument/2006/extended-properties" xmlns:vt="http://schemas.openxmlformats.org/officeDocument/2006/docPropsVTypes">
  <TotalTime>16</TotalTime>
  <ScaleCrop>false</ScaleCrop>
  <LinksUpToDate>false</LinksUpToDate>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2024-03-07T11:31:00Z</dcterms:created>
  <dc:creator>Administrator</dc:creator>
  <cp:lastModifiedBy>Administrator</cp:lastModifiedBy>
  <dcterms:modified xsi:type="dcterms:W3CDTF">2024-03-07T03:56:39Z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77471F031A924C2CA45E43DFDF9B0980_12</vt:lpwstr>
  </property>
</Properties>
</file>