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ascii="宋体" w:hAnsi="宋体" w:cs="宋体"/>
          <w:b/>
          <w:color w:val="111111"/>
          <w:kern w:val="0"/>
          <w:sz w:val="44"/>
          <w:szCs w:val="44"/>
        </w:rPr>
      </w:pPr>
      <w:r>
        <w:rPr>
          <w:rFonts w:hint="eastAsia" w:ascii="宋体" w:hAnsi="宋体" w:cs="宋体"/>
          <w:b/>
          <w:color w:val="111111"/>
          <w:kern w:val="0"/>
          <w:sz w:val="44"/>
          <w:szCs w:val="44"/>
        </w:rPr>
        <w:t>河北省涞源县供销合作社联合社</w:t>
      </w:r>
    </w:p>
    <w:p>
      <w:pPr>
        <w:ind w:firstLine="883" w:firstLineChars="200"/>
        <w:jc w:val="center"/>
        <w:rPr>
          <w:rFonts w:ascii="宋体" w:hAnsi="宋体" w:cs="宋体"/>
          <w:b/>
          <w:color w:val="111111"/>
          <w:kern w:val="0"/>
          <w:sz w:val="44"/>
          <w:szCs w:val="44"/>
        </w:rPr>
      </w:pPr>
      <w:r>
        <w:rPr>
          <w:rFonts w:hint="eastAsia" w:ascii="宋体" w:hAnsi="宋体" w:cs="宋体"/>
          <w:b/>
          <w:color w:val="111111"/>
          <w:kern w:val="0"/>
          <w:sz w:val="44"/>
          <w:szCs w:val="44"/>
        </w:rPr>
        <w:t>2021年部门预算信息公开说明</w:t>
      </w:r>
    </w:p>
    <w:p>
      <w:pPr>
        <w:ind w:firstLine="883" w:firstLineChars="200"/>
        <w:jc w:val="center"/>
        <w:rPr>
          <w:rFonts w:ascii="宋体" w:hAnsi="宋体" w:cs="宋体"/>
          <w:b/>
          <w:color w:val="111111"/>
          <w:kern w:val="0"/>
          <w:sz w:val="44"/>
          <w:szCs w:val="44"/>
        </w:rPr>
      </w:pPr>
    </w:p>
    <w:p>
      <w:pPr>
        <w:widowControl/>
        <w:spacing w:line="560" w:lineRule="atLeast"/>
        <w:ind w:firstLine="640" w:firstLineChars="200"/>
        <w:jc w:val="left"/>
        <w:rPr>
          <w:rFonts w:ascii="仿宋" w:hAnsi="仿宋" w:eastAsia="仿宋" w:cs="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w:t>
      </w:r>
      <w:bookmarkStart w:id="7" w:name="_GoBack"/>
      <w:bookmarkEnd w:id="7"/>
      <w:r>
        <w:rPr>
          <w:rFonts w:hint="eastAsia" w:ascii="仿宋" w:hAnsi="仿宋" w:eastAsia="仿宋"/>
          <w:sz w:val="32"/>
          <w:szCs w:val="32"/>
        </w:rPr>
        <w:t>预算法》、《地方预决算公开操作规程》和《河北省省级预算公开办法》规定</w:t>
      </w:r>
      <w:r>
        <w:rPr>
          <w:rFonts w:hint="eastAsia" w:ascii="仿宋" w:hAnsi="仿宋" w:eastAsia="仿宋" w:cs="仿宋"/>
          <w:sz w:val="32"/>
          <w:szCs w:val="32"/>
        </w:rPr>
        <w:t>，现将涞源县供销合作社2021年部门预算公开如下：</w:t>
      </w:r>
    </w:p>
    <w:p>
      <w:pPr>
        <w:widowControl/>
        <w:spacing w:line="560" w:lineRule="atLeast"/>
        <w:jc w:val="center"/>
        <w:rPr>
          <w:rFonts w:ascii="仿宋" w:hAnsi="仿宋" w:eastAsia="仿宋" w:cs="仿宋"/>
          <w:b/>
          <w:bCs/>
          <w:sz w:val="32"/>
          <w:szCs w:val="32"/>
        </w:rPr>
      </w:pPr>
      <w:r>
        <w:rPr>
          <w:rFonts w:hint="eastAsia" w:ascii="仿宋" w:hAnsi="仿宋" w:eastAsia="仿宋" w:cs="仿宋"/>
          <w:b/>
          <w:bCs/>
          <w:sz w:val="32"/>
          <w:szCs w:val="32"/>
        </w:rPr>
        <w:t>第一部分:部门职责及机构设置情况</w:t>
      </w:r>
    </w:p>
    <w:p>
      <w:pPr>
        <w:widowControl/>
        <w:numPr>
          <w:ilvl w:val="0"/>
          <w:numId w:val="1"/>
        </w:numPr>
        <w:spacing w:line="560" w:lineRule="atLeast"/>
        <w:jc w:val="left"/>
        <w:rPr>
          <w:rFonts w:ascii="仿宋" w:hAnsi="仿宋" w:eastAsia="仿宋" w:cs="仿宋"/>
          <w:b/>
          <w:bCs/>
          <w:sz w:val="32"/>
          <w:szCs w:val="32"/>
        </w:rPr>
      </w:pPr>
      <w:r>
        <w:rPr>
          <w:rFonts w:hint="eastAsia" w:ascii="仿宋" w:hAnsi="仿宋" w:eastAsia="仿宋" w:cs="仿宋"/>
          <w:b/>
          <w:bCs/>
          <w:sz w:val="32"/>
          <w:szCs w:val="32"/>
        </w:rPr>
        <w:t>部门职责</w:t>
      </w:r>
    </w:p>
    <w:p>
      <w:pPr>
        <w:widowControl/>
        <w:spacing w:line="560" w:lineRule="atLeast"/>
        <w:ind w:firstLine="640" w:firstLineChars="200"/>
        <w:jc w:val="left"/>
        <w:rPr>
          <w:rFonts w:ascii="仿宋" w:hAnsi="仿宋" w:eastAsia="仿宋" w:cs="仿宋"/>
          <w:b/>
          <w:bCs/>
          <w:sz w:val="32"/>
          <w:szCs w:val="32"/>
        </w:rPr>
      </w:pPr>
      <w:r>
        <w:rPr>
          <w:rFonts w:hint="eastAsia" w:ascii="仿宋" w:hAnsi="仿宋" w:eastAsia="仿宋" w:cs="仿宋"/>
          <w:sz w:val="32"/>
          <w:szCs w:val="32"/>
        </w:rPr>
        <w:t>根据《涞源县供销合作社职能配置、内设机构和人员编制规定》， 涞源县供销合作社的主要职责是：</w:t>
      </w:r>
    </w:p>
    <w:p>
      <w:pPr>
        <w:widowControl/>
        <w:spacing w:line="5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1、负责宣传、贯彻党和政府有关农村工作和社会发展的方针、政策，制订并组织实施供销合作社发展规划；</w:t>
      </w:r>
    </w:p>
    <w:p>
      <w:pPr>
        <w:widowControl/>
        <w:spacing w:line="5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2、协调与政府部门、社会组织的关系，维护供销合作社《章程》赋予的合法权益，促进合作经济的发展；</w:t>
      </w:r>
    </w:p>
    <w:p>
      <w:pPr>
        <w:widowControl/>
        <w:spacing w:line="5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3、负责指导农民合作经济组织联合会、供销社系统行业协会建设，</w:t>
      </w:r>
      <w:r>
        <w:rPr>
          <w:rFonts w:hint="eastAsia" w:ascii="仿宋" w:hAnsi="仿宋" w:eastAsia="仿宋" w:cs="仿宋"/>
          <w:sz w:val="32"/>
          <w:szCs w:val="32"/>
          <w:lang w:eastAsia="zh-CN"/>
        </w:rPr>
        <w:t>增</w:t>
      </w:r>
      <w:r>
        <w:rPr>
          <w:rFonts w:hint="eastAsia" w:ascii="仿宋" w:hAnsi="仿宋" w:eastAsia="仿宋" w:cs="仿宋"/>
          <w:sz w:val="32"/>
          <w:szCs w:val="32"/>
        </w:rPr>
        <w:t>强服务功能;协助有关部门加强对农产品行业协会的管理和指导，积极领办农民专业合作社;组织行业协会承办政府购买服务；</w:t>
      </w:r>
    </w:p>
    <w:p>
      <w:pPr>
        <w:widowControl/>
        <w:spacing w:line="5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4、负责发展农业生产资料现代经营服务网络，构建连锁经营体系;负责发展农副产品现代购销网络，创办经营各种农副产品批发市场，推动农超对接;负责发展日用消费品现代经营网络，构建现代连锁经营体系;负责再生资源回收利用体系建设；</w:t>
      </w:r>
    </w:p>
    <w:p>
      <w:pPr>
        <w:widowControl/>
        <w:spacing w:line="5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5、按照县政府授权，会同有关部门负责烟花爆竹批发、零售网络经营的管理工作;管理县政府委托的物资、商品储备；</w:t>
      </w:r>
    </w:p>
    <w:p>
      <w:pPr>
        <w:widowControl/>
        <w:spacing w:line="5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6、负责基层供销合作社的组织建设;监督指导基层供销合作社的经营管理和改革发展；</w:t>
      </w:r>
    </w:p>
    <w:p>
      <w:pPr>
        <w:widowControl/>
        <w:spacing w:line="560" w:lineRule="atLeas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7、负责运营监管全县社有资产，接受上级社的资产监督，对出资企业行使出资人职能，推进所属企业改革，建立健全现代企业制度，做大做强社有企业;负责系统财产安全统筹管理</w:t>
      </w:r>
      <w:r>
        <w:rPr>
          <w:rFonts w:hint="eastAsia" w:ascii="仿宋" w:hAnsi="仿宋" w:eastAsia="仿宋" w:cs="仿宋"/>
          <w:sz w:val="32"/>
          <w:szCs w:val="32"/>
          <w:lang w:eastAsia="zh-CN"/>
        </w:rPr>
        <w:t>；</w:t>
      </w:r>
    </w:p>
    <w:p>
      <w:pPr>
        <w:widowControl/>
        <w:spacing w:line="5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8、按照新农村建设发展总体规划，参与农业产业化经营标准化示范、农业综合开发、农业科技推广项目和农村金融建设，参与农村社会化公益性服务，搞好农村社区综合服务中心建设；</w:t>
      </w:r>
    </w:p>
    <w:p>
      <w:pPr>
        <w:widowControl/>
        <w:spacing w:line="5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9、承办县政府赋予的其他职能和工作任务。</w:t>
      </w:r>
    </w:p>
    <w:p>
      <w:pPr>
        <w:widowControl/>
        <w:spacing w:line="560" w:lineRule="atLeast"/>
        <w:jc w:val="left"/>
        <w:rPr>
          <w:rFonts w:ascii="仿宋" w:hAnsi="仿宋" w:eastAsia="仿宋" w:cs="仿宋"/>
          <w:b/>
          <w:bCs/>
          <w:sz w:val="32"/>
          <w:szCs w:val="32"/>
        </w:rPr>
      </w:pPr>
      <w:r>
        <w:rPr>
          <w:rFonts w:hint="eastAsia" w:ascii="仿宋" w:hAnsi="仿宋" w:eastAsia="仿宋" w:cs="仿宋"/>
          <w:b/>
          <w:bCs/>
          <w:sz w:val="32"/>
          <w:szCs w:val="32"/>
        </w:rPr>
        <w:t xml:space="preserve"> 二、机构设置</w:t>
      </w:r>
    </w:p>
    <w:p>
      <w:pPr>
        <w:widowControl/>
        <w:spacing w:line="560" w:lineRule="atLeast"/>
        <w:jc w:val="center"/>
        <w:rPr>
          <w:rFonts w:ascii="仿宋" w:hAnsi="仿宋" w:eastAsia="仿宋" w:cs="仿宋"/>
          <w:b/>
          <w:bCs/>
          <w:sz w:val="32"/>
          <w:szCs w:val="32"/>
        </w:rPr>
      </w:pPr>
      <w:bookmarkStart w:id="0" w:name="_Toc65248769"/>
      <w:r>
        <w:rPr>
          <w:rFonts w:hint="eastAsia" w:ascii="仿宋" w:hAnsi="仿宋" w:eastAsia="仿宋" w:cs="仿宋"/>
          <w:b/>
          <w:bCs/>
          <w:sz w:val="32"/>
          <w:szCs w:val="32"/>
        </w:rPr>
        <w:t>部门机构设置情况</w:t>
      </w:r>
      <w:bookmarkEnd w:id="0"/>
    </w:p>
    <w:tbl>
      <w:tblPr>
        <w:tblStyle w:val="3"/>
        <w:tblpPr w:leftFromText="180" w:rightFromText="180" w:vertAnchor="text" w:horzAnchor="page" w:tblpX="1480" w:tblpY="986"/>
        <w:tblOverlap w:val="never"/>
        <w:tblW w:w="939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6"/>
        <w:gridCol w:w="739"/>
        <w:gridCol w:w="1016"/>
        <w:gridCol w:w="1533"/>
        <w:gridCol w:w="461"/>
        <w:gridCol w:w="468"/>
        <w:gridCol w:w="455"/>
        <w:gridCol w:w="461"/>
        <w:gridCol w:w="462"/>
        <w:gridCol w:w="461"/>
        <w:gridCol w:w="461"/>
        <w:gridCol w:w="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3" w:hRule="atLeast"/>
          <w:tblHeader/>
        </w:trPr>
        <w:tc>
          <w:tcPr>
            <w:tcW w:w="6623" w:type="dxa"/>
            <w:gridSpan w:val="6"/>
            <w:tcBorders>
              <w:top w:val="single" w:color="FFFFFF" w:sz="6" w:space="0"/>
              <w:left w:val="single" w:color="FFFFFF" w:sz="6" w:space="0"/>
              <w:right w:val="single" w:color="FFFFFF" w:sz="6" w:space="0"/>
            </w:tcBorders>
            <w:shd w:val="clear" w:color="auto" w:fill="auto"/>
            <w:vAlign w:val="center"/>
          </w:tcPr>
          <w:p>
            <w:pPr>
              <w:widowControl/>
              <w:spacing w:line="560" w:lineRule="atLeast"/>
              <w:jc w:val="left"/>
              <w:rPr>
                <w:rFonts w:ascii="仿宋" w:hAnsi="仿宋" w:eastAsia="仿宋" w:cs="仿宋"/>
                <w:sz w:val="32"/>
                <w:szCs w:val="32"/>
              </w:rPr>
            </w:pPr>
            <w:r>
              <w:rPr>
                <w:rFonts w:hint="eastAsia" w:ascii="仿宋" w:hAnsi="仿宋" w:eastAsia="仿宋" w:cs="仿宋"/>
                <w:sz w:val="32"/>
                <w:szCs w:val="32"/>
              </w:rPr>
              <w:t>838涞源县供销合作社</w:t>
            </w:r>
          </w:p>
        </w:tc>
        <w:tc>
          <w:tcPr>
            <w:tcW w:w="2773" w:type="dxa"/>
            <w:gridSpan w:val="6"/>
            <w:tcBorders>
              <w:top w:val="single" w:color="FFFFFF" w:sz="6" w:space="0"/>
              <w:left w:val="single" w:color="FFFFFF" w:sz="6" w:space="0"/>
              <w:right w:val="single" w:color="FFFFFF" w:sz="6" w:space="0"/>
            </w:tcBorders>
            <w:shd w:val="clear" w:color="auto" w:fill="auto"/>
            <w:vAlign w:val="center"/>
          </w:tcPr>
          <w:p>
            <w:pPr>
              <w:widowControl/>
              <w:spacing w:line="560" w:lineRule="atLeast"/>
              <w:jc w:val="left"/>
              <w:rPr>
                <w:rFonts w:ascii="仿宋" w:hAnsi="仿宋" w:eastAsia="仿宋" w:cs="仿宋"/>
                <w:sz w:val="32"/>
                <w:szCs w:val="32"/>
              </w:rPr>
            </w:pPr>
            <w:r>
              <w:rPr>
                <w:rFonts w:hint="eastAsia" w:ascii="仿宋" w:hAnsi="仿宋" w:eastAsia="仿宋" w:cs="仿宋"/>
                <w:sz w:val="32"/>
                <w:szCs w:val="32"/>
              </w:rP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3" w:hRule="atLeast"/>
          <w:tblHeader/>
        </w:trPr>
        <w:tc>
          <w:tcPr>
            <w:tcW w:w="2406" w:type="dxa"/>
            <w:vMerge w:val="restart"/>
            <w:shd w:val="clear" w:color="auto" w:fill="auto"/>
            <w:vAlign w:val="center"/>
          </w:tcPr>
          <w:p>
            <w:pPr>
              <w:widowControl/>
              <w:spacing w:line="560" w:lineRule="atLeast"/>
              <w:jc w:val="left"/>
              <w:rPr>
                <w:rFonts w:ascii="仿宋" w:hAnsi="仿宋" w:eastAsia="仿宋" w:cs="仿宋"/>
                <w:sz w:val="32"/>
                <w:szCs w:val="32"/>
              </w:rPr>
            </w:pPr>
            <w:r>
              <w:rPr>
                <w:rFonts w:hint="eastAsia" w:ascii="仿宋" w:hAnsi="仿宋" w:eastAsia="仿宋" w:cs="仿宋"/>
                <w:sz w:val="32"/>
                <w:szCs w:val="32"/>
              </w:rPr>
              <w:t>单位名称</w:t>
            </w:r>
          </w:p>
        </w:tc>
        <w:tc>
          <w:tcPr>
            <w:tcW w:w="739" w:type="dxa"/>
            <w:vMerge w:val="restart"/>
            <w:shd w:val="clear" w:color="auto" w:fill="auto"/>
            <w:vAlign w:val="center"/>
          </w:tcPr>
          <w:p>
            <w:pPr>
              <w:widowControl/>
              <w:spacing w:line="560" w:lineRule="atLeast"/>
              <w:jc w:val="left"/>
              <w:rPr>
                <w:rFonts w:ascii="仿宋" w:hAnsi="仿宋" w:eastAsia="仿宋" w:cs="仿宋"/>
                <w:sz w:val="32"/>
                <w:szCs w:val="32"/>
              </w:rPr>
            </w:pPr>
            <w:r>
              <w:rPr>
                <w:rFonts w:hint="eastAsia" w:ascii="仿宋" w:hAnsi="仿宋" w:eastAsia="仿宋" w:cs="仿宋"/>
                <w:sz w:val="32"/>
                <w:szCs w:val="32"/>
              </w:rPr>
              <w:t>单位性质</w:t>
            </w:r>
          </w:p>
        </w:tc>
        <w:tc>
          <w:tcPr>
            <w:tcW w:w="1016" w:type="dxa"/>
            <w:vMerge w:val="restart"/>
            <w:shd w:val="clear" w:color="auto" w:fill="auto"/>
            <w:vAlign w:val="center"/>
          </w:tcPr>
          <w:p>
            <w:pPr>
              <w:widowControl/>
              <w:spacing w:line="560" w:lineRule="atLeast"/>
              <w:jc w:val="left"/>
              <w:rPr>
                <w:rFonts w:ascii="仿宋" w:hAnsi="仿宋" w:eastAsia="仿宋" w:cs="仿宋"/>
                <w:sz w:val="32"/>
                <w:szCs w:val="32"/>
              </w:rPr>
            </w:pPr>
            <w:r>
              <w:rPr>
                <w:rFonts w:hint="eastAsia" w:ascii="仿宋" w:hAnsi="仿宋" w:eastAsia="仿宋" w:cs="仿宋"/>
                <w:sz w:val="32"/>
                <w:szCs w:val="32"/>
              </w:rPr>
              <w:t>单位规格</w:t>
            </w:r>
          </w:p>
        </w:tc>
        <w:tc>
          <w:tcPr>
            <w:tcW w:w="1533" w:type="dxa"/>
            <w:vMerge w:val="restart"/>
            <w:shd w:val="clear" w:color="auto" w:fill="auto"/>
            <w:vAlign w:val="center"/>
          </w:tcPr>
          <w:p>
            <w:pPr>
              <w:widowControl/>
              <w:spacing w:line="560" w:lineRule="atLeast"/>
              <w:jc w:val="left"/>
              <w:rPr>
                <w:rFonts w:ascii="仿宋" w:hAnsi="仿宋" w:eastAsia="仿宋" w:cs="仿宋"/>
                <w:sz w:val="32"/>
                <w:szCs w:val="32"/>
              </w:rPr>
            </w:pPr>
            <w:r>
              <w:rPr>
                <w:rFonts w:hint="eastAsia" w:ascii="仿宋" w:hAnsi="仿宋" w:eastAsia="仿宋" w:cs="仿宋"/>
                <w:sz w:val="32"/>
                <w:szCs w:val="32"/>
              </w:rPr>
              <w:t>经费保障形式</w:t>
            </w:r>
          </w:p>
        </w:tc>
        <w:tc>
          <w:tcPr>
            <w:tcW w:w="461" w:type="dxa"/>
            <w:vMerge w:val="restart"/>
            <w:shd w:val="clear" w:color="auto" w:fill="auto"/>
            <w:vAlign w:val="center"/>
          </w:tcPr>
          <w:p>
            <w:pPr>
              <w:widowControl/>
              <w:spacing w:line="560" w:lineRule="atLeast"/>
              <w:jc w:val="left"/>
              <w:rPr>
                <w:rFonts w:ascii="仿宋" w:hAnsi="仿宋" w:eastAsia="仿宋" w:cs="仿宋"/>
                <w:sz w:val="32"/>
                <w:szCs w:val="32"/>
              </w:rPr>
            </w:pPr>
            <w:r>
              <w:rPr>
                <w:rFonts w:hint="eastAsia" w:ascii="仿宋" w:hAnsi="仿宋" w:eastAsia="仿宋" w:cs="仿宋"/>
                <w:sz w:val="32"/>
                <w:szCs w:val="32"/>
              </w:rPr>
              <w:t>车辆实有数</w:t>
            </w:r>
          </w:p>
        </w:tc>
        <w:tc>
          <w:tcPr>
            <w:tcW w:w="923" w:type="dxa"/>
            <w:gridSpan w:val="2"/>
            <w:shd w:val="clear" w:color="auto" w:fill="auto"/>
            <w:vAlign w:val="center"/>
          </w:tcPr>
          <w:p>
            <w:pPr>
              <w:widowControl/>
              <w:spacing w:line="560" w:lineRule="atLeast"/>
              <w:jc w:val="left"/>
              <w:rPr>
                <w:rFonts w:ascii="仿宋" w:hAnsi="仿宋" w:eastAsia="仿宋" w:cs="仿宋"/>
                <w:sz w:val="32"/>
                <w:szCs w:val="32"/>
              </w:rPr>
            </w:pPr>
            <w:r>
              <w:rPr>
                <w:rFonts w:hint="eastAsia" w:ascii="仿宋" w:hAnsi="仿宋" w:eastAsia="仿宋" w:cs="仿宋"/>
                <w:sz w:val="32"/>
                <w:szCs w:val="32"/>
              </w:rPr>
              <w:t>编制人数</w:t>
            </w:r>
          </w:p>
        </w:tc>
        <w:tc>
          <w:tcPr>
            <w:tcW w:w="923" w:type="dxa"/>
            <w:gridSpan w:val="2"/>
            <w:shd w:val="clear" w:color="auto" w:fill="auto"/>
            <w:vAlign w:val="center"/>
          </w:tcPr>
          <w:p>
            <w:pPr>
              <w:widowControl/>
              <w:spacing w:line="560" w:lineRule="atLeast"/>
              <w:jc w:val="left"/>
              <w:rPr>
                <w:rFonts w:ascii="仿宋" w:hAnsi="仿宋" w:eastAsia="仿宋" w:cs="仿宋"/>
                <w:sz w:val="32"/>
                <w:szCs w:val="32"/>
              </w:rPr>
            </w:pPr>
            <w:r>
              <w:rPr>
                <w:rFonts w:hint="eastAsia" w:ascii="仿宋" w:hAnsi="仿宋" w:eastAsia="仿宋" w:cs="仿宋"/>
                <w:sz w:val="32"/>
                <w:szCs w:val="32"/>
              </w:rPr>
              <w:t>在职人数</w:t>
            </w:r>
          </w:p>
        </w:tc>
        <w:tc>
          <w:tcPr>
            <w:tcW w:w="1395" w:type="dxa"/>
            <w:gridSpan w:val="3"/>
            <w:shd w:val="clear" w:color="auto" w:fill="auto"/>
            <w:vAlign w:val="center"/>
          </w:tcPr>
          <w:p>
            <w:pPr>
              <w:widowControl/>
              <w:spacing w:line="560" w:lineRule="atLeast"/>
              <w:jc w:val="left"/>
              <w:rPr>
                <w:rFonts w:ascii="仿宋" w:hAnsi="仿宋" w:eastAsia="仿宋" w:cs="仿宋"/>
                <w:sz w:val="32"/>
                <w:szCs w:val="32"/>
              </w:rPr>
            </w:pPr>
            <w:r>
              <w:rPr>
                <w:rFonts w:hint="eastAsia" w:ascii="仿宋" w:hAnsi="仿宋" w:eastAsia="仿宋" w:cs="仿宋"/>
                <w:sz w:val="32"/>
                <w:szCs w:val="32"/>
              </w:rP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8" w:hRule="atLeast"/>
          <w:tblHeader/>
        </w:trPr>
        <w:tc>
          <w:tcPr>
            <w:tcW w:w="2406" w:type="dxa"/>
            <w:vMerge w:val="continue"/>
            <w:shd w:val="clear" w:color="auto" w:fill="auto"/>
            <w:vAlign w:val="center"/>
          </w:tcPr>
          <w:p>
            <w:pPr>
              <w:widowControl/>
              <w:spacing w:line="560" w:lineRule="atLeast"/>
              <w:jc w:val="left"/>
              <w:rPr>
                <w:rFonts w:ascii="仿宋" w:hAnsi="仿宋" w:eastAsia="仿宋" w:cs="仿宋"/>
                <w:sz w:val="32"/>
                <w:szCs w:val="32"/>
              </w:rPr>
            </w:pPr>
          </w:p>
        </w:tc>
        <w:tc>
          <w:tcPr>
            <w:tcW w:w="739" w:type="dxa"/>
            <w:vMerge w:val="continue"/>
            <w:shd w:val="clear" w:color="auto" w:fill="auto"/>
            <w:vAlign w:val="center"/>
          </w:tcPr>
          <w:p>
            <w:pPr>
              <w:widowControl/>
              <w:spacing w:line="560" w:lineRule="atLeast"/>
              <w:jc w:val="left"/>
              <w:rPr>
                <w:rFonts w:ascii="仿宋" w:hAnsi="仿宋" w:eastAsia="仿宋" w:cs="仿宋"/>
                <w:sz w:val="32"/>
                <w:szCs w:val="32"/>
              </w:rPr>
            </w:pPr>
          </w:p>
        </w:tc>
        <w:tc>
          <w:tcPr>
            <w:tcW w:w="1016" w:type="dxa"/>
            <w:vMerge w:val="continue"/>
            <w:shd w:val="clear" w:color="auto" w:fill="auto"/>
            <w:vAlign w:val="center"/>
          </w:tcPr>
          <w:p>
            <w:pPr>
              <w:widowControl/>
              <w:spacing w:line="560" w:lineRule="atLeast"/>
              <w:jc w:val="left"/>
              <w:rPr>
                <w:rFonts w:ascii="仿宋" w:hAnsi="仿宋" w:eastAsia="仿宋" w:cs="仿宋"/>
                <w:sz w:val="32"/>
                <w:szCs w:val="32"/>
              </w:rPr>
            </w:pPr>
          </w:p>
        </w:tc>
        <w:tc>
          <w:tcPr>
            <w:tcW w:w="1533" w:type="dxa"/>
            <w:vMerge w:val="continue"/>
            <w:shd w:val="clear" w:color="auto" w:fill="auto"/>
            <w:vAlign w:val="center"/>
          </w:tcPr>
          <w:p>
            <w:pPr>
              <w:widowControl/>
              <w:spacing w:line="560" w:lineRule="atLeast"/>
              <w:jc w:val="left"/>
              <w:rPr>
                <w:rFonts w:ascii="仿宋" w:hAnsi="仿宋" w:eastAsia="仿宋" w:cs="仿宋"/>
                <w:sz w:val="32"/>
                <w:szCs w:val="32"/>
              </w:rPr>
            </w:pPr>
          </w:p>
        </w:tc>
        <w:tc>
          <w:tcPr>
            <w:tcW w:w="461" w:type="dxa"/>
            <w:vMerge w:val="continue"/>
            <w:shd w:val="clear" w:color="auto" w:fill="auto"/>
            <w:vAlign w:val="center"/>
          </w:tcPr>
          <w:p>
            <w:pPr>
              <w:widowControl/>
              <w:spacing w:line="560" w:lineRule="atLeast"/>
              <w:jc w:val="left"/>
              <w:rPr>
                <w:rFonts w:ascii="仿宋" w:hAnsi="仿宋" w:eastAsia="仿宋" w:cs="仿宋"/>
                <w:sz w:val="32"/>
                <w:szCs w:val="32"/>
              </w:rPr>
            </w:pPr>
          </w:p>
        </w:tc>
        <w:tc>
          <w:tcPr>
            <w:tcW w:w="468" w:type="dxa"/>
            <w:shd w:val="clear" w:color="auto" w:fill="auto"/>
            <w:vAlign w:val="center"/>
          </w:tcPr>
          <w:p>
            <w:pPr>
              <w:widowControl/>
              <w:spacing w:line="560" w:lineRule="atLeast"/>
              <w:jc w:val="left"/>
              <w:rPr>
                <w:rFonts w:ascii="仿宋" w:hAnsi="仿宋" w:eastAsia="仿宋" w:cs="仿宋"/>
                <w:sz w:val="32"/>
                <w:szCs w:val="32"/>
              </w:rPr>
            </w:pPr>
            <w:r>
              <w:rPr>
                <w:rFonts w:hint="eastAsia" w:ascii="仿宋" w:hAnsi="仿宋" w:eastAsia="仿宋" w:cs="仿宋"/>
                <w:sz w:val="32"/>
                <w:szCs w:val="32"/>
              </w:rPr>
              <w:t>行政</w:t>
            </w:r>
          </w:p>
        </w:tc>
        <w:tc>
          <w:tcPr>
            <w:tcW w:w="455" w:type="dxa"/>
            <w:shd w:val="clear" w:color="auto" w:fill="auto"/>
            <w:vAlign w:val="center"/>
          </w:tcPr>
          <w:p>
            <w:pPr>
              <w:widowControl/>
              <w:spacing w:line="560" w:lineRule="atLeast"/>
              <w:jc w:val="left"/>
              <w:rPr>
                <w:rFonts w:ascii="仿宋" w:hAnsi="仿宋" w:eastAsia="仿宋" w:cs="仿宋"/>
                <w:sz w:val="32"/>
                <w:szCs w:val="32"/>
              </w:rPr>
            </w:pPr>
            <w:r>
              <w:rPr>
                <w:rFonts w:hint="eastAsia" w:ascii="仿宋" w:hAnsi="仿宋" w:eastAsia="仿宋" w:cs="仿宋"/>
                <w:sz w:val="32"/>
                <w:szCs w:val="32"/>
              </w:rPr>
              <w:t>事业</w:t>
            </w:r>
          </w:p>
        </w:tc>
        <w:tc>
          <w:tcPr>
            <w:tcW w:w="461" w:type="dxa"/>
            <w:shd w:val="clear" w:color="auto" w:fill="auto"/>
            <w:vAlign w:val="center"/>
          </w:tcPr>
          <w:p>
            <w:pPr>
              <w:widowControl/>
              <w:spacing w:line="560" w:lineRule="atLeast"/>
              <w:jc w:val="left"/>
              <w:rPr>
                <w:rFonts w:ascii="仿宋" w:hAnsi="仿宋" w:eastAsia="仿宋" w:cs="仿宋"/>
                <w:sz w:val="32"/>
                <w:szCs w:val="32"/>
              </w:rPr>
            </w:pPr>
            <w:r>
              <w:rPr>
                <w:rFonts w:hint="eastAsia" w:ascii="仿宋" w:hAnsi="仿宋" w:eastAsia="仿宋" w:cs="仿宋"/>
                <w:sz w:val="32"/>
                <w:szCs w:val="32"/>
              </w:rPr>
              <w:t>行政</w:t>
            </w:r>
          </w:p>
        </w:tc>
        <w:tc>
          <w:tcPr>
            <w:tcW w:w="462" w:type="dxa"/>
            <w:shd w:val="clear" w:color="auto" w:fill="auto"/>
            <w:vAlign w:val="center"/>
          </w:tcPr>
          <w:p>
            <w:pPr>
              <w:widowControl/>
              <w:spacing w:line="560" w:lineRule="atLeast"/>
              <w:jc w:val="left"/>
              <w:rPr>
                <w:rFonts w:ascii="仿宋" w:hAnsi="仿宋" w:eastAsia="仿宋" w:cs="仿宋"/>
                <w:sz w:val="32"/>
                <w:szCs w:val="32"/>
              </w:rPr>
            </w:pPr>
            <w:r>
              <w:rPr>
                <w:rFonts w:hint="eastAsia" w:ascii="仿宋" w:hAnsi="仿宋" w:eastAsia="仿宋" w:cs="仿宋"/>
                <w:sz w:val="32"/>
                <w:szCs w:val="32"/>
              </w:rPr>
              <w:t>事业</w:t>
            </w:r>
          </w:p>
        </w:tc>
        <w:tc>
          <w:tcPr>
            <w:tcW w:w="461" w:type="dxa"/>
            <w:shd w:val="clear" w:color="auto" w:fill="auto"/>
            <w:vAlign w:val="center"/>
          </w:tcPr>
          <w:p>
            <w:pPr>
              <w:widowControl/>
              <w:spacing w:line="560" w:lineRule="atLeast"/>
              <w:jc w:val="left"/>
              <w:rPr>
                <w:rFonts w:ascii="仿宋" w:hAnsi="仿宋" w:eastAsia="仿宋" w:cs="仿宋"/>
                <w:sz w:val="32"/>
                <w:szCs w:val="32"/>
              </w:rPr>
            </w:pPr>
            <w:r>
              <w:rPr>
                <w:rFonts w:hint="eastAsia" w:ascii="仿宋" w:hAnsi="仿宋" w:eastAsia="仿宋" w:cs="仿宋"/>
                <w:sz w:val="32"/>
                <w:szCs w:val="32"/>
              </w:rPr>
              <w:t>离休</w:t>
            </w:r>
          </w:p>
        </w:tc>
        <w:tc>
          <w:tcPr>
            <w:tcW w:w="461" w:type="dxa"/>
            <w:shd w:val="clear" w:color="auto" w:fill="auto"/>
            <w:vAlign w:val="center"/>
          </w:tcPr>
          <w:p>
            <w:pPr>
              <w:widowControl/>
              <w:spacing w:line="560" w:lineRule="atLeast"/>
              <w:jc w:val="left"/>
              <w:rPr>
                <w:rFonts w:ascii="仿宋" w:hAnsi="仿宋" w:eastAsia="仿宋" w:cs="仿宋"/>
                <w:sz w:val="32"/>
                <w:szCs w:val="32"/>
              </w:rPr>
            </w:pPr>
            <w:r>
              <w:rPr>
                <w:rFonts w:hint="eastAsia" w:ascii="仿宋" w:hAnsi="仿宋" w:eastAsia="仿宋" w:cs="仿宋"/>
                <w:sz w:val="32"/>
                <w:szCs w:val="32"/>
              </w:rPr>
              <w:t>退休</w:t>
            </w:r>
          </w:p>
        </w:tc>
        <w:tc>
          <w:tcPr>
            <w:tcW w:w="473" w:type="dxa"/>
            <w:shd w:val="clear" w:color="auto" w:fill="auto"/>
            <w:vAlign w:val="center"/>
          </w:tcPr>
          <w:p>
            <w:pPr>
              <w:widowControl/>
              <w:spacing w:line="560" w:lineRule="atLeast"/>
              <w:jc w:val="left"/>
              <w:rPr>
                <w:rFonts w:ascii="仿宋" w:hAnsi="仿宋" w:eastAsia="仿宋" w:cs="仿宋"/>
                <w:sz w:val="32"/>
                <w:szCs w:val="32"/>
              </w:rPr>
            </w:pPr>
            <w:r>
              <w:rPr>
                <w:rFonts w:hint="eastAsia" w:ascii="仿宋" w:hAnsi="仿宋" w:eastAsia="仿宋" w:cs="仿宋"/>
                <w:sz w:val="32"/>
                <w:szCs w:val="32"/>
              </w:rP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3" w:hRule="atLeast"/>
        </w:trPr>
        <w:tc>
          <w:tcPr>
            <w:tcW w:w="2406" w:type="dxa"/>
            <w:shd w:val="clear" w:color="auto" w:fill="auto"/>
            <w:vAlign w:val="center"/>
          </w:tcPr>
          <w:p>
            <w:pPr>
              <w:widowControl/>
              <w:spacing w:line="560" w:lineRule="atLeast"/>
              <w:jc w:val="left"/>
              <w:rPr>
                <w:rFonts w:ascii="仿宋" w:hAnsi="仿宋" w:eastAsia="仿宋" w:cs="仿宋"/>
                <w:sz w:val="32"/>
                <w:szCs w:val="32"/>
              </w:rPr>
            </w:pPr>
            <w:r>
              <w:rPr>
                <w:rFonts w:hint="eastAsia" w:ascii="仿宋" w:hAnsi="仿宋" w:eastAsia="仿宋" w:cs="仿宋"/>
                <w:sz w:val="32"/>
                <w:szCs w:val="32"/>
              </w:rPr>
              <w:t>合    计</w:t>
            </w:r>
          </w:p>
        </w:tc>
        <w:tc>
          <w:tcPr>
            <w:tcW w:w="739" w:type="dxa"/>
            <w:shd w:val="clear" w:color="auto" w:fill="auto"/>
            <w:vAlign w:val="center"/>
          </w:tcPr>
          <w:p>
            <w:pPr>
              <w:widowControl/>
              <w:spacing w:line="560" w:lineRule="atLeast"/>
              <w:jc w:val="left"/>
              <w:rPr>
                <w:rFonts w:ascii="仿宋" w:hAnsi="仿宋" w:eastAsia="仿宋" w:cs="仿宋"/>
                <w:sz w:val="32"/>
                <w:szCs w:val="32"/>
              </w:rPr>
            </w:pPr>
          </w:p>
        </w:tc>
        <w:tc>
          <w:tcPr>
            <w:tcW w:w="1016" w:type="dxa"/>
            <w:shd w:val="clear" w:color="auto" w:fill="auto"/>
            <w:vAlign w:val="center"/>
          </w:tcPr>
          <w:p>
            <w:pPr>
              <w:widowControl/>
              <w:spacing w:line="560" w:lineRule="atLeast"/>
              <w:jc w:val="left"/>
              <w:rPr>
                <w:rFonts w:ascii="仿宋" w:hAnsi="仿宋" w:eastAsia="仿宋" w:cs="仿宋"/>
                <w:sz w:val="32"/>
                <w:szCs w:val="32"/>
              </w:rPr>
            </w:pPr>
          </w:p>
        </w:tc>
        <w:tc>
          <w:tcPr>
            <w:tcW w:w="1533" w:type="dxa"/>
            <w:shd w:val="clear" w:color="auto" w:fill="auto"/>
            <w:vAlign w:val="center"/>
          </w:tcPr>
          <w:p>
            <w:pPr>
              <w:widowControl/>
              <w:spacing w:line="560" w:lineRule="atLeast"/>
              <w:jc w:val="left"/>
              <w:rPr>
                <w:rFonts w:ascii="仿宋" w:hAnsi="仿宋" w:eastAsia="仿宋" w:cs="仿宋"/>
                <w:sz w:val="32"/>
                <w:szCs w:val="32"/>
              </w:rPr>
            </w:pPr>
          </w:p>
        </w:tc>
        <w:tc>
          <w:tcPr>
            <w:tcW w:w="461" w:type="dxa"/>
            <w:shd w:val="clear" w:color="auto" w:fill="auto"/>
            <w:vAlign w:val="center"/>
          </w:tcPr>
          <w:p>
            <w:pPr>
              <w:widowControl/>
              <w:spacing w:line="560" w:lineRule="atLeast"/>
              <w:jc w:val="left"/>
              <w:rPr>
                <w:rFonts w:ascii="仿宋" w:hAnsi="仿宋" w:eastAsia="仿宋" w:cs="仿宋"/>
                <w:sz w:val="32"/>
                <w:szCs w:val="32"/>
              </w:rPr>
            </w:pPr>
          </w:p>
        </w:tc>
        <w:tc>
          <w:tcPr>
            <w:tcW w:w="468" w:type="dxa"/>
            <w:shd w:val="clear" w:color="auto" w:fill="auto"/>
            <w:vAlign w:val="center"/>
          </w:tcPr>
          <w:p>
            <w:pPr>
              <w:widowControl/>
              <w:spacing w:line="560" w:lineRule="atLeast"/>
              <w:jc w:val="left"/>
              <w:rPr>
                <w:rFonts w:ascii="仿宋" w:hAnsi="仿宋" w:eastAsia="仿宋" w:cs="仿宋"/>
                <w:sz w:val="32"/>
                <w:szCs w:val="32"/>
              </w:rPr>
            </w:pPr>
          </w:p>
        </w:tc>
        <w:tc>
          <w:tcPr>
            <w:tcW w:w="455" w:type="dxa"/>
            <w:shd w:val="clear" w:color="auto" w:fill="auto"/>
            <w:vAlign w:val="center"/>
          </w:tcPr>
          <w:p>
            <w:pPr>
              <w:widowControl/>
              <w:spacing w:line="560" w:lineRule="atLeast"/>
              <w:jc w:val="left"/>
              <w:rPr>
                <w:rFonts w:ascii="仿宋" w:hAnsi="仿宋" w:eastAsia="仿宋" w:cs="仿宋"/>
                <w:sz w:val="32"/>
                <w:szCs w:val="32"/>
              </w:rPr>
            </w:pPr>
          </w:p>
        </w:tc>
        <w:tc>
          <w:tcPr>
            <w:tcW w:w="461" w:type="dxa"/>
            <w:shd w:val="clear" w:color="auto" w:fill="auto"/>
            <w:vAlign w:val="center"/>
          </w:tcPr>
          <w:p>
            <w:pPr>
              <w:widowControl/>
              <w:spacing w:line="560" w:lineRule="atLeast"/>
              <w:jc w:val="left"/>
              <w:rPr>
                <w:rFonts w:ascii="仿宋" w:hAnsi="仿宋" w:eastAsia="仿宋" w:cs="仿宋"/>
                <w:sz w:val="32"/>
                <w:szCs w:val="32"/>
              </w:rPr>
            </w:pPr>
          </w:p>
        </w:tc>
        <w:tc>
          <w:tcPr>
            <w:tcW w:w="462" w:type="dxa"/>
            <w:shd w:val="clear" w:color="auto" w:fill="auto"/>
            <w:vAlign w:val="center"/>
          </w:tcPr>
          <w:p>
            <w:pPr>
              <w:widowControl/>
              <w:spacing w:line="560" w:lineRule="atLeast"/>
              <w:jc w:val="left"/>
              <w:rPr>
                <w:rFonts w:ascii="仿宋" w:hAnsi="仿宋" w:eastAsia="仿宋" w:cs="仿宋"/>
                <w:sz w:val="32"/>
                <w:szCs w:val="32"/>
              </w:rPr>
            </w:pPr>
          </w:p>
        </w:tc>
        <w:tc>
          <w:tcPr>
            <w:tcW w:w="461" w:type="dxa"/>
            <w:shd w:val="clear" w:color="auto" w:fill="auto"/>
            <w:vAlign w:val="center"/>
          </w:tcPr>
          <w:p>
            <w:pPr>
              <w:widowControl/>
              <w:spacing w:line="560" w:lineRule="atLeast"/>
              <w:jc w:val="left"/>
              <w:rPr>
                <w:rFonts w:ascii="仿宋" w:hAnsi="仿宋" w:eastAsia="仿宋" w:cs="仿宋"/>
                <w:sz w:val="32"/>
                <w:szCs w:val="32"/>
              </w:rPr>
            </w:pPr>
          </w:p>
        </w:tc>
        <w:tc>
          <w:tcPr>
            <w:tcW w:w="461" w:type="dxa"/>
            <w:shd w:val="clear" w:color="auto" w:fill="auto"/>
            <w:vAlign w:val="center"/>
          </w:tcPr>
          <w:p>
            <w:pPr>
              <w:widowControl/>
              <w:spacing w:line="560" w:lineRule="atLeast"/>
              <w:jc w:val="left"/>
              <w:rPr>
                <w:rFonts w:ascii="仿宋" w:hAnsi="仿宋" w:eastAsia="仿宋" w:cs="仿宋"/>
                <w:sz w:val="32"/>
                <w:szCs w:val="32"/>
              </w:rPr>
            </w:pPr>
          </w:p>
        </w:tc>
        <w:tc>
          <w:tcPr>
            <w:tcW w:w="473" w:type="dxa"/>
            <w:shd w:val="clear" w:color="auto" w:fill="auto"/>
            <w:vAlign w:val="center"/>
          </w:tcPr>
          <w:p>
            <w:pPr>
              <w:widowControl/>
              <w:spacing w:line="560" w:lineRule="atLeast"/>
              <w:jc w:val="left"/>
              <w:rPr>
                <w:rFonts w:ascii="仿宋" w:hAnsi="仿宋" w:eastAsia="仿宋" w:cs="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6" w:hRule="atLeast"/>
        </w:trPr>
        <w:tc>
          <w:tcPr>
            <w:tcW w:w="2406" w:type="dxa"/>
            <w:shd w:val="clear" w:color="auto" w:fill="auto"/>
            <w:vAlign w:val="center"/>
          </w:tcPr>
          <w:p>
            <w:pPr>
              <w:widowControl/>
              <w:spacing w:line="560" w:lineRule="atLeast"/>
              <w:jc w:val="left"/>
              <w:rPr>
                <w:rFonts w:ascii="仿宋" w:hAnsi="仿宋" w:eastAsia="仿宋" w:cs="仿宋"/>
                <w:sz w:val="32"/>
                <w:szCs w:val="32"/>
              </w:rPr>
            </w:pPr>
            <w:r>
              <w:rPr>
                <w:rFonts w:hint="eastAsia" w:ascii="仿宋" w:hAnsi="仿宋" w:eastAsia="仿宋" w:cs="仿宋"/>
                <w:sz w:val="32"/>
                <w:szCs w:val="32"/>
              </w:rPr>
              <w:t>涞源县供销合作社本级</w:t>
            </w:r>
          </w:p>
        </w:tc>
        <w:tc>
          <w:tcPr>
            <w:tcW w:w="739" w:type="dxa"/>
            <w:shd w:val="clear" w:color="auto" w:fill="auto"/>
            <w:vAlign w:val="center"/>
          </w:tcPr>
          <w:p>
            <w:pPr>
              <w:widowControl/>
              <w:spacing w:line="560" w:lineRule="atLeast"/>
              <w:jc w:val="left"/>
              <w:rPr>
                <w:rFonts w:ascii="仿宋" w:hAnsi="仿宋" w:eastAsia="仿宋" w:cs="仿宋"/>
                <w:sz w:val="32"/>
                <w:szCs w:val="32"/>
              </w:rPr>
            </w:pPr>
            <w:r>
              <w:rPr>
                <w:rFonts w:hint="eastAsia" w:ascii="仿宋" w:hAnsi="仿宋" w:eastAsia="仿宋" w:cs="仿宋"/>
                <w:sz w:val="32"/>
                <w:szCs w:val="32"/>
              </w:rPr>
              <w:t>事业</w:t>
            </w:r>
          </w:p>
        </w:tc>
        <w:tc>
          <w:tcPr>
            <w:tcW w:w="1016" w:type="dxa"/>
            <w:shd w:val="clear" w:color="auto" w:fill="auto"/>
            <w:vAlign w:val="center"/>
          </w:tcPr>
          <w:p>
            <w:pPr>
              <w:widowControl/>
              <w:spacing w:line="560" w:lineRule="atLeast"/>
              <w:jc w:val="left"/>
              <w:rPr>
                <w:rFonts w:ascii="仿宋" w:hAnsi="仿宋" w:eastAsia="仿宋" w:cs="仿宋"/>
                <w:sz w:val="32"/>
                <w:szCs w:val="32"/>
              </w:rPr>
            </w:pPr>
          </w:p>
        </w:tc>
        <w:tc>
          <w:tcPr>
            <w:tcW w:w="1533" w:type="dxa"/>
            <w:shd w:val="clear" w:color="auto" w:fill="auto"/>
            <w:vAlign w:val="center"/>
          </w:tcPr>
          <w:p>
            <w:pPr>
              <w:widowControl/>
              <w:spacing w:line="560" w:lineRule="atLeast"/>
              <w:jc w:val="left"/>
              <w:rPr>
                <w:rFonts w:ascii="仿宋" w:hAnsi="仿宋" w:eastAsia="仿宋" w:cs="仿宋"/>
                <w:sz w:val="32"/>
                <w:szCs w:val="32"/>
              </w:rPr>
            </w:pPr>
            <w:r>
              <w:rPr>
                <w:rFonts w:hint="eastAsia" w:ascii="仿宋" w:hAnsi="仿宋" w:eastAsia="仿宋" w:cs="仿宋"/>
                <w:sz w:val="32"/>
                <w:szCs w:val="32"/>
              </w:rPr>
              <w:t>其他</w:t>
            </w:r>
          </w:p>
        </w:tc>
        <w:tc>
          <w:tcPr>
            <w:tcW w:w="461" w:type="dxa"/>
            <w:shd w:val="clear" w:color="auto" w:fill="auto"/>
            <w:vAlign w:val="center"/>
          </w:tcPr>
          <w:p>
            <w:pPr>
              <w:widowControl/>
              <w:spacing w:line="560" w:lineRule="atLeast"/>
              <w:jc w:val="left"/>
              <w:rPr>
                <w:rFonts w:ascii="仿宋" w:hAnsi="仿宋" w:eastAsia="仿宋" w:cs="仿宋"/>
                <w:sz w:val="32"/>
                <w:szCs w:val="32"/>
              </w:rPr>
            </w:pPr>
          </w:p>
        </w:tc>
        <w:tc>
          <w:tcPr>
            <w:tcW w:w="468" w:type="dxa"/>
            <w:shd w:val="clear" w:color="auto" w:fill="auto"/>
            <w:vAlign w:val="center"/>
          </w:tcPr>
          <w:p>
            <w:pPr>
              <w:widowControl/>
              <w:spacing w:line="560" w:lineRule="atLeast"/>
              <w:jc w:val="left"/>
              <w:rPr>
                <w:rFonts w:ascii="仿宋" w:hAnsi="仿宋" w:eastAsia="仿宋" w:cs="仿宋"/>
                <w:sz w:val="32"/>
                <w:szCs w:val="32"/>
              </w:rPr>
            </w:pPr>
          </w:p>
        </w:tc>
        <w:tc>
          <w:tcPr>
            <w:tcW w:w="455" w:type="dxa"/>
            <w:shd w:val="clear" w:color="auto" w:fill="auto"/>
            <w:vAlign w:val="center"/>
          </w:tcPr>
          <w:p>
            <w:pPr>
              <w:widowControl/>
              <w:spacing w:line="560" w:lineRule="atLeast"/>
              <w:jc w:val="left"/>
              <w:rPr>
                <w:rFonts w:ascii="仿宋" w:hAnsi="仿宋" w:eastAsia="仿宋" w:cs="仿宋"/>
                <w:sz w:val="32"/>
                <w:szCs w:val="32"/>
              </w:rPr>
            </w:pPr>
          </w:p>
        </w:tc>
        <w:tc>
          <w:tcPr>
            <w:tcW w:w="461" w:type="dxa"/>
            <w:shd w:val="clear" w:color="auto" w:fill="auto"/>
            <w:vAlign w:val="center"/>
          </w:tcPr>
          <w:p>
            <w:pPr>
              <w:widowControl/>
              <w:spacing w:line="560" w:lineRule="atLeast"/>
              <w:jc w:val="left"/>
              <w:rPr>
                <w:rFonts w:ascii="仿宋" w:hAnsi="仿宋" w:eastAsia="仿宋" w:cs="仿宋"/>
                <w:sz w:val="32"/>
                <w:szCs w:val="32"/>
              </w:rPr>
            </w:pPr>
          </w:p>
        </w:tc>
        <w:tc>
          <w:tcPr>
            <w:tcW w:w="462" w:type="dxa"/>
            <w:shd w:val="clear" w:color="auto" w:fill="auto"/>
            <w:vAlign w:val="center"/>
          </w:tcPr>
          <w:p>
            <w:pPr>
              <w:widowControl/>
              <w:spacing w:line="560" w:lineRule="atLeast"/>
              <w:jc w:val="left"/>
              <w:rPr>
                <w:rFonts w:ascii="仿宋" w:hAnsi="仿宋" w:eastAsia="仿宋" w:cs="仿宋"/>
                <w:sz w:val="32"/>
                <w:szCs w:val="32"/>
              </w:rPr>
            </w:pPr>
          </w:p>
        </w:tc>
        <w:tc>
          <w:tcPr>
            <w:tcW w:w="461" w:type="dxa"/>
            <w:shd w:val="clear" w:color="auto" w:fill="auto"/>
            <w:vAlign w:val="center"/>
          </w:tcPr>
          <w:p>
            <w:pPr>
              <w:widowControl/>
              <w:spacing w:line="560" w:lineRule="atLeast"/>
              <w:jc w:val="left"/>
              <w:rPr>
                <w:rFonts w:ascii="仿宋" w:hAnsi="仿宋" w:eastAsia="仿宋" w:cs="仿宋"/>
                <w:sz w:val="32"/>
                <w:szCs w:val="32"/>
              </w:rPr>
            </w:pPr>
          </w:p>
        </w:tc>
        <w:tc>
          <w:tcPr>
            <w:tcW w:w="461" w:type="dxa"/>
            <w:shd w:val="clear" w:color="auto" w:fill="auto"/>
            <w:vAlign w:val="center"/>
          </w:tcPr>
          <w:p>
            <w:pPr>
              <w:widowControl/>
              <w:spacing w:line="560" w:lineRule="atLeast"/>
              <w:jc w:val="left"/>
              <w:rPr>
                <w:rFonts w:ascii="仿宋" w:hAnsi="仿宋" w:eastAsia="仿宋" w:cs="仿宋"/>
                <w:sz w:val="32"/>
                <w:szCs w:val="32"/>
              </w:rPr>
            </w:pPr>
          </w:p>
        </w:tc>
        <w:tc>
          <w:tcPr>
            <w:tcW w:w="473" w:type="dxa"/>
            <w:shd w:val="clear" w:color="auto" w:fill="auto"/>
            <w:vAlign w:val="center"/>
          </w:tcPr>
          <w:p>
            <w:pPr>
              <w:widowControl/>
              <w:spacing w:line="560" w:lineRule="atLeast"/>
              <w:jc w:val="left"/>
              <w:rPr>
                <w:rFonts w:ascii="仿宋" w:hAnsi="仿宋" w:eastAsia="仿宋" w:cs="仿宋"/>
                <w:sz w:val="32"/>
                <w:szCs w:val="32"/>
              </w:rPr>
            </w:pPr>
          </w:p>
        </w:tc>
      </w:tr>
    </w:tbl>
    <w:p>
      <w:pPr>
        <w:rPr>
          <w:rFonts w:ascii="仿宋" w:hAnsi="仿宋" w:eastAsia="仿宋" w:cs="仿宋"/>
          <w:sz w:val="32"/>
          <w:szCs w:val="32"/>
        </w:rPr>
      </w:pPr>
    </w:p>
    <w:p>
      <w:pPr>
        <w:ind w:firstLine="2570" w:firstLineChars="800"/>
        <w:rPr>
          <w:rFonts w:ascii="仿宋" w:hAnsi="仿宋" w:eastAsia="仿宋" w:cs="仿宋"/>
          <w:b/>
          <w:sz w:val="32"/>
          <w:szCs w:val="32"/>
        </w:rPr>
      </w:pPr>
    </w:p>
    <w:p>
      <w:pPr>
        <w:ind w:firstLine="2570" w:firstLineChars="800"/>
        <w:rPr>
          <w:rFonts w:ascii="仿宋" w:hAnsi="仿宋" w:eastAsia="仿宋" w:cs="仿宋"/>
          <w:sz w:val="32"/>
          <w:szCs w:val="32"/>
        </w:rPr>
      </w:pPr>
      <w:r>
        <w:rPr>
          <w:rFonts w:hint="eastAsia" w:ascii="仿宋" w:hAnsi="仿宋" w:eastAsia="仿宋" w:cs="仿宋"/>
          <w:b/>
          <w:sz w:val="32"/>
          <w:szCs w:val="32"/>
        </w:rPr>
        <w:t>第二部分 预算安排的总体情况</w:t>
      </w:r>
    </w:p>
    <w:p>
      <w:pPr>
        <w:widowControl/>
        <w:spacing w:line="560" w:lineRule="atLeast"/>
        <w:jc w:val="left"/>
        <w:rPr>
          <w:rFonts w:ascii="仿宋" w:hAnsi="仿宋" w:eastAsia="仿宋" w:cs="仿宋"/>
          <w:sz w:val="32"/>
          <w:szCs w:val="32"/>
        </w:rPr>
      </w:pPr>
      <w:r>
        <w:rPr>
          <w:rFonts w:hint="eastAsia" w:ascii="仿宋" w:hAnsi="仿宋" w:eastAsia="仿宋" w:cs="仿宋"/>
          <w:sz w:val="32"/>
          <w:szCs w:val="32"/>
        </w:rPr>
        <w:t xml:space="preserve">  （一）收入说明  </w:t>
      </w:r>
    </w:p>
    <w:p>
      <w:pPr>
        <w:widowControl/>
        <w:spacing w:line="560" w:lineRule="atLeast"/>
        <w:ind w:firstLine="640"/>
        <w:jc w:val="left"/>
        <w:rPr>
          <w:rFonts w:ascii="仿宋" w:hAnsi="仿宋" w:eastAsia="仿宋" w:cs="仿宋"/>
          <w:color w:val="111111"/>
          <w:kern w:val="0"/>
          <w:sz w:val="32"/>
          <w:szCs w:val="32"/>
        </w:rPr>
      </w:pPr>
      <w:r>
        <w:rPr>
          <w:rFonts w:hint="eastAsia" w:ascii="仿宋" w:hAnsi="仿宋" w:eastAsia="仿宋" w:cs="仿宋"/>
          <w:color w:val="111111"/>
          <w:kern w:val="0"/>
          <w:sz w:val="32"/>
          <w:szCs w:val="32"/>
        </w:rPr>
        <w:t>2021年涞源县供销合作社部门收入预算总额379.29万元。</w:t>
      </w:r>
    </w:p>
    <w:p>
      <w:pPr>
        <w:widowControl/>
        <w:spacing w:line="560" w:lineRule="atLeast"/>
        <w:ind w:firstLine="1280" w:firstLineChars="400"/>
        <w:rPr>
          <w:rFonts w:ascii="仿宋" w:hAnsi="仿宋" w:eastAsia="仿宋" w:cs="仿宋"/>
          <w:color w:val="111111"/>
          <w:kern w:val="0"/>
          <w:sz w:val="32"/>
          <w:szCs w:val="32"/>
        </w:rPr>
      </w:pPr>
      <w:r>
        <w:rPr>
          <w:rFonts w:hint="eastAsia" w:ascii="仿宋" w:hAnsi="仿宋" w:eastAsia="仿宋" w:cs="仿宋"/>
          <w:color w:val="111111"/>
          <w:kern w:val="0"/>
          <w:sz w:val="32"/>
          <w:szCs w:val="32"/>
        </w:rPr>
        <w:t>其中：一般公共预算收入379.29万元</w:t>
      </w:r>
    </w:p>
    <w:p>
      <w:pPr>
        <w:widowControl/>
        <w:spacing w:line="560" w:lineRule="atLeast"/>
        <w:ind w:firstLine="1920" w:firstLineChars="600"/>
        <w:rPr>
          <w:rFonts w:ascii="仿宋" w:hAnsi="仿宋" w:eastAsia="仿宋" w:cs="仿宋"/>
          <w:color w:val="111111"/>
          <w:kern w:val="0"/>
          <w:sz w:val="32"/>
          <w:szCs w:val="32"/>
        </w:rPr>
      </w:pPr>
      <w:r>
        <w:rPr>
          <w:rFonts w:hint="eastAsia" w:ascii="仿宋" w:hAnsi="仿宋" w:eastAsia="仿宋" w:cs="仿宋"/>
          <w:color w:val="111111"/>
          <w:kern w:val="0"/>
          <w:sz w:val="32"/>
          <w:szCs w:val="32"/>
        </w:rPr>
        <w:t>其中：财政拨款379.29万元</w:t>
      </w:r>
    </w:p>
    <w:p>
      <w:pPr>
        <w:widowControl/>
        <w:spacing w:line="560" w:lineRule="atLeast"/>
        <w:rPr>
          <w:rFonts w:ascii="仿宋" w:hAnsi="仿宋" w:eastAsia="仿宋" w:cs="仿宋"/>
          <w:color w:val="111111"/>
          <w:kern w:val="0"/>
          <w:sz w:val="32"/>
          <w:szCs w:val="32"/>
        </w:rPr>
      </w:pPr>
      <w:r>
        <w:rPr>
          <w:rFonts w:hint="eastAsia" w:ascii="仿宋" w:hAnsi="仿宋" w:eastAsia="仿宋" w:cs="仿宋"/>
          <w:color w:val="111111"/>
          <w:kern w:val="0"/>
          <w:sz w:val="32"/>
          <w:szCs w:val="32"/>
        </w:rPr>
        <w:t xml:space="preserve">（二）支出说明 </w:t>
      </w:r>
    </w:p>
    <w:p>
      <w:pPr>
        <w:widowControl/>
        <w:spacing w:line="560" w:lineRule="atLeast"/>
        <w:ind w:firstLine="640"/>
        <w:jc w:val="left"/>
        <w:rPr>
          <w:rFonts w:ascii="仿宋" w:hAnsi="仿宋" w:eastAsia="仿宋" w:cs="仿宋"/>
          <w:color w:val="111111"/>
          <w:kern w:val="0"/>
          <w:sz w:val="32"/>
          <w:szCs w:val="32"/>
        </w:rPr>
      </w:pPr>
      <w:r>
        <w:rPr>
          <w:rFonts w:hint="eastAsia" w:ascii="仿宋" w:hAnsi="仿宋" w:eastAsia="仿宋" w:cs="仿宋"/>
          <w:sz w:val="32"/>
          <w:szCs w:val="32"/>
        </w:rPr>
        <w:t>2021年部门支出安排预算总额</w:t>
      </w:r>
      <w:r>
        <w:rPr>
          <w:rFonts w:hint="eastAsia" w:ascii="仿宋" w:hAnsi="仿宋" w:eastAsia="仿宋" w:cs="仿宋"/>
          <w:color w:val="111111"/>
          <w:kern w:val="0"/>
          <w:sz w:val="32"/>
          <w:szCs w:val="32"/>
        </w:rPr>
        <w:t>379.29万元。</w:t>
      </w:r>
    </w:p>
    <w:p>
      <w:pPr>
        <w:widowControl/>
        <w:spacing w:line="560" w:lineRule="atLeast"/>
        <w:ind w:firstLine="640"/>
        <w:jc w:val="left"/>
        <w:rPr>
          <w:rFonts w:ascii="仿宋" w:hAnsi="仿宋" w:eastAsia="仿宋" w:cs="仿宋"/>
          <w:color w:val="111111"/>
          <w:kern w:val="0"/>
          <w:sz w:val="32"/>
          <w:szCs w:val="32"/>
        </w:rPr>
      </w:pPr>
      <w:r>
        <w:rPr>
          <w:rFonts w:hint="eastAsia" w:ascii="仿宋" w:hAnsi="仿宋" w:eastAsia="仿宋" w:cs="仿宋"/>
          <w:sz w:val="32"/>
          <w:szCs w:val="32"/>
        </w:rPr>
        <w:t>基本支出197.67</w:t>
      </w:r>
      <w:r>
        <w:rPr>
          <w:rFonts w:hint="eastAsia" w:ascii="仿宋" w:hAnsi="仿宋" w:eastAsia="仿宋" w:cs="仿宋"/>
          <w:color w:val="111111"/>
          <w:kern w:val="0"/>
          <w:sz w:val="32"/>
          <w:szCs w:val="32"/>
        </w:rPr>
        <w:t>万元</w:t>
      </w:r>
    </w:p>
    <w:p>
      <w:pPr>
        <w:widowControl/>
        <w:spacing w:line="560" w:lineRule="atLeast"/>
        <w:ind w:firstLine="1280" w:firstLineChars="400"/>
        <w:jc w:val="left"/>
        <w:rPr>
          <w:rFonts w:ascii="仿宋" w:hAnsi="仿宋" w:eastAsia="仿宋" w:cs="仿宋"/>
          <w:color w:val="111111"/>
          <w:kern w:val="0"/>
          <w:sz w:val="32"/>
          <w:szCs w:val="32"/>
        </w:rPr>
      </w:pPr>
      <w:r>
        <w:rPr>
          <w:rFonts w:hint="eastAsia" w:ascii="仿宋" w:hAnsi="仿宋" w:eastAsia="仿宋" w:cs="仿宋"/>
          <w:color w:val="111111"/>
          <w:kern w:val="0"/>
          <w:sz w:val="32"/>
          <w:szCs w:val="32"/>
        </w:rPr>
        <w:t>其中：人员经费支出182.67万元</w:t>
      </w:r>
    </w:p>
    <w:p>
      <w:pPr>
        <w:widowControl/>
        <w:spacing w:line="560" w:lineRule="atLeast"/>
        <w:ind w:firstLine="2240" w:firstLineChars="700"/>
        <w:jc w:val="left"/>
        <w:rPr>
          <w:rFonts w:ascii="仿宋" w:hAnsi="仿宋" w:eastAsia="仿宋" w:cs="仿宋"/>
          <w:color w:val="111111"/>
          <w:kern w:val="0"/>
          <w:sz w:val="32"/>
          <w:szCs w:val="32"/>
        </w:rPr>
      </w:pPr>
      <w:r>
        <w:rPr>
          <w:rFonts w:hint="eastAsia" w:ascii="仿宋" w:hAnsi="仿宋" w:eastAsia="仿宋" w:cs="仿宋"/>
          <w:color w:val="111111"/>
          <w:kern w:val="0"/>
          <w:sz w:val="32"/>
          <w:szCs w:val="32"/>
        </w:rPr>
        <w:t>日常公用经费支出</w:t>
      </w:r>
      <w:r>
        <w:rPr>
          <w:rFonts w:hint="eastAsia" w:ascii="仿宋" w:hAnsi="仿宋" w:eastAsia="仿宋" w:cs="仿宋"/>
          <w:sz w:val="32"/>
          <w:szCs w:val="32"/>
        </w:rPr>
        <w:t>15</w:t>
      </w:r>
      <w:r>
        <w:rPr>
          <w:rFonts w:hint="eastAsia" w:ascii="仿宋" w:hAnsi="仿宋" w:eastAsia="仿宋" w:cs="仿宋"/>
          <w:color w:val="111111"/>
          <w:kern w:val="0"/>
          <w:sz w:val="32"/>
          <w:szCs w:val="32"/>
        </w:rPr>
        <w:t>万元</w:t>
      </w:r>
    </w:p>
    <w:p>
      <w:pPr>
        <w:widowControl/>
        <w:spacing w:line="560" w:lineRule="atLeast"/>
        <w:ind w:firstLine="640" w:firstLineChars="200"/>
        <w:jc w:val="left"/>
        <w:rPr>
          <w:rFonts w:ascii="仿宋" w:hAnsi="仿宋" w:eastAsia="仿宋" w:cs="仿宋"/>
          <w:color w:val="111111"/>
          <w:kern w:val="0"/>
          <w:sz w:val="32"/>
          <w:szCs w:val="32"/>
        </w:rPr>
      </w:pPr>
      <w:r>
        <w:rPr>
          <w:rFonts w:hint="eastAsia" w:ascii="仿宋" w:hAnsi="仿宋" w:eastAsia="仿宋" w:cs="仿宋"/>
          <w:color w:val="111111"/>
          <w:kern w:val="0"/>
          <w:sz w:val="32"/>
          <w:szCs w:val="32"/>
        </w:rPr>
        <w:t>项目支出181.62万元</w:t>
      </w:r>
    </w:p>
    <w:p>
      <w:pPr>
        <w:widowControl/>
        <w:spacing w:line="560" w:lineRule="atLeast"/>
        <w:ind w:firstLine="1280" w:firstLineChars="400"/>
        <w:jc w:val="left"/>
        <w:rPr>
          <w:rFonts w:ascii="仿宋" w:hAnsi="仿宋" w:eastAsia="仿宋" w:cs="仿宋"/>
          <w:color w:val="111111"/>
          <w:kern w:val="0"/>
          <w:sz w:val="32"/>
          <w:szCs w:val="32"/>
        </w:rPr>
      </w:pPr>
      <w:r>
        <w:rPr>
          <w:rFonts w:hint="eastAsia" w:ascii="仿宋" w:hAnsi="仿宋" w:eastAsia="仿宋" w:cs="仿宋"/>
          <w:color w:val="111111"/>
          <w:kern w:val="0"/>
          <w:sz w:val="32"/>
          <w:szCs w:val="32"/>
        </w:rPr>
        <w:t>其中：本级支出181.62万元</w:t>
      </w:r>
    </w:p>
    <w:p>
      <w:pPr>
        <w:widowControl/>
        <w:spacing w:line="560" w:lineRule="atLeast"/>
        <w:ind w:firstLine="640" w:firstLineChars="200"/>
        <w:jc w:val="left"/>
        <w:rPr>
          <w:rFonts w:ascii="仿宋" w:hAnsi="仿宋" w:eastAsia="仿宋" w:cs="仿宋"/>
          <w:sz w:val="32"/>
          <w:szCs w:val="32"/>
        </w:rPr>
      </w:pPr>
      <w:r>
        <w:rPr>
          <w:rFonts w:hint="eastAsia" w:ascii="仿宋" w:hAnsi="仿宋" w:eastAsia="仿宋" w:cs="仿宋"/>
          <w:color w:val="111111"/>
          <w:kern w:val="0"/>
          <w:sz w:val="32"/>
          <w:szCs w:val="32"/>
        </w:rPr>
        <w:t>（三）</w:t>
      </w:r>
      <w:r>
        <w:rPr>
          <w:rFonts w:hint="eastAsia" w:ascii="仿宋" w:hAnsi="仿宋" w:eastAsia="仿宋" w:cs="仿宋"/>
          <w:sz w:val="32"/>
          <w:szCs w:val="32"/>
        </w:rPr>
        <w:t>比上年增减情况</w:t>
      </w:r>
    </w:p>
    <w:p>
      <w:pPr>
        <w:spacing w:line="520" w:lineRule="exact"/>
        <w:ind w:left="160" w:leftChars="76" w:firstLine="640" w:firstLineChars="200"/>
        <w:rPr>
          <w:rFonts w:ascii="仿宋" w:hAnsi="仿宋" w:eastAsia="仿宋" w:cs="仿宋"/>
          <w:color w:val="111111"/>
          <w:kern w:val="0"/>
          <w:sz w:val="32"/>
          <w:szCs w:val="32"/>
        </w:rPr>
      </w:pPr>
      <w:r>
        <w:rPr>
          <w:rFonts w:hint="eastAsia" w:ascii="仿宋" w:hAnsi="仿宋" w:eastAsia="仿宋" w:cs="仿宋"/>
          <w:sz w:val="32"/>
          <w:szCs w:val="32"/>
        </w:rPr>
        <w:t>本年度预算收支安排379.29万元，较上年增加182.88万元。</w:t>
      </w:r>
      <w:r>
        <w:rPr>
          <w:rFonts w:hint="eastAsia" w:ascii="仿宋" w:hAnsi="仿宋" w:eastAsia="仿宋" w:cs="仿宋"/>
          <w:color w:val="111111"/>
          <w:kern w:val="0"/>
          <w:sz w:val="32"/>
          <w:szCs w:val="32"/>
        </w:rPr>
        <w:t>本年度增加的主要原因：一是工资正常增长，相应增加收支；二是本年度较去年相比增加项目支出166.62万元，主要是烟花爆竹清零给予企业的退货损失补助支出。</w:t>
      </w:r>
    </w:p>
    <w:p/>
    <w:p>
      <w:pPr>
        <w:tabs>
          <w:tab w:val="left" w:pos="3186"/>
        </w:tabs>
        <w:jc w:val="center"/>
        <w:rPr>
          <w:rFonts w:ascii="仿宋" w:hAnsi="仿宋" w:eastAsia="仿宋" w:cs="仿宋"/>
          <w:b/>
          <w:sz w:val="32"/>
          <w:szCs w:val="32"/>
        </w:rPr>
      </w:pPr>
      <w:r>
        <w:rPr>
          <w:rFonts w:hint="eastAsia" w:ascii="仿宋" w:hAnsi="仿宋" w:eastAsia="仿宋" w:cs="仿宋"/>
          <w:b/>
          <w:sz w:val="32"/>
          <w:szCs w:val="32"/>
        </w:rPr>
        <w:t>第三部分：机关运行经费安排情况</w:t>
      </w:r>
    </w:p>
    <w:p>
      <w:pPr>
        <w:spacing w:line="520" w:lineRule="exact"/>
        <w:jc w:val="center"/>
        <w:outlineLvl w:val="0"/>
        <w:rPr>
          <w:rFonts w:ascii="仿宋" w:hAnsi="仿宋" w:eastAsia="仿宋" w:cs="仿宋"/>
          <w:b/>
          <w:sz w:val="32"/>
          <w:szCs w:val="32"/>
        </w:rPr>
      </w:pPr>
    </w:p>
    <w:p>
      <w:pPr>
        <w:widowControl/>
        <w:spacing w:line="5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我单位机关运行经费安排15万元。其中：办公费4万元、水费0.4万元、电费1万元、差旅费2万元、招待费2万元、培训费1万元、邮电费0.60万元、取暖费2万元、其他交通费2万元。</w:t>
      </w:r>
    </w:p>
    <w:p>
      <w:pPr>
        <w:widowControl/>
        <w:spacing w:line="560" w:lineRule="atLeast"/>
        <w:jc w:val="left"/>
        <w:rPr>
          <w:rFonts w:ascii="仿宋" w:hAnsi="仿宋" w:eastAsia="仿宋" w:cs="仿宋"/>
          <w:sz w:val="32"/>
          <w:szCs w:val="32"/>
        </w:rPr>
      </w:pPr>
    </w:p>
    <w:p>
      <w:pPr>
        <w:spacing w:line="520" w:lineRule="exact"/>
        <w:jc w:val="center"/>
        <w:outlineLvl w:val="0"/>
        <w:rPr>
          <w:rFonts w:ascii="仿宋" w:hAnsi="仿宋" w:eastAsia="仿宋" w:cs="仿宋"/>
          <w:b/>
          <w:sz w:val="32"/>
          <w:szCs w:val="32"/>
        </w:rPr>
      </w:pPr>
      <w:r>
        <w:rPr>
          <w:rFonts w:hint="eastAsia" w:ascii="仿宋" w:hAnsi="仿宋" w:eastAsia="仿宋" w:cs="仿宋"/>
          <w:b/>
          <w:sz w:val="32"/>
          <w:szCs w:val="32"/>
        </w:rPr>
        <w:t>第四部分：财政拨款“三公”经费预算情况及增减变化原因</w:t>
      </w:r>
    </w:p>
    <w:tbl>
      <w:tblPr>
        <w:tblStyle w:val="3"/>
        <w:tblW w:w="9515" w:type="dxa"/>
        <w:tblInd w:w="0" w:type="dxa"/>
        <w:tblLayout w:type="fixed"/>
        <w:tblCellMar>
          <w:top w:w="0" w:type="dxa"/>
          <w:left w:w="108" w:type="dxa"/>
          <w:bottom w:w="0" w:type="dxa"/>
          <w:right w:w="108" w:type="dxa"/>
        </w:tblCellMar>
      </w:tblPr>
      <w:tblGrid>
        <w:gridCol w:w="2136"/>
        <w:gridCol w:w="1716"/>
        <w:gridCol w:w="1716"/>
        <w:gridCol w:w="1176"/>
        <w:gridCol w:w="2771"/>
      </w:tblGrid>
      <w:tr>
        <w:tblPrEx>
          <w:tblCellMar>
            <w:top w:w="0" w:type="dxa"/>
            <w:left w:w="108" w:type="dxa"/>
            <w:bottom w:w="0" w:type="dxa"/>
            <w:right w:w="108" w:type="dxa"/>
          </w:tblCellMar>
        </w:tblPrEx>
        <w:trPr>
          <w:trHeight w:val="405" w:hRule="atLeast"/>
        </w:trPr>
        <w:tc>
          <w:tcPr>
            <w:tcW w:w="9515" w:type="dxa"/>
            <w:gridSpan w:val="5"/>
            <w:tcBorders>
              <w:top w:val="nil"/>
              <w:left w:val="nil"/>
              <w:bottom w:val="nil"/>
              <w:right w:val="nil"/>
            </w:tcBorders>
            <w:vAlign w:val="center"/>
          </w:tcPr>
          <w:p>
            <w:pPr>
              <w:widowControl/>
              <w:spacing w:line="520" w:lineRule="exact"/>
              <w:jc w:val="center"/>
              <w:rPr>
                <w:rFonts w:ascii="仿宋" w:hAnsi="仿宋" w:eastAsia="仿宋" w:cs="仿宋"/>
                <w:b/>
                <w:kern w:val="0"/>
                <w:sz w:val="32"/>
                <w:szCs w:val="32"/>
              </w:rPr>
            </w:pPr>
            <w:r>
              <w:rPr>
                <w:rFonts w:hint="eastAsia" w:ascii="仿宋" w:hAnsi="仿宋" w:eastAsia="仿宋" w:cs="仿宋"/>
                <w:b/>
                <w:sz w:val="32"/>
                <w:szCs w:val="32"/>
              </w:rPr>
              <w:t>“三公”经费预算情况及增减变化原因</w:t>
            </w:r>
          </w:p>
        </w:tc>
      </w:tr>
      <w:tr>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pPr>
              <w:widowControl/>
              <w:jc w:val="left"/>
              <w:rPr>
                <w:rFonts w:ascii="仿宋" w:hAnsi="仿宋" w:eastAsia="仿宋" w:cs="仿宋"/>
                <w:kern w:val="0"/>
                <w:sz w:val="32"/>
                <w:szCs w:val="32"/>
              </w:rPr>
            </w:pPr>
          </w:p>
        </w:tc>
        <w:tc>
          <w:tcPr>
            <w:tcW w:w="1716" w:type="dxa"/>
            <w:tcBorders>
              <w:top w:val="nil"/>
              <w:left w:val="nil"/>
              <w:bottom w:val="nil"/>
              <w:right w:val="nil"/>
            </w:tcBorders>
            <w:vAlign w:val="center"/>
          </w:tcPr>
          <w:p>
            <w:pPr>
              <w:widowControl/>
              <w:jc w:val="left"/>
              <w:rPr>
                <w:rFonts w:ascii="仿宋" w:hAnsi="仿宋" w:eastAsia="仿宋" w:cs="仿宋"/>
                <w:kern w:val="0"/>
                <w:sz w:val="32"/>
                <w:szCs w:val="32"/>
              </w:rPr>
            </w:pPr>
          </w:p>
        </w:tc>
        <w:tc>
          <w:tcPr>
            <w:tcW w:w="1716" w:type="dxa"/>
            <w:tcBorders>
              <w:top w:val="nil"/>
              <w:left w:val="nil"/>
              <w:bottom w:val="nil"/>
              <w:right w:val="nil"/>
            </w:tcBorders>
            <w:vAlign w:val="center"/>
          </w:tcPr>
          <w:p>
            <w:pPr>
              <w:widowControl/>
              <w:jc w:val="left"/>
              <w:rPr>
                <w:rFonts w:ascii="仿宋" w:hAnsi="仿宋" w:eastAsia="仿宋" w:cs="仿宋"/>
                <w:kern w:val="0"/>
                <w:sz w:val="32"/>
                <w:szCs w:val="32"/>
              </w:rPr>
            </w:pPr>
          </w:p>
        </w:tc>
        <w:tc>
          <w:tcPr>
            <w:tcW w:w="1176" w:type="dxa"/>
            <w:tcBorders>
              <w:top w:val="nil"/>
              <w:left w:val="nil"/>
              <w:bottom w:val="nil"/>
              <w:right w:val="nil"/>
            </w:tcBorders>
            <w:vAlign w:val="center"/>
          </w:tcPr>
          <w:p>
            <w:pPr>
              <w:widowControl/>
              <w:jc w:val="left"/>
              <w:rPr>
                <w:rFonts w:ascii="仿宋" w:hAnsi="仿宋" w:eastAsia="仿宋" w:cs="仿宋"/>
                <w:kern w:val="0"/>
                <w:sz w:val="32"/>
                <w:szCs w:val="32"/>
              </w:rPr>
            </w:pPr>
          </w:p>
        </w:tc>
        <w:tc>
          <w:tcPr>
            <w:tcW w:w="2771" w:type="dxa"/>
            <w:tcBorders>
              <w:top w:val="nil"/>
              <w:left w:val="nil"/>
              <w:bottom w:val="nil"/>
              <w:right w:val="nil"/>
            </w:tcBorders>
            <w:vAlign w:val="center"/>
          </w:tcPr>
          <w:p>
            <w:pPr>
              <w:widowControl/>
              <w:jc w:val="right"/>
              <w:rPr>
                <w:rFonts w:ascii="仿宋" w:hAnsi="仿宋" w:eastAsia="仿宋" w:cs="仿宋"/>
                <w:kern w:val="0"/>
                <w:sz w:val="32"/>
                <w:szCs w:val="32"/>
              </w:rPr>
            </w:pPr>
            <w:r>
              <w:rPr>
                <w:rFonts w:hint="eastAsia" w:ascii="仿宋" w:hAnsi="仿宋" w:eastAsia="仿宋" w:cs="仿宋"/>
                <w:kern w:val="0"/>
                <w:sz w:val="32"/>
                <w:szCs w:val="32"/>
              </w:rPr>
              <w:t>单位：万元</w:t>
            </w:r>
          </w:p>
        </w:tc>
      </w:tr>
      <w:tr>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项目名称</w:t>
            </w:r>
          </w:p>
        </w:tc>
        <w:tc>
          <w:tcPr>
            <w:tcW w:w="171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2020年度预算</w:t>
            </w:r>
          </w:p>
        </w:tc>
        <w:tc>
          <w:tcPr>
            <w:tcW w:w="171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2021年度预算</w:t>
            </w:r>
          </w:p>
        </w:tc>
        <w:tc>
          <w:tcPr>
            <w:tcW w:w="117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增减金额</w:t>
            </w:r>
          </w:p>
        </w:tc>
        <w:tc>
          <w:tcPr>
            <w:tcW w:w="277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变化原因</w:t>
            </w:r>
          </w:p>
        </w:tc>
      </w:tr>
      <w:tr>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因公出国经费</w:t>
            </w:r>
          </w:p>
        </w:tc>
        <w:tc>
          <w:tcPr>
            <w:tcW w:w="171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0</w:t>
            </w:r>
          </w:p>
        </w:tc>
        <w:tc>
          <w:tcPr>
            <w:tcW w:w="171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0</w:t>
            </w:r>
          </w:p>
        </w:tc>
        <w:tc>
          <w:tcPr>
            <w:tcW w:w="117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0</w:t>
            </w:r>
          </w:p>
        </w:tc>
        <w:tc>
          <w:tcPr>
            <w:tcW w:w="2771"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32"/>
                <w:szCs w:val="32"/>
              </w:rPr>
            </w:pPr>
            <w:r>
              <w:rPr>
                <w:rFonts w:hint="eastAsia" w:ascii="仿宋" w:hAnsi="仿宋" w:eastAsia="仿宋" w:cs="仿宋"/>
                <w:kern w:val="0"/>
                <w:sz w:val="32"/>
                <w:szCs w:val="32"/>
              </w:rPr>
              <w:t>无增减变化</w:t>
            </w:r>
          </w:p>
        </w:tc>
      </w:tr>
      <w:tr>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公务用车购置经费</w:t>
            </w:r>
          </w:p>
        </w:tc>
        <w:tc>
          <w:tcPr>
            <w:tcW w:w="171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0</w:t>
            </w:r>
          </w:p>
        </w:tc>
        <w:tc>
          <w:tcPr>
            <w:tcW w:w="171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0</w:t>
            </w:r>
          </w:p>
        </w:tc>
        <w:tc>
          <w:tcPr>
            <w:tcW w:w="117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0</w:t>
            </w:r>
          </w:p>
        </w:tc>
        <w:tc>
          <w:tcPr>
            <w:tcW w:w="2771"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32"/>
                <w:szCs w:val="32"/>
              </w:rPr>
            </w:pPr>
            <w:r>
              <w:rPr>
                <w:rFonts w:hint="eastAsia" w:ascii="仿宋" w:hAnsi="仿宋" w:eastAsia="仿宋" w:cs="仿宋"/>
                <w:kern w:val="0"/>
                <w:sz w:val="32"/>
                <w:szCs w:val="32"/>
              </w:rPr>
              <w:t>无增减变化</w:t>
            </w:r>
          </w:p>
        </w:tc>
      </w:tr>
      <w:tr>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公务用车运行经费</w:t>
            </w:r>
          </w:p>
        </w:tc>
        <w:tc>
          <w:tcPr>
            <w:tcW w:w="171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0</w:t>
            </w:r>
          </w:p>
        </w:tc>
        <w:tc>
          <w:tcPr>
            <w:tcW w:w="171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0</w:t>
            </w:r>
          </w:p>
        </w:tc>
        <w:tc>
          <w:tcPr>
            <w:tcW w:w="117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0</w:t>
            </w:r>
          </w:p>
        </w:tc>
        <w:tc>
          <w:tcPr>
            <w:tcW w:w="2771"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32"/>
                <w:szCs w:val="32"/>
              </w:rPr>
            </w:pPr>
            <w:r>
              <w:rPr>
                <w:rFonts w:hint="eastAsia" w:ascii="仿宋" w:hAnsi="仿宋" w:eastAsia="仿宋" w:cs="仿宋"/>
                <w:kern w:val="0"/>
                <w:sz w:val="32"/>
                <w:szCs w:val="32"/>
              </w:rPr>
              <w:t>无增减变化</w:t>
            </w:r>
          </w:p>
        </w:tc>
      </w:tr>
      <w:tr>
        <w:tblPrEx>
          <w:tblCellMar>
            <w:top w:w="0" w:type="dxa"/>
            <w:left w:w="108" w:type="dxa"/>
            <w:bottom w:w="0" w:type="dxa"/>
            <w:right w:w="108" w:type="dxa"/>
          </w:tblCellMar>
        </w:tblPrEx>
        <w:trPr>
          <w:trHeight w:val="196"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公务接待费支出</w:t>
            </w:r>
          </w:p>
        </w:tc>
        <w:tc>
          <w:tcPr>
            <w:tcW w:w="171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2</w:t>
            </w:r>
          </w:p>
        </w:tc>
        <w:tc>
          <w:tcPr>
            <w:tcW w:w="171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2</w:t>
            </w:r>
          </w:p>
        </w:tc>
        <w:tc>
          <w:tcPr>
            <w:tcW w:w="117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0</w:t>
            </w:r>
          </w:p>
        </w:tc>
        <w:tc>
          <w:tcPr>
            <w:tcW w:w="2771"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32"/>
                <w:szCs w:val="32"/>
              </w:rPr>
            </w:pPr>
            <w:r>
              <w:rPr>
                <w:rFonts w:hint="eastAsia" w:ascii="仿宋" w:hAnsi="仿宋" w:eastAsia="仿宋" w:cs="仿宋"/>
                <w:kern w:val="0"/>
                <w:sz w:val="32"/>
                <w:szCs w:val="32"/>
              </w:rPr>
              <w:t>无增减变化</w:t>
            </w:r>
          </w:p>
        </w:tc>
      </w:tr>
      <w:tr>
        <w:tblPrEx>
          <w:tblCellMar>
            <w:top w:w="0" w:type="dxa"/>
            <w:left w:w="108" w:type="dxa"/>
            <w:bottom w:w="0" w:type="dxa"/>
            <w:right w:w="108" w:type="dxa"/>
          </w:tblCellMar>
        </w:tblPrEx>
        <w:trPr>
          <w:trHeight w:val="342"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会议费</w:t>
            </w:r>
          </w:p>
        </w:tc>
        <w:tc>
          <w:tcPr>
            <w:tcW w:w="171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p>
        </w:tc>
        <w:tc>
          <w:tcPr>
            <w:tcW w:w="171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p>
        </w:tc>
        <w:tc>
          <w:tcPr>
            <w:tcW w:w="117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p>
        </w:tc>
        <w:tc>
          <w:tcPr>
            <w:tcW w:w="2771"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32"/>
                <w:szCs w:val="32"/>
              </w:rPr>
            </w:pPr>
            <w:r>
              <w:rPr>
                <w:rFonts w:hint="eastAsia" w:ascii="仿宋" w:hAnsi="仿宋" w:eastAsia="仿宋" w:cs="仿宋"/>
                <w:kern w:val="0"/>
                <w:sz w:val="32"/>
                <w:szCs w:val="32"/>
              </w:rPr>
              <w:t>无增减变化</w:t>
            </w:r>
          </w:p>
        </w:tc>
      </w:tr>
      <w:tr>
        <w:tblPrEx>
          <w:tblCellMar>
            <w:top w:w="0" w:type="dxa"/>
            <w:left w:w="108" w:type="dxa"/>
            <w:bottom w:w="0" w:type="dxa"/>
            <w:right w:w="108" w:type="dxa"/>
          </w:tblCellMar>
        </w:tblPrEx>
        <w:trPr>
          <w:trHeight w:val="342"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培训费</w:t>
            </w:r>
          </w:p>
        </w:tc>
        <w:tc>
          <w:tcPr>
            <w:tcW w:w="171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1</w:t>
            </w:r>
          </w:p>
        </w:tc>
        <w:tc>
          <w:tcPr>
            <w:tcW w:w="171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1</w:t>
            </w:r>
          </w:p>
        </w:tc>
        <w:tc>
          <w:tcPr>
            <w:tcW w:w="117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p>
        </w:tc>
        <w:tc>
          <w:tcPr>
            <w:tcW w:w="2771"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32"/>
                <w:szCs w:val="32"/>
              </w:rPr>
            </w:pPr>
            <w:r>
              <w:rPr>
                <w:rFonts w:hint="eastAsia" w:ascii="仿宋" w:hAnsi="仿宋" w:eastAsia="仿宋" w:cs="仿宋"/>
                <w:kern w:val="0"/>
                <w:sz w:val="32"/>
                <w:szCs w:val="32"/>
              </w:rPr>
              <w:t>无增减变化</w:t>
            </w:r>
          </w:p>
        </w:tc>
      </w:tr>
      <w:tr>
        <w:tblPrEx>
          <w:tblCellMar>
            <w:top w:w="0" w:type="dxa"/>
            <w:left w:w="108" w:type="dxa"/>
            <w:bottom w:w="0" w:type="dxa"/>
            <w:right w:w="108" w:type="dxa"/>
          </w:tblCellMar>
        </w:tblPrEx>
        <w:trPr>
          <w:trHeight w:val="342"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合计</w:t>
            </w:r>
          </w:p>
        </w:tc>
        <w:tc>
          <w:tcPr>
            <w:tcW w:w="171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3</w:t>
            </w:r>
          </w:p>
        </w:tc>
        <w:tc>
          <w:tcPr>
            <w:tcW w:w="171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3</w:t>
            </w:r>
          </w:p>
        </w:tc>
        <w:tc>
          <w:tcPr>
            <w:tcW w:w="117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0</w:t>
            </w:r>
          </w:p>
        </w:tc>
        <w:tc>
          <w:tcPr>
            <w:tcW w:w="2771"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32"/>
                <w:szCs w:val="32"/>
              </w:rPr>
            </w:pPr>
            <w:r>
              <w:rPr>
                <w:rFonts w:hint="eastAsia" w:ascii="仿宋" w:hAnsi="仿宋" w:eastAsia="仿宋" w:cs="仿宋"/>
                <w:kern w:val="0"/>
                <w:sz w:val="32"/>
                <w:szCs w:val="32"/>
              </w:rPr>
              <w:t>无增减变化</w:t>
            </w:r>
          </w:p>
        </w:tc>
      </w:tr>
    </w:tbl>
    <w:p>
      <w:pPr>
        <w:jc w:val="center"/>
        <w:outlineLvl w:val="0"/>
        <w:rPr>
          <w:rFonts w:ascii="仿宋" w:hAnsi="仿宋" w:eastAsia="仿宋" w:cs="仿宋"/>
          <w:b/>
          <w:sz w:val="32"/>
          <w:szCs w:val="32"/>
        </w:rPr>
      </w:pPr>
    </w:p>
    <w:p>
      <w:pPr>
        <w:jc w:val="center"/>
        <w:outlineLvl w:val="0"/>
        <w:rPr>
          <w:rFonts w:ascii="仿宋" w:hAnsi="仿宋" w:eastAsia="仿宋" w:cs="仿宋"/>
          <w:b/>
          <w:sz w:val="32"/>
          <w:szCs w:val="32"/>
        </w:rPr>
      </w:pPr>
      <w:r>
        <w:rPr>
          <w:rFonts w:hint="eastAsia" w:ascii="仿宋" w:hAnsi="仿宋" w:eastAsia="仿宋" w:cs="仿宋"/>
          <w:b/>
          <w:sz w:val="32"/>
          <w:szCs w:val="32"/>
        </w:rPr>
        <w:t>第五部分：绩效预算信息</w:t>
      </w:r>
    </w:p>
    <w:p>
      <w:pPr>
        <w:widowControl/>
        <w:spacing w:line="560" w:lineRule="atLeast"/>
        <w:ind w:firstLine="643" w:firstLineChars="200"/>
        <w:jc w:val="left"/>
        <w:rPr>
          <w:rFonts w:ascii="仿宋" w:hAnsi="仿宋" w:eastAsia="仿宋" w:cs="仿宋"/>
          <w:b/>
          <w:bCs/>
          <w:sz w:val="32"/>
          <w:szCs w:val="32"/>
        </w:rPr>
      </w:pPr>
      <w:bookmarkStart w:id="1" w:name="_Toc65342578"/>
      <w:r>
        <w:rPr>
          <w:rFonts w:hint="eastAsia" w:ascii="仿宋" w:hAnsi="仿宋" w:eastAsia="仿宋" w:cs="仿宋"/>
          <w:b/>
          <w:bCs/>
          <w:sz w:val="32"/>
          <w:szCs w:val="32"/>
        </w:rPr>
        <w:t>一、总体绩效目标</w:t>
      </w:r>
      <w:bookmarkEnd w:id="1"/>
    </w:p>
    <w:p>
      <w:pPr>
        <w:widowControl/>
        <w:spacing w:line="5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为全面推进供销合作社组织体系、服务体系、经营体系、金融体系、管理体制创新，把供销合作社打造成为服务三农的生力军及综合平台，按照县委县政府2021年工作部署，特制订本目标。</w:t>
      </w:r>
    </w:p>
    <w:p>
      <w:pPr>
        <w:widowControl/>
        <w:spacing w:line="5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（一）供销流通管理</w:t>
      </w:r>
    </w:p>
    <w:p>
      <w:pPr>
        <w:widowControl/>
        <w:spacing w:line="5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贯彻落实党和政府商业流通有关方针政策，研究制定行业发展战略和规划，组织指导行业改革发展，负责行业管理，开展教育培训，维护合法权益。确保供销社事业改革、发展和壮大、发挥供销社在商业流通服务的作用。</w:t>
      </w:r>
    </w:p>
    <w:p>
      <w:pPr>
        <w:widowControl/>
        <w:spacing w:line="5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（二）服务三农事务管理</w:t>
      </w:r>
    </w:p>
    <w:p>
      <w:pPr>
        <w:widowControl/>
        <w:spacing w:line="5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贯彻落实党和政府有关服务“三农”方针政策，以供销合作社体系为依托，自下而上组建农民合作社联合社、创新组织体系、服务体系和农村金融体系。紧紧围绕“三农”工作大局，以密切与农民利益联结为核心，以提升为农服务能力为根本，以强化基层社和创新联合社治理机制为重点，按照政事分开、社企分开的方向，推进体制改革和机制创新，加快建成适应社会主义市场经济需要、适应城乡发展一体化需要、适应中国特色农业现代化需要的组织体系和服务机制。</w:t>
      </w:r>
    </w:p>
    <w:p>
      <w:pPr>
        <w:widowControl/>
        <w:spacing w:line="5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（三）物资储备管理</w:t>
      </w:r>
    </w:p>
    <w:p>
      <w:pPr>
        <w:widowControl/>
        <w:spacing w:line="5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按照政府授权，承担管理化肥、农药、食盐及救灾物资等重要物资的储备任务,充分发挥供销社在流通领域的应急调控作用。</w:t>
      </w:r>
    </w:p>
    <w:p>
      <w:pPr>
        <w:widowControl/>
        <w:spacing w:line="5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（四）供销合作政务管理</w:t>
      </w:r>
    </w:p>
    <w:p>
      <w:pPr>
        <w:widowControl/>
        <w:spacing w:line="5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负责供销合作社系统综合业务管理和机关综合事务管理，确保各项业务工作谋划到位、顺利开展,保障机关工作正常高效运转。</w:t>
      </w:r>
    </w:p>
    <w:p>
      <w:pPr>
        <w:widowControl/>
        <w:spacing w:line="560" w:lineRule="atLeast"/>
        <w:jc w:val="left"/>
        <w:rPr>
          <w:rFonts w:ascii="仿宋" w:hAnsi="仿宋" w:eastAsia="仿宋" w:cs="仿宋"/>
          <w:b/>
          <w:bCs/>
          <w:sz w:val="32"/>
          <w:szCs w:val="32"/>
        </w:rPr>
      </w:pPr>
      <w:bookmarkStart w:id="2" w:name="_Toc65342579"/>
      <w:r>
        <w:rPr>
          <w:rFonts w:hint="eastAsia" w:ascii="仿宋" w:hAnsi="仿宋" w:eastAsia="仿宋" w:cs="仿宋"/>
          <w:b/>
          <w:bCs/>
          <w:sz w:val="32"/>
          <w:szCs w:val="32"/>
        </w:rPr>
        <w:t>二、分项绩效目标</w:t>
      </w:r>
      <w:bookmarkEnd w:id="2"/>
    </w:p>
    <w:p>
      <w:pPr>
        <w:widowControl/>
        <w:spacing w:line="5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（一）供销流通管理</w:t>
      </w:r>
    </w:p>
    <w:p>
      <w:pPr>
        <w:widowControl/>
        <w:spacing w:line="5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健全农资、农副产品、日用消费品、再生资源回收利用四大网络，加快形成连锁化、规模化、品牌化经营服务新格局；发展农村电子商务，形成网上交易、仓储物流、终端配送一体化经营，推动线上线下融合发展；社有企业实现跨越式发展，供销社体制机制明显优化，营业收入、利润总额和净资产均有不同程度增长。本年度此项绩效指标总体评价为“优”。</w:t>
      </w:r>
    </w:p>
    <w:p>
      <w:pPr>
        <w:widowControl/>
        <w:spacing w:line="5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（二）服务三农事务管理</w:t>
      </w:r>
    </w:p>
    <w:p>
      <w:pPr>
        <w:spacing w:line="500" w:lineRule="exact"/>
        <w:ind w:firstLine="560"/>
        <w:rPr>
          <w:rFonts w:ascii="仿宋" w:hAnsi="仿宋" w:eastAsia="仿宋" w:cs="仿宋"/>
          <w:sz w:val="32"/>
          <w:szCs w:val="32"/>
        </w:rPr>
      </w:pPr>
      <w:r>
        <w:rPr>
          <w:rFonts w:hint="eastAsia" w:ascii="仿宋" w:hAnsi="仿宋" w:eastAsia="仿宋" w:cs="仿宋"/>
          <w:sz w:val="32"/>
          <w:szCs w:val="32"/>
        </w:rPr>
        <w:t>把供销合作社系统打造成为与农民联结更紧密、为农服务功能更完备、市场化运行更高效的合作经济组织体系，成为服务农民生产生活的生力军和综合平台，成为党和政府密切联系农民群众的桥梁纽带，切实在农业现代化建设中更好地发挥作用。创建农村合作金融体系,拓宽“三农”融资的渠道，按照统一要求、标准、计划，完成各项工作的建设任务，实现供销社合作金融体系上下贯通、利益链接、一体化运营。初步实现供销金融超市全县基层全覆盖。本年度此项绩效指标总体评价为“优”。</w:t>
      </w:r>
    </w:p>
    <w:p>
      <w:pPr>
        <w:spacing w:line="500" w:lineRule="exact"/>
        <w:ind w:firstLine="560"/>
        <w:rPr>
          <w:rFonts w:ascii="仿宋" w:hAnsi="仿宋" w:eastAsia="仿宋" w:cs="仿宋"/>
          <w:sz w:val="32"/>
          <w:szCs w:val="32"/>
        </w:rPr>
      </w:pPr>
      <w:r>
        <w:rPr>
          <w:rFonts w:hint="eastAsia" w:ascii="仿宋" w:hAnsi="仿宋" w:eastAsia="仿宋" w:cs="仿宋"/>
          <w:sz w:val="32"/>
          <w:szCs w:val="32"/>
        </w:rPr>
        <w:t>（三）物资储备管理</w:t>
      </w:r>
    </w:p>
    <w:p>
      <w:pPr>
        <w:spacing w:line="500" w:lineRule="exact"/>
        <w:ind w:firstLine="560"/>
        <w:rPr>
          <w:rFonts w:ascii="仿宋" w:hAnsi="仿宋" w:eastAsia="仿宋" w:cs="仿宋"/>
          <w:sz w:val="32"/>
          <w:szCs w:val="32"/>
        </w:rPr>
      </w:pPr>
      <w:r>
        <w:rPr>
          <w:rFonts w:hint="eastAsia" w:ascii="仿宋" w:hAnsi="仿宋" w:eastAsia="仿宋" w:cs="仿宋"/>
          <w:sz w:val="32"/>
          <w:szCs w:val="32"/>
        </w:rPr>
        <w:t>安排、组织代储企业依据储备计划及时足额、保质保量做好储备商品的收储、轮换等工作。储备计划完成率和质量完好率达95%以上。本年度此项绩效指标总体评价为“优”。</w:t>
      </w:r>
    </w:p>
    <w:p>
      <w:pPr>
        <w:spacing w:line="500" w:lineRule="exact"/>
        <w:ind w:firstLine="560"/>
        <w:rPr>
          <w:rFonts w:ascii="仿宋" w:hAnsi="仿宋" w:eastAsia="仿宋" w:cs="仿宋"/>
          <w:sz w:val="32"/>
          <w:szCs w:val="32"/>
        </w:rPr>
      </w:pPr>
      <w:r>
        <w:rPr>
          <w:rFonts w:hint="eastAsia" w:ascii="仿宋" w:hAnsi="仿宋" w:eastAsia="仿宋" w:cs="仿宋"/>
          <w:sz w:val="32"/>
          <w:szCs w:val="32"/>
        </w:rPr>
        <w:t>（四）供销合作政务管理</w:t>
      </w:r>
    </w:p>
    <w:p>
      <w:pPr>
        <w:spacing w:line="500" w:lineRule="exact"/>
        <w:ind w:firstLine="560"/>
        <w:rPr>
          <w:rFonts w:ascii="仿宋" w:hAnsi="仿宋" w:eastAsia="仿宋" w:cs="仿宋"/>
          <w:sz w:val="32"/>
          <w:szCs w:val="32"/>
        </w:rPr>
      </w:pPr>
      <w:r>
        <w:rPr>
          <w:rFonts w:hint="eastAsia" w:ascii="仿宋" w:hAnsi="仿宋" w:eastAsia="仿宋" w:cs="仿宋"/>
          <w:sz w:val="32"/>
          <w:szCs w:val="32"/>
        </w:rPr>
        <w:t>按照部门职责绩效目标要求，确保各项业务工作谋划到位、顺利开展，保障机关工作正常高效运转；系统业务活动完成率和事务办结率达100%。本年度此项绩效指标总体评价为“优”。</w:t>
      </w:r>
    </w:p>
    <w:p>
      <w:pPr>
        <w:spacing w:line="500" w:lineRule="exact"/>
        <w:rPr>
          <w:rFonts w:ascii="仿宋" w:hAnsi="仿宋" w:eastAsia="仿宋" w:cs="仿宋"/>
          <w:b/>
          <w:bCs/>
          <w:sz w:val="32"/>
          <w:szCs w:val="32"/>
        </w:rPr>
      </w:pPr>
      <w:bookmarkStart w:id="3" w:name="_Toc65342580"/>
      <w:r>
        <w:rPr>
          <w:rFonts w:hint="eastAsia" w:ascii="仿宋" w:hAnsi="仿宋" w:eastAsia="仿宋" w:cs="仿宋"/>
          <w:b/>
          <w:bCs/>
          <w:sz w:val="32"/>
          <w:szCs w:val="32"/>
        </w:rPr>
        <w:t>三、工作保障措施</w:t>
      </w:r>
      <w:bookmarkEnd w:id="3"/>
    </w:p>
    <w:p>
      <w:pPr>
        <w:spacing w:line="500" w:lineRule="exact"/>
        <w:ind w:firstLine="560"/>
        <w:rPr>
          <w:rFonts w:ascii="仿宋" w:hAnsi="仿宋" w:eastAsia="仿宋" w:cs="仿宋"/>
          <w:sz w:val="32"/>
          <w:szCs w:val="32"/>
        </w:rPr>
      </w:pPr>
      <w:r>
        <w:rPr>
          <w:rFonts w:hint="eastAsia" w:ascii="仿宋" w:hAnsi="仿宋" w:eastAsia="仿宋" w:cs="仿宋"/>
          <w:sz w:val="32"/>
          <w:szCs w:val="32"/>
        </w:rPr>
        <w:t>继续落实供销社系统现代流通网络建设，加快服务创新、经营创新和业态创新，优化网络布局，完善网络体系，发挥一网多用、双向流通的作用，在农资供应、农产品流通、农村服务等重点领域和环节为农民提供便利实惠、安全优质的服务。指导社属企业经营管理，对社属企业进行监督检查，完善企业运营管理制度并监督执行，行使出资人职能、确保社有资产的安全和增值。</w:t>
      </w:r>
    </w:p>
    <w:p>
      <w:pPr>
        <w:spacing w:line="500" w:lineRule="exact"/>
        <w:ind w:firstLine="560"/>
        <w:rPr>
          <w:rFonts w:ascii="仿宋" w:hAnsi="仿宋" w:eastAsia="仿宋" w:cs="仿宋"/>
          <w:sz w:val="32"/>
          <w:szCs w:val="32"/>
        </w:rPr>
      </w:pPr>
      <w:r>
        <w:rPr>
          <w:rFonts w:hint="eastAsia" w:ascii="仿宋" w:hAnsi="仿宋" w:eastAsia="仿宋" w:cs="仿宋"/>
          <w:sz w:val="32"/>
          <w:szCs w:val="32"/>
        </w:rPr>
        <w:t>以供销合作社体系为依托，自下而上组建农民合作社联合社。面向农业现代化、面向农民生产生活，推动供销合作社由流通服务向全程农业社会化服务延伸、向全方位城乡社区服务拓展，加快形成综合性、规模化、可持续的为农服务体系，在农资供应、农产品流通、农民技能培训等重点领域和环节为农民提供便利实惠、安全优质的服务。创新金融服务方式和手段，创建农村合作金融服务体系。</w:t>
      </w:r>
    </w:p>
    <w:p>
      <w:pPr>
        <w:spacing w:line="500" w:lineRule="exact"/>
        <w:ind w:firstLine="560"/>
        <w:rPr>
          <w:rFonts w:ascii="仿宋" w:hAnsi="仿宋" w:eastAsia="仿宋" w:cs="仿宋"/>
          <w:sz w:val="32"/>
          <w:szCs w:val="32"/>
        </w:rPr>
      </w:pPr>
      <w:r>
        <w:rPr>
          <w:rFonts w:hint="eastAsia" w:ascii="仿宋" w:hAnsi="仿宋" w:eastAsia="仿宋" w:cs="仿宋"/>
          <w:sz w:val="32"/>
          <w:szCs w:val="32"/>
        </w:rPr>
        <w:t>调节商品供求关系，稳定物价、保障市场供应、保证防汛救灾的需要、增强政府对市场的宏观调控能力和应急保障。</w:t>
      </w:r>
    </w:p>
    <w:p>
      <w:pPr>
        <w:spacing w:line="500" w:lineRule="exact"/>
        <w:ind w:firstLine="560"/>
        <w:rPr>
          <w:rFonts w:ascii="仿宋" w:hAnsi="仿宋" w:eastAsia="仿宋" w:cs="仿宋"/>
          <w:sz w:val="32"/>
          <w:szCs w:val="32"/>
        </w:rPr>
      </w:pPr>
      <w:r>
        <w:rPr>
          <w:rFonts w:hint="eastAsia" w:ascii="仿宋" w:hAnsi="仿宋" w:eastAsia="仿宋" w:cs="仿宋"/>
          <w:sz w:val="32"/>
          <w:szCs w:val="32"/>
        </w:rPr>
        <w:t>制订系统发展战略和规划、指导系统业务活动和综合改革试点及事业发展；开展行业调查研究，制定相关行业政策、法规规章制度；信访接待、业务宣传、政务信息公开等工作。</w:t>
      </w:r>
    </w:p>
    <w:p>
      <w:pPr>
        <w:spacing w:line="500" w:lineRule="exact"/>
        <w:ind w:firstLine="560" w:firstLineChars="200"/>
        <w:jc w:val="left"/>
        <w:rPr>
          <w:rFonts w:eastAsia="方正仿宋_GBK"/>
          <w:sz w:val="28"/>
        </w:rPr>
      </w:pPr>
    </w:p>
    <w:p>
      <w:pPr>
        <w:ind w:firstLine="562" w:firstLineChars="200"/>
        <w:jc w:val="left"/>
        <w:outlineLvl w:val="3"/>
        <w:rPr>
          <w:rFonts w:hAnsi="宋体"/>
          <w:b/>
          <w:sz w:val="28"/>
        </w:rPr>
      </w:pPr>
      <w:bookmarkStart w:id="4" w:name="_Toc65342581"/>
      <w:r>
        <w:rPr>
          <w:rFonts w:hint="eastAsia" w:ascii="方正仿宋_GBK" w:eastAsia="方正仿宋_GBK"/>
          <w:b/>
          <w:sz w:val="28"/>
        </w:rPr>
        <w:t>1.县社农村产权交易中心工作经费项目绩效目标表</w:t>
      </w:r>
      <w:bookmarkEnd w:id="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1、县社农村产权交易中心工作经费项目绩效目标表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838001</w:t>
            </w:r>
            <w:r>
              <w:rPr>
                <w:rFonts w:hint="eastAsia" w:ascii="方正书宋_GBK" w:eastAsia="方正书宋_GBK"/>
                <w:b/>
              </w:rPr>
              <w:t>涞源县供销合作社本级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13063021B53Q0HXYACU8L</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县社农村产权交易中心工作经费项目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用于支付农村产权人员工资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保障中心工作正常运转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保障资金及时足额发放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服务对象满意度达到</w:t>
            </w:r>
            <w:r>
              <w:rPr>
                <w:rFonts w:ascii="方正书宋_GBK" w:eastAsia="方正书宋_GBK"/>
              </w:rPr>
              <w:t>90%</w:t>
            </w:r>
          </w:p>
        </w:tc>
      </w:tr>
    </w:tbl>
    <w:p>
      <w:pPr>
        <w:spacing w:line="14" w:lineRule="exact"/>
        <w:jc w:val="center"/>
        <w:rPr>
          <w:rFonts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工作正常运转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产权中心工作正常运转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正常开展</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支付资金及时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提高社会认知度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保障工作顺利进行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依据实施方案</w:t>
            </w:r>
          </w:p>
        </w:tc>
      </w:tr>
    </w:tbl>
    <w:p>
      <w:pPr>
        <w:ind w:firstLine="562" w:firstLineChars="200"/>
        <w:jc w:val="left"/>
        <w:outlineLvl w:val="3"/>
        <w:rPr>
          <w:rFonts w:hAnsi="宋体"/>
          <w:b/>
          <w:sz w:val="28"/>
        </w:rPr>
      </w:pPr>
      <w:bookmarkStart w:id="5" w:name="_Toc65342582"/>
      <w:r>
        <w:rPr>
          <w:rFonts w:hint="eastAsia" w:ascii="方正仿宋_GBK" w:eastAsia="方正仿宋_GBK"/>
          <w:b/>
          <w:sz w:val="28"/>
        </w:rPr>
        <w:t>2.县社设立食盐储备资金绩效目标表</w:t>
      </w:r>
      <w:bookmarkEnd w:id="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2、县社设立食盐储备资金绩效目标表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838001</w:t>
            </w:r>
            <w:r>
              <w:rPr>
                <w:rFonts w:hint="eastAsia" w:ascii="方正书宋_GBK" w:eastAsia="方正书宋_GBK"/>
                <w:b/>
              </w:rPr>
              <w:t>涞源县供销合作社本级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13063021LO6KFTYH6OQLC</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县社设立食盐储备资金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食盐储备搬倒人员工资</w:t>
            </w:r>
            <w:r>
              <w:rPr>
                <w:rFonts w:ascii="方正书宋_GBK" w:eastAsia="方正书宋_GBK"/>
              </w:rPr>
              <w:t>85000</w:t>
            </w:r>
            <w:r>
              <w:rPr>
                <w:rFonts w:hint="eastAsia" w:ascii="方正书宋_GBK" w:eastAsia="方正书宋_GBK"/>
              </w:rPr>
              <w:t>，库房维护维修费用</w:t>
            </w:r>
            <w:r>
              <w:rPr>
                <w:rFonts w:ascii="方正书宋_GBK" w:eastAsia="方正书宋_GBK"/>
              </w:rP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购置数量达到</w:t>
            </w:r>
            <w:r>
              <w:rPr>
                <w:rFonts w:ascii="方正书宋_GBK" w:eastAsia="方正书宋_GBK"/>
              </w:rPr>
              <w:t>3</w:t>
            </w:r>
            <w:r>
              <w:rPr>
                <w:rFonts w:hint="eastAsia" w:ascii="方正书宋_GBK" w:eastAsia="方正书宋_GBK"/>
              </w:rPr>
              <w:t>个月食盐储备量</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服务满意度达到</w:t>
            </w:r>
            <w:r>
              <w:rPr>
                <w:rFonts w:ascii="方正书宋_GBK" w:eastAsia="方正书宋_GBK"/>
              </w:rPr>
              <w:t>95%</w:t>
            </w:r>
            <w:r>
              <w:rPr>
                <w:rFonts w:hint="eastAsia" w:ascii="方正书宋_GBK" w:eastAsia="方正书宋_GBK"/>
              </w:rPr>
              <w:t>以上</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保障能力得到提升</w:t>
            </w:r>
          </w:p>
        </w:tc>
      </w:tr>
    </w:tbl>
    <w:p>
      <w:pPr>
        <w:spacing w:line="14" w:lineRule="exact"/>
        <w:jc w:val="center"/>
        <w:rPr>
          <w:rFonts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产品合格率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储备物资产品合格率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按期完成率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按期完成储备任务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为企业节约经营成本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为企业节约经营成本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保障能力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物资储备保障能力</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依据实施方案</w:t>
            </w:r>
          </w:p>
        </w:tc>
      </w:tr>
    </w:tbl>
    <w:p>
      <w:pPr>
        <w:ind w:firstLine="562" w:firstLineChars="200"/>
        <w:jc w:val="left"/>
        <w:outlineLvl w:val="3"/>
        <w:rPr>
          <w:rFonts w:hAnsi="宋体"/>
          <w:b/>
          <w:sz w:val="28"/>
        </w:rPr>
      </w:pPr>
      <w:bookmarkStart w:id="6" w:name="_Toc65342583"/>
      <w:r>
        <w:rPr>
          <w:rFonts w:hint="eastAsia" w:ascii="方正仿宋_GBK" w:eastAsia="方正仿宋_GBK"/>
          <w:b/>
          <w:sz w:val="28"/>
        </w:rPr>
        <w:t>3.县社烟花爆竹清零项目绩效目标表</w:t>
      </w:r>
      <w:bookmarkEnd w:id="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3、县社烟花爆竹清零项目绩效目标表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838001</w:t>
            </w:r>
            <w:r>
              <w:rPr>
                <w:rFonts w:hint="eastAsia" w:ascii="方正书宋_GBK" w:eastAsia="方正书宋_GBK"/>
                <w:b/>
              </w:rPr>
              <w:t>涞源县供销合作社本级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13063021WXGITBNKWQPHG</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县社烟花爆竹清零项目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166.62</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166.62</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库存商品清零补偿</w:t>
            </w:r>
            <w:r>
              <w:rPr>
                <w:rFonts w:ascii="方正书宋_GBK" w:eastAsia="方正书宋_GBK"/>
              </w:rPr>
              <w:t>1339200</w:t>
            </w:r>
            <w:r>
              <w:rPr>
                <w:rFonts w:hint="eastAsia" w:ascii="方正书宋_GBK" w:eastAsia="方正书宋_GBK"/>
              </w:rPr>
              <w:t>元，拖欠企业人员工资及保险</w:t>
            </w:r>
            <w:r>
              <w:rPr>
                <w:rFonts w:ascii="方正书宋_GBK" w:eastAsia="方正书宋_GBK"/>
              </w:rPr>
              <w:t>327000</w:t>
            </w:r>
            <w:r>
              <w:rPr>
                <w:rFonts w:hint="eastAsia" w:ascii="方正书宋_GBK" w:eastAsia="方正书宋_GBK"/>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确保补助资金按时足额发放到位</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相关问题得到妥善解决</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服务对象满意度达到</w:t>
            </w:r>
            <w:r>
              <w:rPr>
                <w:rFonts w:ascii="方正书宋_GBK" w:eastAsia="方正书宋_GBK"/>
              </w:rPr>
              <w:t>95%</w:t>
            </w:r>
            <w:r>
              <w:rPr>
                <w:rFonts w:hint="eastAsia" w:ascii="方正书宋_GBK" w:eastAsia="方正书宋_GBK"/>
              </w:rPr>
              <w:t>以上</w:t>
            </w:r>
          </w:p>
        </w:tc>
      </w:tr>
    </w:tbl>
    <w:p>
      <w:pPr>
        <w:spacing w:line="14" w:lineRule="exact"/>
        <w:jc w:val="center"/>
        <w:rPr>
          <w:rFonts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发放额</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按照要求正常发放</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资金支付及时率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补助资金及时支付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按时完成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认可度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企业安置职工认可度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依据实施方案</w:t>
            </w:r>
          </w:p>
        </w:tc>
      </w:tr>
    </w:tbl>
    <w:p/>
    <w:p>
      <w:pPr>
        <w:jc w:val="center"/>
        <w:outlineLvl w:val="0"/>
        <w:rPr>
          <w:rFonts w:ascii="仿宋" w:hAnsi="仿宋" w:eastAsia="仿宋"/>
          <w:b/>
          <w:sz w:val="32"/>
          <w:szCs w:val="32"/>
        </w:rPr>
      </w:pPr>
    </w:p>
    <w:p>
      <w:pPr>
        <w:jc w:val="center"/>
        <w:outlineLvl w:val="0"/>
        <w:rPr>
          <w:rFonts w:ascii="仿宋" w:hAnsi="仿宋" w:eastAsia="仿宋" w:cs="仿宋_GB2312"/>
          <w:b/>
          <w:sz w:val="32"/>
          <w:szCs w:val="32"/>
        </w:rPr>
      </w:pPr>
      <w:r>
        <w:rPr>
          <w:rFonts w:hint="eastAsia" w:ascii="仿宋" w:hAnsi="仿宋" w:eastAsia="仿宋" w:cs="仿宋_GB2312"/>
          <w:b/>
          <w:sz w:val="32"/>
          <w:szCs w:val="32"/>
        </w:rPr>
        <w:t>第六部分：政府采购预算情况</w:t>
      </w:r>
    </w:p>
    <w:p>
      <w:pPr>
        <w:spacing w:line="300" w:lineRule="exact"/>
        <w:ind w:firstLine="640" w:firstLineChars="200"/>
        <w:jc w:val="left"/>
        <w:outlineLvl w:val="0"/>
        <w:rPr>
          <w:rFonts w:ascii="仿宋" w:hAnsi="仿宋" w:eastAsia="仿宋" w:cs="仿宋_GB2312"/>
          <w:sz w:val="32"/>
          <w:szCs w:val="32"/>
        </w:rPr>
      </w:pPr>
    </w:p>
    <w:p>
      <w:pPr>
        <w:spacing w:line="460" w:lineRule="exact"/>
        <w:ind w:firstLine="640" w:firstLineChars="200"/>
        <w:jc w:val="left"/>
        <w:outlineLvl w:val="0"/>
        <w:rPr>
          <w:rFonts w:hint="eastAsia" w:ascii="仿宋" w:hAnsi="仿宋" w:eastAsia="仿宋" w:cs="仿宋_GB2312"/>
          <w:sz w:val="32"/>
          <w:szCs w:val="32"/>
          <w:lang w:eastAsia="zh-CN"/>
        </w:rPr>
      </w:pPr>
      <w:r>
        <w:rPr>
          <w:rFonts w:hint="eastAsia" w:ascii="仿宋" w:hAnsi="仿宋" w:eastAsia="仿宋" w:cs="仿宋_GB2312"/>
          <w:sz w:val="32"/>
          <w:szCs w:val="32"/>
        </w:rPr>
        <w:t>我部门2021年无政府采购预算</w:t>
      </w:r>
      <w:r>
        <w:rPr>
          <w:rFonts w:hint="eastAsia" w:ascii="仿宋" w:hAnsi="仿宋" w:eastAsia="仿宋" w:cs="仿宋_GB2312"/>
          <w:sz w:val="32"/>
          <w:szCs w:val="32"/>
          <w:lang w:eastAsia="zh-CN"/>
        </w:rPr>
        <w:t>。</w:t>
      </w:r>
    </w:p>
    <w:p>
      <w:pPr>
        <w:spacing w:line="460" w:lineRule="exact"/>
        <w:ind w:firstLine="640" w:firstLineChars="200"/>
        <w:jc w:val="left"/>
        <w:outlineLvl w:val="0"/>
        <w:rPr>
          <w:rFonts w:ascii="仿宋" w:hAnsi="仿宋" w:eastAsia="仿宋" w:cs="仿宋_GB2312"/>
          <w:sz w:val="32"/>
          <w:szCs w:val="32"/>
        </w:rPr>
      </w:pPr>
    </w:p>
    <w:p>
      <w:pPr>
        <w:spacing w:line="300" w:lineRule="exact"/>
        <w:jc w:val="left"/>
        <w:outlineLvl w:val="0"/>
        <w:rPr>
          <w:rFonts w:ascii="仿宋" w:hAnsi="仿宋" w:eastAsia="仿宋" w:cs="仿宋_GB2312"/>
          <w:sz w:val="32"/>
          <w:szCs w:val="32"/>
        </w:rPr>
      </w:pPr>
    </w:p>
    <w:p>
      <w:pPr>
        <w:jc w:val="center"/>
        <w:rPr>
          <w:rFonts w:ascii="仿宋" w:hAnsi="仿宋" w:eastAsia="仿宋" w:cs="仿宋_GB2312"/>
          <w:b/>
          <w:sz w:val="32"/>
          <w:szCs w:val="32"/>
        </w:rPr>
      </w:pPr>
      <w:r>
        <w:rPr>
          <w:rFonts w:hint="eastAsia" w:ascii="仿宋" w:hAnsi="仿宋" w:eastAsia="仿宋" w:cs="仿宋_GB2312"/>
          <w:b/>
          <w:sz w:val="32"/>
          <w:szCs w:val="32"/>
        </w:rPr>
        <w:t>第七部分：国有资产信息情况说明</w:t>
      </w:r>
    </w:p>
    <w:p>
      <w:pPr>
        <w:spacing w:line="560" w:lineRule="exact"/>
        <w:ind w:firstLine="640" w:firstLineChars="200"/>
        <w:jc w:val="left"/>
        <w:outlineLvl w:val="0"/>
        <w:rPr>
          <w:rFonts w:ascii="仿宋" w:hAnsi="仿宋" w:eastAsia="仿宋" w:cs="仿宋_GB2312"/>
          <w:sz w:val="32"/>
          <w:szCs w:val="32"/>
        </w:rPr>
      </w:pPr>
      <w:r>
        <w:rPr>
          <w:rFonts w:hint="eastAsia" w:ascii="仿宋" w:hAnsi="仿宋" w:eastAsia="仿宋" w:cs="仿宋_GB2312"/>
          <w:sz w:val="32"/>
          <w:szCs w:val="32"/>
        </w:rPr>
        <w:t>涞源县供销合作社2020年末固定资产总金额2.60万元，下附固定资产占用情况表。2021年无拟购置情况。</w:t>
      </w:r>
    </w:p>
    <w:p>
      <w:pPr>
        <w:spacing w:line="300" w:lineRule="exact"/>
        <w:jc w:val="left"/>
        <w:outlineLvl w:val="0"/>
        <w:rPr>
          <w:rFonts w:ascii="仿宋" w:hAnsi="仿宋" w:eastAsia="仿宋" w:cs="仿宋_GB2312"/>
          <w:sz w:val="32"/>
          <w:szCs w:val="32"/>
        </w:rPr>
      </w:pPr>
    </w:p>
    <w:p>
      <w:pPr>
        <w:spacing w:line="300" w:lineRule="exact"/>
        <w:jc w:val="left"/>
        <w:outlineLvl w:val="0"/>
        <w:rPr>
          <w:rFonts w:ascii="仿宋" w:hAnsi="仿宋" w:eastAsia="仿宋" w:cs="仿宋_GB2312"/>
          <w:sz w:val="32"/>
          <w:szCs w:val="32"/>
        </w:rPr>
      </w:pPr>
    </w:p>
    <w:tbl>
      <w:tblPr>
        <w:tblStyle w:val="3"/>
        <w:tblW w:w="0" w:type="auto"/>
        <w:tblInd w:w="419" w:type="dxa"/>
        <w:tblLayout w:type="fixed"/>
        <w:tblCellMar>
          <w:top w:w="0" w:type="dxa"/>
          <w:left w:w="108" w:type="dxa"/>
          <w:bottom w:w="0" w:type="dxa"/>
          <w:right w:w="108" w:type="dxa"/>
        </w:tblCellMar>
      </w:tblPr>
      <w:tblGrid>
        <w:gridCol w:w="4651"/>
        <w:gridCol w:w="1275"/>
        <w:gridCol w:w="2835"/>
      </w:tblGrid>
      <w:tr>
        <w:tblPrEx>
          <w:tblCellMar>
            <w:top w:w="0" w:type="dxa"/>
            <w:left w:w="108" w:type="dxa"/>
            <w:bottom w:w="0" w:type="dxa"/>
            <w:right w:w="108" w:type="dxa"/>
          </w:tblCellMar>
        </w:tblPrEx>
        <w:trPr>
          <w:trHeight w:val="684" w:hRule="atLeast"/>
        </w:trPr>
        <w:tc>
          <w:tcPr>
            <w:tcW w:w="8761" w:type="dxa"/>
            <w:gridSpan w:val="3"/>
            <w:tcBorders>
              <w:top w:val="nil"/>
              <w:left w:val="nil"/>
              <w:bottom w:val="nil"/>
              <w:right w:val="nil"/>
            </w:tcBorders>
            <w:vAlign w:val="center"/>
          </w:tcPr>
          <w:p>
            <w:pPr>
              <w:widowControl/>
              <w:jc w:val="center"/>
              <w:rPr>
                <w:rFonts w:ascii="仿宋" w:hAnsi="仿宋" w:eastAsia="仿宋" w:cs="仿宋_GB2312"/>
                <w:b/>
                <w:color w:val="000000"/>
                <w:kern w:val="0"/>
                <w:sz w:val="32"/>
                <w:szCs w:val="32"/>
              </w:rPr>
            </w:pPr>
            <w:r>
              <w:rPr>
                <w:rFonts w:hint="eastAsia" w:ascii="仿宋" w:hAnsi="仿宋" w:eastAsia="仿宋" w:cs="仿宋_GB2312"/>
                <w:b/>
                <w:sz w:val="32"/>
                <w:szCs w:val="32"/>
              </w:rPr>
              <w:t>涞源县供销合作社联合社固定资产占用情况表</w:t>
            </w:r>
          </w:p>
        </w:tc>
      </w:tr>
      <w:tr>
        <w:tblPrEx>
          <w:tblCellMar>
            <w:top w:w="0" w:type="dxa"/>
            <w:left w:w="108" w:type="dxa"/>
            <w:bottom w:w="0" w:type="dxa"/>
            <w:right w:w="108" w:type="dxa"/>
          </w:tblCellMar>
        </w:tblPrEx>
        <w:trPr>
          <w:trHeight w:val="472" w:hRule="atLeast"/>
        </w:trPr>
        <w:tc>
          <w:tcPr>
            <w:tcW w:w="8761" w:type="dxa"/>
            <w:gridSpan w:val="3"/>
            <w:tcBorders>
              <w:top w:val="nil"/>
              <w:left w:val="nil"/>
              <w:bottom w:val="single" w:color="auto" w:sz="4" w:space="0"/>
              <w:right w:val="nil"/>
            </w:tcBorders>
            <w:vAlign w:val="center"/>
          </w:tcPr>
          <w:p>
            <w:pPr>
              <w:widowControl/>
              <w:jc w:val="center"/>
              <w:rPr>
                <w:rFonts w:ascii="仿宋" w:hAnsi="仿宋" w:eastAsia="仿宋" w:cs="仿宋_GB2312"/>
                <w:color w:val="000000"/>
                <w:kern w:val="0"/>
                <w:sz w:val="32"/>
                <w:szCs w:val="32"/>
              </w:rPr>
            </w:pPr>
            <w:r>
              <w:rPr>
                <w:rFonts w:hint="eastAsia" w:ascii="仿宋" w:hAnsi="仿宋" w:eastAsia="仿宋" w:cs="仿宋_GB2312"/>
                <w:bCs/>
                <w:color w:val="000000"/>
                <w:kern w:val="0"/>
                <w:sz w:val="32"/>
                <w:szCs w:val="32"/>
              </w:rPr>
              <w:t xml:space="preserve">                          截止时间：2020年12月31日</w:t>
            </w:r>
          </w:p>
        </w:tc>
      </w:tr>
      <w:tr>
        <w:tblPrEx>
          <w:tblCellMar>
            <w:top w:w="0" w:type="dxa"/>
            <w:left w:w="108" w:type="dxa"/>
            <w:bottom w:w="0" w:type="dxa"/>
            <w:right w:w="108" w:type="dxa"/>
          </w:tblCellMar>
        </w:tblPrEx>
        <w:trPr>
          <w:trHeight w:val="761" w:hRule="atLeast"/>
        </w:trPr>
        <w:tc>
          <w:tcPr>
            <w:tcW w:w="4651"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_GB2312"/>
                <w:b/>
                <w:bCs/>
                <w:color w:val="000000"/>
                <w:kern w:val="0"/>
                <w:sz w:val="32"/>
                <w:szCs w:val="32"/>
              </w:rPr>
            </w:pPr>
            <w:r>
              <w:rPr>
                <w:rFonts w:hint="eastAsia" w:ascii="仿宋" w:hAnsi="仿宋" w:eastAsia="仿宋" w:cs="仿宋_GB2312"/>
                <w:b/>
                <w:bCs/>
                <w:color w:val="000000"/>
                <w:kern w:val="0"/>
                <w:sz w:val="32"/>
                <w:szCs w:val="32"/>
              </w:rPr>
              <w:t>项　　目</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s="仿宋_GB2312"/>
                <w:b/>
                <w:bCs/>
                <w:color w:val="000000"/>
                <w:kern w:val="0"/>
                <w:sz w:val="32"/>
                <w:szCs w:val="32"/>
              </w:rPr>
            </w:pPr>
            <w:r>
              <w:rPr>
                <w:rFonts w:hint="eastAsia" w:ascii="仿宋" w:hAnsi="仿宋" w:eastAsia="仿宋" w:cs="仿宋_GB2312"/>
                <w:b/>
                <w:bCs/>
                <w:color w:val="000000"/>
                <w:kern w:val="0"/>
                <w:sz w:val="32"/>
                <w:szCs w:val="32"/>
              </w:rPr>
              <w:t>数量</w:t>
            </w:r>
          </w:p>
        </w:tc>
        <w:tc>
          <w:tcPr>
            <w:tcW w:w="2835" w:type="dxa"/>
            <w:tcBorders>
              <w:top w:val="nil"/>
              <w:left w:val="nil"/>
              <w:bottom w:val="single" w:color="auto" w:sz="4" w:space="0"/>
              <w:right w:val="single" w:color="auto" w:sz="4" w:space="0"/>
            </w:tcBorders>
            <w:vAlign w:val="center"/>
          </w:tcPr>
          <w:p>
            <w:pPr>
              <w:widowControl/>
              <w:jc w:val="center"/>
              <w:rPr>
                <w:rFonts w:ascii="仿宋" w:hAnsi="仿宋" w:eastAsia="仿宋" w:cs="仿宋_GB2312"/>
                <w:b/>
                <w:bCs/>
                <w:color w:val="000000"/>
                <w:kern w:val="0"/>
                <w:sz w:val="32"/>
                <w:szCs w:val="32"/>
              </w:rPr>
            </w:pPr>
            <w:r>
              <w:rPr>
                <w:rFonts w:hint="eastAsia" w:ascii="仿宋" w:hAnsi="仿宋" w:eastAsia="仿宋" w:cs="仿宋_GB2312"/>
                <w:b/>
                <w:bCs/>
                <w:color w:val="000000"/>
                <w:kern w:val="0"/>
                <w:sz w:val="32"/>
                <w:szCs w:val="32"/>
              </w:rPr>
              <w:t>价值（单位：万元）</w:t>
            </w:r>
          </w:p>
        </w:tc>
      </w:tr>
      <w:tr>
        <w:tblPrEx>
          <w:tblCellMar>
            <w:top w:w="0" w:type="dxa"/>
            <w:left w:w="108" w:type="dxa"/>
            <w:bottom w:w="0" w:type="dxa"/>
            <w:right w:w="108" w:type="dxa"/>
          </w:tblCellMar>
        </w:tblPrEx>
        <w:trPr>
          <w:trHeight w:val="502" w:hRule="atLeast"/>
        </w:trPr>
        <w:tc>
          <w:tcPr>
            <w:tcW w:w="4651"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_GB2312"/>
                <w:b/>
                <w:bCs/>
                <w:color w:val="000000"/>
                <w:kern w:val="0"/>
                <w:sz w:val="32"/>
                <w:szCs w:val="32"/>
              </w:rPr>
            </w:pPr>
            <w:r>
              <w:rPr>
                <w:rFonts w:hint="eastAsia" w:ascii="仿宋" w:hAnsi="仿宋" w:eastAsia="仿宋" w:cs="仿宋_GB2312"/>
                <w:b/>
                <w:bCs/>
                <w:color w:val="000000"/>
                <w:kern w:val="0"/>
                <w:sz w:val="32"/>
                <w:szCs w:val="32"/>
              </w:rPr>
              <w:t>固定资产总额</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w:t>
            </w:r>
          </w:p>
        </w:tc>
        <w:tc>
          <w:tcPr>
            <w:tcW w:w="2835" w:type="dxa"/>
            <w:tcBorders>
              <w:top w:val="nil"/>
              <w:left w:val="nil"/>
              <w:bottom w:val="single" w:color="auto" w:sz="4" w:space="0"/>
              <w:right w:val="single" w:color="auto" w:sz="4" w:space="0"/>
            </w:tcBorders>
            <w:vAlign w:val="center"/>
          </w:tcPr>
          <w:p>
            <w:pPr>
              <w:widowControl/>
              <w:jc w:val="center"/>
              <w:rPr>
                <w:rFonts w:ascii="仿宋" w:hAnsi="仿宋" w:eastAsia="仿宋" w:cs="仿宋_GB2312"/>
                <w:b/>
                <w:color w:val="000000"/>
                <w:kern w:val="0"/>
                <w:sz w:val="32"/>
                <w:szCs w:val="32"/>
              </w:rPr>
            </w:pPr>
            <w:r>
              <w:rPr>
                <w:rFonts w:hint="eastAsia" w:ascii="仿宋" w:hAnsi="仿宋" w:eastAsia="仿宋" w:cs="仿宋_GB2312"/>
                <w:b/>
                <w:color w:val="000000"/>
                <w:kern w:val="0"/>
                <w:sz w:val="32"/>
                <w:szCs w:val="32"/>
              </w:rPr>
              <w:t>2.60</w:t>
            </w:r>
          </w:p>
        </w:tc>
      </w:tr>
      <w:tr>
        <w:tblPrEx>
          <w:tblCellMar>
            <w:top w:w="0" w:type="dxa"/>
            <w:left w:w="108" w:type="dxa"/>
            <w:bottom w:w="0" w:type="dxa"/>
            <w:right w:w="108" w:type="dxa"/>
          </w:tblCellMar>
        </w:tblPrEx>
        <w:trPr>
          <w:trHeight w:val="490" w:hRule="atLeast"/>
        </w:trPr>
        <w:tc>
          <w:tcPr>
            <w:tcW w:w="4651"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 xml:space="preserve">  1、房屋（平方米）</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s="仿宋_GB2312"/>
                <w:color w:val="000000"/>
                <w:kern w:val="0"/>
                <w:sz w:val="32"/>
                <w:szCs w:val="32"/>
              </w:rPr>
            </w:pPr>
          </w:p>
        </w:tc>
        <w:tc>
          <w:tcPr>
            <w:tcW w:w="2835" w:type="dxa"/>
            <w:tcBorders>
              <w:top w:val="nil"/>
              <w:left w:val="nil"/>
              <w:bottom w:val="single" w:color="auto" w:sz="4" w:space="0"/>
              <w:right w:val="single" w:color="auto" w:sz="4" w:space="0"/>
            </w:tcBorders>
            <w:vAlign w:val="center"/>
          </w:tcPr>
          <w:p>
            <w:pPr>
              <w:widowControl/>
              <w:jc w:val="center"/>
              <w:rPr>
                <w:rFonts w:ascii="仿宋" w:hAnsi="仿宋" w:eastAsia="仿宋" w:cs="仿宋_GB2312"/>
                <w:color w:val="000000"/>
                <w:kern w:val="0"/>
                <w:sz w:val="32"/>
                <w:szCs w:val="32"/>
              </w:rPr>
            </w:pPr>
          </w:p>
        </w:tc>
      </w:tr>
      <w:tr>
        <w:tblPrEx>
          <w:tblCellMar>
            <w:top w:w="0" w:type="dxa"/>
            <w:left w:w="108" w:type="dxa"/>
            <w:bottom w:w="0" w:type="dxa"/>
            <w:right w:w="108" w:type="dxa"/>
          </w:tblCellMar>
        </w:tblPrEx>
        <w:trPr>
          <w:trHeight w:val="425" w:hRule="atLeast"/>
        </w:trPr>
        <w:tc>
          <w:tcPr>
            <w:tcW w:w="465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 xml:space="preserve">   其中：办公用房（平方米）</w:t>
            </w:r>
          </w:p>
        </w:tc>
        <w:tc>
          <w:tcPr>
            <w:tcW w:w="127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_GB2312"/>
                <w:color w:val="000000"/>
                <w:kern w:val="0"/>
                <w:sz w:val="32"/>
                <w:szCs w:val="32"/>
              </w:rPr>
            </w:pPr>
          </w:p>
        </w:tc>
        <w:tc>
          <w:tcPr>
            <w:tcW w:w="283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_GB2312"/>
                <w:color w:val="000000"/>
                <w:kern w:val="0"/>
                <w:sz w:val="32"/>
                <w:szCs w:val="32"/>
              </w:rPr>
            </w:pPr>
          </w:p>
        </w:tc>
      </w:tr>
      <w:tr>
        <w:tblPrEx>
          <w:tblCellMar>
            <w:top w:w="0" w:type="dxa"/>
            <w:left w:w="108" w:type="dxa"/>
            <w:bottom w:w="0" w:type="dxa"/>
            <w:right w:w="108" w:type="dxa"/>
          </w:tblCellMar>
        </w:tblPrEx>
        <w:trPr>
          <w:trHeight w:val="502" w:hRule="atLeast"/>
        </w:trPr>
        <w:tc>
          <w:tcPr>
            <w:tcW w:w="4651"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 xml:space="preserve">  2、车辆（台、辆）</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s="仿宋_GB2312"/>
                <w:color w:val="000000"/>
                <w:kern w:val="0"/>
                <w:sz w:val="32"/>
                <w:szCs w:val="32"/>
              </w:rPr>
            </w:pPr>
          </w:p>
        </w:tc>
        <w:tc>
          <w:tcPr>
            <w:tcW w:w="2835" w:type="dxa"/>
            <w:tcBorders>
              <w:top w:val="nil"/>
              <w:left w:val="nil"/>
              <w:bottom w:val="single" w:color="auto" w:sz="4" w:space="0"/>
              <w:right w:val="single" w:color="auto" w:sz="4" w:space="0"/>
            </w:tcBorders>
            <w:vAlign w:val="center"/>
          </w:tcPr>
          <w:p>
            <w:pPr>
              <w:widowControl/>
              <w:jc w:val="center"/>
              <w:rPr>
                <w:rFonts w:ascii="仿宋" w:hAnsi="仿宋" w:eastAsia="仿宋" w:cs="仿宋_GB2312"/>
                <w:color w:val="000000"/>
                <w:kern w:val="0"/>
                <w:sz w:val="32"/>
                <w:szCs w:val="32"/>
              </w:rPr>
            </w:pPr>
          </w:p>
        </w:tc>
      </w:tr>
      <w:tr>
        <w:tblPrEx>
          <w:tblCellMar>
            <w:top w:w="0" w:type="dxa"/>
            <w:left w:w="108" w:type="dxa"/>
            <w:bottom w:w="0" w:type="dxa"/>
            <w:right w:w="108" w:type="dxa"/>
          </w:tblCellMar>
        </w:tblPrEx>
        <w:trPr>
          <w:trHeight w:val="620" w:hRule="atLeast"/>
        </w:trPr>
        <w:tc>
          <w:tcPr>
            <w:tcW w:w="4651"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 xml:space="preserve">  3、单价在20万元以上的设备</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s="仿宋_GB2312"/>
                <w:color w:val="000000"/>
                <w:kern w:val="0"/>
                <w:sz w:val="32"/>
                <w:szCs w:val="32"/>
              </w:rPr>
            </w:pPr>
          </w:p>
        </w:tc>
        <w:tc>
          <w:tcPr>
            <w:tcW w:w="2835" w:type="dxa"/>
            <w:tcBorders>
              <w:top w:val="nil"/>
              <w:left w:val="nil"/>
              <w:bottom w:val="single" w:color="auto" w:sz="4" w:space="0"/>
              <w:right w:val="single" w:color="auto" w:sz="4" w:space="0"/>
            </w:tcBorders>
            <w:vAlign w:val="center"/>
          </w:tcPr>
          <w:p>
            <w:pPr>
              <w:widowControl/>
              <w:rPr>
                <w:rFonts w:ascii="仿宋" w:hAnsi="仿宋" w:eastAsia="仿宋" w:cs="仿宋_GB2312"/>
                <w:color w:val="000000"/>
                <w:kern w:val="0"/>
                <w:sz w:val="32"/>
                <w:szCs w:val="32"/>
              </w:rPr>
            </w:pPr>
          </w:p>
        </w:tc>
      </w:tr>
      <w:tr>
        <w:tblPrEx>
          <w:tblCellMar>
            <w:top w:w="0" w:type="dxa"/>
            <w:left w:w="108" w:type="dxa"/>
            <w:bottom w:w="0" w:type="dxa"/>
            <w:right w:w="108" w:type="dxa"/>
          </w:tblCellMar>
        </w:tblPrEx>
        <w:trPr>
          <w:trHeight w:val="438" w:hRule="atLeast"/>
        </w:trPr>
        <w:tc>
          <w:tcPr>
            <w:tcW w:w="465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 xml:space="preserve">  4、其他固定资产</w:t>
            </w:r>
          </w:p>
        </w:tc>
        <w:tc>
          <w:tcPr>
            <w:tcW w:w="127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_GB2312"/>
                <w:color w:val="000000"/>
                <w:kern w:val="0"/>
                <w:sz w:val="32"/>
                <w:szCs w:val="32"/>
              </w:rPr>
            </w:pPr>
          </w:p>
        </w:tc>
        <w:tc>
          <w:tcPr>
            <w:tcW w:w="283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2.60</w:t>
            </w:r>
          </w:p>
        </w:tc>
      </w:tr>
    </w:tbl>
    <w:p>
      <w:pPr>
        <w:spacing w:line="300" w:lineRule="exact"/>
        <w:ind w:firstLine="640" w:firstLineChars="200"/>
        <w:jc w:val="left"/>
        <w:outlineLvl w:val="0"/>
        <w:rPr>
          <w:rFonts w:ascii="仿宋" w:hAnsi="仿宋" w:eastAsia="仿宋" w:cs="仿宋_GB2312"/>
          <w:sz w:val="32"/>
          <w:szCs w:val="32"/>
        </w:rPr>
      </w:pPr>
    </w:p>
    <w:p>
      <w:pPr>
        <w:spacing w:line="500" w:lineRule="exact"/>
        <w:jc w:val="center"/>
        <w:outlineLvl w:val="0"/>
        <w:rPr>
          <w:rFonts w:ascii="仿宋" w:hAnsi="仿宋" w:eastAsia="仿宋" w:cs="仿宋_GB2312"/>
          <w:b/>
          <w:sz w:val="32"/>
          <w:szCs w:val="32"/>
        </w:rPr>
      </w:pPr>
      <w:r>
        <w:rPr>
          <w:rFonts w:hint="eastAsia" w:ascii="仿宋" w:hAnsi="仿宋" w:eastAsia="仿宋" w:cs="仿宋_GB2312"/>
          <w:b/>
          <w:sz w:val="32"/>
          <w:szCs w:val="32"/>
        </w:rPr>
        <w:t>第八部分：名词解释</w:t>
      </w:r>
    </w:p>
    <w:p>
      <w:pPr>
        <w:spacing w:line="500" w:lineRule="exact"/>
        <w:jc w:val="center"/>
        <w:outlineLvl w:val="0"/>
        <w:rPr>
          <w:rFonts w:ascii="仿宋" w:hAnsi="仿宋" w:eastAsia="仿宋" w:cs="仿宋_GB2312"/>
          <w:b/>
          <w:sz w:val="32"/>
          <w:szCs w:val="32"/>
        </w:rPr>
      </w:pPr>
    </w:p>
    <w:p>
      <w:pPr>
        <w:spacing w:line="500" w:lineRule="exact"/>
        <w:ind w:firstLine="643" w:firstLineChars="200"/>
        <w:jc w:val="left"/>
        <w:outlineLvl w:val="0"/>
        <w:rPr>
          <w:rFonts w:ascii="仿宋" w:hAnsi="仿宋" w:eastAsia="仿宋" w:cs="仿宋_GB2312"/>
          <w:sz w:val="32"/>
          <w:szCs w:val="32"/>
        </w:rPr>
      </w:pPr>
      <w:r>
        <w:rPr>
          <w:rFonts w:hint="eastAsia" w:ascii="仿宋" w:hAnsi="仿宋" w:eastAsia="仿宋" w:cs="仿宋_GB2312"/>
          <w:b/>
          <w:sz w:val="32"/>
          <w:szCs w:val="32"/>
        </w:rPr>
        <w:t>1、财政拨款收入：</w:t>
      </w:r>
      <w:r>
        <w:rPr>
          <w:rFonts w:hint="eastAsia" w:ascii="仿宋" w:hAnsi="仿宋" w:eastAsia="仿宋" w:cs="仿宋_GB2312"/>
          <w:sz w:val="32"/>
          <w:szCs w:val="32"/>
        </w:rPr>
        <w:t>指县级财政当年拨付的资金。</w:t>
      </w:r>
    </w:p>
    <w:p>
      <w:pPr>
        <w:spacing w:line="500" w:lineRule="exact"/>
        <w:ind w:firstLine="643" w:firstLineChars="200"/>
        <w:jc w:val="left"/>
        <w:outlineLvl w:val="0"/>
        <w:rPr>
          <w:rFonts w:ascii="仿宋" w:hAnsi="仿宋" w:eastAsia="仿宋" w:cs="仿宋_GB2312"/>
          <w:sz w:val="32"/>
          <w:szCs w:val="32"/>
        </w:rPr>
      </w:pPr>
      <w:r>
        <w:rPr>
          <w:rFonts w:hint="eastAsia" w:ascii="仿宋" w:hAnsi="仿宋" w:eastAsia="仿宋" w:cs="仿宋_GB2312"/>
          <w:b/>
          <w:sz w:val="32"/>
          <w:szCs w:val="32"/>
        </w:rPr>
        <w:t>2、其他收入：</w:t>
      </w:r>
      <w:r>
        <w:rPr>
          <w:rFonts w:hint="eastAsia" w:ascii="仿宋" w:hAnsi="仿宋" w:eastAsia="仿宋" w:cs="仿宋_GB2312"/>
          <w:sz w:val="32"/>
          <w:szCs w:val="32"/>
        </w:rPr>
        <w:t>指除上述“财政拨款收入”、“事业收入”等以外的收入。</w:t>
      </w:r>
    </w:p>
    <w:p>
      <w:pPr>
        <w:spacing w:line="500" w:lineRule="exact"/>
        <w:ind w:firstLine="643" w:firstLineChars="200"/>
        <w:jc w:val="left"/>
        <w:outlineLvl w:val="0"/>
        <w:rPr>
          <w:rFonts w:ascii="仿宋" w:hAnsi="仿宋" w:eastAsia="仿宋" w:cs="仿宋_GB2312"/>
          <w:sz w:val="32"/>
          <w:szCs w:val="32"/>
        </w:rPr>
      </w:pPr>
      <w:r>
        <w:rPr>
          <w:rFonts w:hint="eastAsia" w:ascii="仿宋" w:hAnsi="仿宋" w:eastAsia="仿宋" w:cs="仿宋_GB2312"/>
          <w:b/>
          <w:sz w:val="32"/>
          <w:szCs w:val="32"/>
        </w:rPr>
        <w:t>3、基本支出：</w:t>
      </w:r>
      <w:r>
        <w:rPr>
          <w:rFonts w:hint="eastAsia" w:ascii="仿宋" w:hAnsi="仿宋" w:eastAsia="仿宋" w:cs="仿宋_GB2312"/>
          <w:sz w:val="32"/>
          <w:szCs w:val="32"/>
        </w:rPr>
        <w:t>指为保障机构正常运转、完成日常工作任务而发生的人员支出和公用支出。</w:t>
      </w:r>
    </w:p>
    <w:p>
      <w:pPr>
        <w:spacing w:line="500" w:lineRule="exact"/>
        <w:ind w:firstLine="643" w:firstLineChars="200"/>
        <w:jc w:val="left"/>
        <w:outlineLvl w:val="0"/>
        <w:rPr>
          <w:rFonts w:ascii="仿宋" w:hAnsi="仿宋" w:eastAsia="仿宋" w:cs="仿宋_GB2312"/>
          <w:sz w:val="32"/>
          <w:szCs w:val="32"/>
        </w:rPr>
      </w:pPr>
      <w:r>
        <w:rPr>
          <w:rFonts w:hint="eastAsia" w:ascii="仿宋" w:hAnsi="仿宋" w:eastAsia="仿宋" w:cs="仿宋_GB2312"/>
          <w:b/>
          <w:sz w:val="32"/>
          <w:szCs w:val="32"/>
        </w:rPr>
        <w:t>4、项目支出：</w:t>
      </w:r>
      <w:r>
        <w:rPr>
          <w:rFonts w:hint="eastAsia" w:ascii="仿宋" w:hAnsi="仿宋" w:eastAsia="仿宋" w:cs="仿宋_GB2312"/>
          <w:sz w:val="32"/>
          <w:szCs w:val="32"/>
        </w:rPr>
        <w:t>指在基本支出之外为完成特定行政任务和事业发展目标所发生的支出。</w:t>
      </w:r>
    </w:p>
    <w:p>
      <w:pPr>
        <w:spacing w:line="500" w:lineRule="exact"/>
        <w:ind w:firstLine="643" w:firstLineChars="200"/>
        <w:jc w:val="left"/>
        <w:outlineLvl w:val="0"/>
        <w:rPr>
          <w:rFonts w:ascii="仿宋" w:hAnsi="仿宋" w:eastAsia="仿宋" w:cs="仿宋_GB2312"/>
          <w:sz w:val="32"/>
          <w:szCs w:val="32"/>
        </w:rPr>
      </w:pPr>
      <w:r>
        <w:rPr>
          <w:rFonts w:hint="eastAsia" w:ascii="仿宋" w:hAnsi="仿宋" w:eastAsia="仿宋" w:cs="仿宋_GB2312"/>
          <w:b/>
          <w:sz w:val="32"/>
          <w:szCs w:val="32"/>
        </w:rPr>
        <w:t>5、“三公”经费：</w:t>
      </w:r>
      <w:r>
        <w:rPr>
          <w:rFonts w:hint="eastAsia" w:ascii="仿宋" w:hAnsi="仿宋" w:eastAsia="仿宋" w:cs="仿宋_GB2312"/>
          <w:sz w:val="32"/>
          <w:szCs w:val="32"/>
        </w:rPr>
        <w:t>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 w:hAnsi="仿宋" w:eastAsia="仿宋" w:cs="仿宋_GB2312"/>
          <w:sz w:val="32"/>
          <w:szCs w:val="32"/>
        </w:rPr>
      </w:pPr>
      <w:r>
        <w:rPr>
          <w:rFonts w:hint="eastAsia" w:ascii="仿宋" w:hAnsi="仿宋" w:eastAsia="仿宋" w:cs="仿宋_GB2312"/>
          <w:b/>
          <w:sz w:val="32"/>
          <w:szCs w:val="32"/>
        </w:rPr>
        <w:t xml:space="preserve">    6、机关运行费：</w:t>
      </w:r>
      <w:r>
        <w:rPr>
          <w:rFonts w:hint="eastAsia" w:ascii="仿宋" w:hAnsi="仿宋" w:eastAsia="仿宋" w:cs="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 w:hAnsi="仿宋" w:eastAsia="仿宋" w:cs="仿宋_GB2312"/>
          <w:sz w:val="32"/>
          <w:szCs w:val="32"/>
        </w:rPr>
      </w:pPr>
      <w:r>
        <w:rPr>
          <w:rFonts w:hint="eastAsia" w:ascii="仿宋" w:hAnsi="仿宋" w:eastAsia="仿宋" w:cs="仿宋_GB2312"/>
          <w:b/>
          <w:sz w:val="32"/>
          <w:szCs w:val="32"/>
        </w:rPr>
        <w:t xml:space="preserve">    7、公务费：</w:t>
      </w:r>
      <w:r>
        <w:rPr>
          <w:rFonts w:hint="eastAsia" w:ascii="仿宋" w:hAnsi="仿宋" w:eastAsia="仿宋" w:cs="仿宋_GB2312"/>
          <w:sz w:val="32"/>
          <w:szCs w:val="32"/>
        </w:rPr>
        <w:t>包括办公费、水电费、邮电费、取暖费、交通费、一般会议费和物业管理费之和。</w:t>
      </w:r>
    </w:p>
    <w:p>
      <w:pPr>
        <w:spacing w:line="500" w:lineRule="exact"/>
        <w:jc w:val="center"/>
        <w:outlineLvl w:val="0"/>
        <w:rPr>
          <w:rFonts w:ascii="仿宋" w:hAnsi="仿宋" w:eastAsia="仿宋" w:cs="仿宋_GB2312"/>
          <w:b/>
          <w:sz w:val="32"/>
          <w:szCs w:val="32"/>
        </w:rPr>
      </w:pPr>
      <w:r>
        <w:rPr>
          <w:rFonts w:hint="eastAsia" w:ascii="仿宋" w:hAnsi="仿宋" w:eastAsia="仿宋" w:cs="仿宋_GB2312"/>
          <w:b/>
          <w:sz w:val="32"/>
          <w:szCs w:val="32"/>
        </w:rPr>
        <w:t>第九部分：其他需说明的事项</w:t>
      </w:r>
    </w:p>
    <w:p>
      <w:pPr>
        <w:widowControl/>
        <w:spacing w:line="560" w:lineRule="atLeast"/>
        <w:jc w:val="left"/>
        <w:rPr>
          <w:rFonts w:ascii="仿宋" w:hAnsi="仿宋" w:eastAsia="仿宋" w:cs="仿宋_GB2312"/>
          <w:sz w:val="32"/>
          <w:szCs w:val="32"/>
        </w:rPr>
      </w:pPr>
      <w:r>
        <w:rPr>
          <w:rFonts w:hint="eastAsia" w:ascii="仿宋" w:hAnsi="仿宋" w:eastAsia="仿宋" w:cs="仿宋_GB2312"/>
          <w:sz w:val="32"/>
          <w:szCs w:val="32"/>
        </w:rPr>
        <w:t>无其他需说明的事项</w:t>
      </w:r>
    </w:p>
    <w:p>
      <w:pPr>
        <w:spacing w:line="300" w:lineRule="exact"/>
        <w:jc w:val="left"/>
        <w:outlineLvl w:val="0"/>
        <w:rPr>
          <w:rFonts w:ascii="仿宋" w:hAnsi="仿宋" w:eastAsia="仿宋"/>
          <w:sz w:val="32"/>
          <w:szCs w:val="32"/>
        </w:rPr>
      </w:pPr>
    </w:p>
    <w:p>
      <w:pPr>
        <w:tabs>
          <w:tab w:val="left" w:pos="1341"/>
        </w:tabs>
        <w:jc w:val="lef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separate"/>
    </w:r>
    <w:r>
      <w:rPr>
        <w:rStyle w:val="5"/>
      </w:rPr>
      <w:t>12</w: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2EB1CC"/>
    <w:multiLevelType w:val="singleLevel"/>
    <w:tmpl w:val="B12EB1C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MDQ2ZTlkZDFjYmJmMDdiNThjOTg0Y2YxYjU1YTQifQ=="/>
  </w:docVars>
  <w:rsids>
    <w:rsidRoot w:val="4C72220C"/>
    <w:rsid w:val="00154A3D"/>
    <w:rsid w:val="00C0393C"/>
    <w:rsid w:val="00C52856"/>
    <w:rsid w:val="00FB5751"/>
    <w:rsid w:val="00FE1BAF"/>
    <w:rsid w:val="16F90C2B"/>
    <w:rsid w:val="1C8920DE"/>
    <w:rsid w:val="214663DC"/>
    <w:rsid w:val="244A4490"/>
    <w:rsid w:val="29EF4FF4"/>
    <w:rsid w:val="32166357"/>
    <w:rsid w:val="37A6466E"/>
    <w:rsid w:val="3A2E6F12"/>
    <w:rsid w:val="43EE46B7"/>
    <w:rsid w:val="4C72220C"/>
    <w:rsid w:val="4D941C30"/>
    <w:rsid w:val="66D74469"/>
    <w:rsid w:val="7407773D"/>
    <w:rsid w:val="7792672D"/>
    <w:rsid w:val="7B9C3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character" w:styleId="5">
    <w:name w:val="page number"/>
    <w:basedOn w:val="4"/>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4682</Words>
  <Characters>926</Characters>
  <Lines>7</Lines>
  <Paragraphs>11</Paragraphs>
  <TotalTime>36</TotalTime>
  <ScaleCrop>false</ScaleCrop>
  <LinksUpToDate>false</LinksUpToDate>
  <CharactersWithSpaces>5597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2021-03-01T06:33:00Z</dcterms:created>
  <dc:creator>Administrator</dc:creator>
  <cp:lastModifiedBy>Administrator</cp:lastModifiedBy>
  <dcterms:modified xsi:type="dcterms:W3CDTF">2024-01-29T05:09:39Z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7383B5374E02456594028118A41645FB_13</vt:lpwstr>
  </property>
</Properties>
</file>