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一、涞源县人民政府办公室本级收支预算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1486.83</w:t>
            </w:r>
          </w:p>
        </w:tc>
        <w:tc>
          <w:tcPr>
            <w:tcW w:w="4535" w:type="dxa"/>
            <w:vAlign w:val="center"/>
          </w:tcPr>
          <w:p>
            <w:pPr>
              <w:pStyle w:val="14"/>
            </w:pPr>
            <w:r>
              <w:t>一、一般公共服务支出</w:t>
            </w:r>
          </w:p>
        </w:tc>
        <w:tc>
          <w:tcPr>
            <w:tcW w:w="2126" w:type="dxa"/>
            <w:vAlign w:val="center"/>
          </w:tcPr>
          <w:p>
            <w:pPr>
              <w:pStyle w:val="13"/>
            </w:pPr>
            <w:r>
              <w:t>1255.37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1486.83</w:t>
            </w:r>
          </w:p>
        </w:tc>
        <w:tc>
          <w:tcPr>
            <w:tcW w:w="4535" w:type="dxa"/>
            <w:vAlign w:val="center"/>
          </w:tcPr>
          <w:p>
            <w:pPr>
              <w:pStyle w:val="16"/>
            </w:pPr>
            <w:r>
              <w:t>本年支出合计</w:t>
            </w:r>
          </w:p>
        </w:tc>
        <w:tc>
          <w:tcPr>
            <w:tcW w:w="2126" w:type="dxa"/>
            <w:vAlign w:val="center"/>
          </w:tcPr>
          <w:p>
            <w:pPr>
              <w:pStyle w:val="17"/>
            </w:pPr>
            <w:r>
              <w:t>1486.83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1486.83</w:t>
            </w:r>
          </w:p>
        </w:tc>
        <w:tc>
          <w:tcPr>
            <w:tcW w:w="4535" w:type="dxa"/>
            <w:vAlign w:val="center"/>
          </w:tcPr>
          <w:p>
            <w:pPr>
              <w:pStyle w:val="16"/>
            </w:pPr>
            <w:r>
              <w:t>支出总计</w:t>
            </w:r>
          </w:p>
        </w:tc>
        <w:tc>
          <w:tcPr>
            <w:tcW w:w="2126" w:type="dxa"/>
            <w:vAlign w:val="center"/>
          </w:tcPr>
          <w:p>
            <w:pPr>
              <w:pStyle w:val="17"/>
            </w:pPr>
            <w:r>
              <w:t>1486.83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1486.83</w:t>
            </w:r>
          </w:p>
        </w:tc>
        <w:tc>
          <w:tcPr>
            <w:tcW w:w="1134" w:type="dxa"/>
            <w:vAlign w:val="center"/>
          </w:tcPr>
          <w:p>
            <w:pPr>
              <w:pStyle w:val="17"/>
            </w:pPr>
            <w:r>
              <w:t>1486.83</w:t>
            </w:r>
          </w:p>
        </w:tc>
        <w:tc>
          <w:tcPr>
            <w:tcW w:w="1134" w:type="dxa"/>
            <w:vAlign w:val="center"/>
          </w:tcPr>
          <w:p>
            <w:pPr>
              <w:pStyle w:val="17"/>
            </w:pPr>
            <w:r>
              <w:t>1486.83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1255.37</w:t>
            </w:r>
          </w:p>
        </w:tc>
        <w:tc>
          <w:tcPr>
            <w:tcW w:w="1134" w:type="dxa"/>
            <w:vAlign w:val="center"/>
          </w:tcPr>
          <w:p>
            <w:pPr>
              <w:pStyle w:val="13"/>
            </w:pPr>
            <w:r>
              <w:t>1255.37</w:t>
            </w:r>
          </w:p>
        </w:tc>
        <w:tc>
          <w:tcPr>
            <w:tcW w:w="1134" w:type="dxa"/>
            <w:vAlign w:val="center"/>
          </w:tcPr>
          <w:p>
            <w:pPr>
              <w:pStyle w:val="13"/>
            </w:pPr>
            <w:r>
              <w:t>1255.37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1255.37</w:t>
            </w:r>
          </w:p>
        </w:tc>
        <w:tc>
          <w:tcPr>
            <w:tcW w:w="1134" w:type="dxa"/>
            <w:vAlign w:val="center"/>
          </w:tcPr>
          <w:p>
            <w:pPr>
              <w:pStyle w:val="13"/>
            </w:pPr>
            <w:r>
              <w:t>1255.37</w:t>
            </w:r>
          </w:p>
        </w:tc>
        <w:tc>
          <w:tcPr>
            <w:tcW w:w="1134" w:type="dxa"/>
            <w:vAlign w:val="center"/>
          </w:tcPr>
          <w:p>
            <w:pPr>
              <w:pStyle w:val="13"/>
            </w:pPr>
            <w:r>
              <w:t>1255.37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1104.54</w:t>
            </w:r>
          </w:p>
        </w:tc>
        <w:tc>
          <w:tcPr>
            <w:tcW w:w="1134" w:type="dxa"/>
            <w:vAlign w:val="center"/>
          </w:tcPr>
          <w:p>
            <w:pPr>
              <w:pStyle w:val="13"/>
            </w:pPr>
            <w:r>
              <w:t>1104.54</w:t>
            </w:r>
          </w:p>
        </w:tc>
        <w:tc>
          <w:tcPr>
            <w:tcW w:w="1134" w:type="dxa"/>
            <w:vAlign w:val="center"/>
          </w:tcPr>
          <w:p>
            <w:pPr>
              <w:pStyle w:val="13"/>
            </w:pPr>
            <w:r>
              <w:t>1104.54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35.72</w:t>
            </w:r>
          </w:p>
        </w:tc>
        <w:tc>
          <w:tcPr>
            <w:tcW w:w="1134" w:type="dxa"/>
            <w:vAlign w:val="center"/>
          </w:tcPr>
          <w:p>
            <w:pPr>
              <w:pStyle w:val="13"/>
            </w:pPr>
            <w:r>
              <w:t>35.72</w:t>
            </w:r>
          </w:p>
        </w:tc>
        <w:tc>
          <w:tcPr>
            <w:tcW w:w="1134" w:type="dxa"/>
            <w:vAlign w:val="center"/>
          </w:tcPr>
          <w:p>
            <w:pPr>
              <w:pStyle w:val="13"/>
            </w:pPr>
            <w:r>
              <w:t>35.72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2010305</w:t>
            </w:r>
          </w:p>
        </w:tc>
        <w:tc>
          <w:tcPr>
            <w:tcW w:w="1559" w:type="dxa"/>
            <w:vAlign w:val="center"/>
          </w:tcPr>
          <w:p>
            <w:pPr>
              <w:pStyle w:val="14"/>
            </w:pPr>
            <w:r>
              <w:t>专项业务及机关事务管理</w:t>
            </w:r>
          </w:p>
        </w:tc>
        <w:tc>
          <w:tcPr>
            <w:tcW w:w="1134" w:type="dxa"/>
            <w:vAlign w:val="center"/>
          </w:tcPr>
          <w:p>
            <w:pPr>
              <w:pStyle w:val="13"/>
            </w:pPr>
            <w:r>
              <w:t>115.11</w:t>
            </w:r>
          </w:p>
        </w:tc>
        <w:tc>
          <w:tcPr>
            <w:tcW w:w="1134" w:type="dxa"/>
            <w:vAlign w:val="center"/>
          </w:tcPr>
          <w:p>
            <w:pPr>
              <w:pStyle w:val="13"/>
            </w:pPr>
            <w:r>
              <w:t>115.11</w:t>
            </w:r>
          </w:p>
        </w:tc>
        <w:tc>
          <w:tcPr>
            <w:tcW w:w="1134" w:type="dxa"/>
            <w:vAlign w:val="center"/>
          </w:tcPr>
          <w:p>
            <w:pPr>
              <w:pStyle w:val="13"/>
            </w:pPr>
            <w:r>
              <w:t>115.11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151.73</w:t>
            </w:r>
          </w:p>
        </w:tc>
        <w:tc>
          <w:tcPr>
            <w:tcW w:w="1134" w:type="dxa"/>
            <w:vAlign w:val="center"/>
          </w:tcPr>
          <w:p>
            <w:pPr>
              <w:pStyle w:val="13"/>
            </w:pPr>
            <w:r>
              <w:t>151.73</w:t>
            </w:r>
          </w:p>
        </w:tc>
        <w:tc>
          <w:tcPr>
            <w:tcW w:w="1134" w:type="dxa"/>
            <w:vAlign w:val="center"/>
          </w:tcPr>
          <w:p>
            <w:pPr>
              <w:pStyle w:val="13"/>
            </w:pPr>
            <w:r>
              <w:t>151.73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151.73</w:t>
            </w:r>
          </w:p>
        </w:tc>
        <w:tc>
          <w:tcPr>
            <w:tcW w:w="1134" w:type="dxa"/>
            <w:vAlign w:val="center"/>
          </w:tcPr>
          <w:p>
            <w:pPr>
              <w:pStyle w:val="13"/>
            </w:pPr>
            <w:r>
              <w:t>151.73</w:t>
            </w:r>
          </w:p>
        </w:tc>
        <w:tc>
          <w:tcPr>
            <w:tcW w:w="1134" w:type="dxa"/>
            <w:vAlign w:val="center"/>
          </w:tcPr>
          <w:p>
            <w:pPr>
              <w:pStyle w:val="13"/>
            </w:pPr>
            <w:r>
              <w:t>151.73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47.54</w:t>
            </w:r>
          </w:p>
        </w:tc>
        <w:tc>
          <w:tcPr>
            <w:tcW w:w="1134" w:type="dxa"/>
            <w:vAlign w:val="center"/>
          </w:tcPr>
          <w:p>
            <w:pPr>
              <w:pStyle w:val="13"/>
            </w:pPr>
            <w:r>
              <w:t>47.54</w:t>
            </w:r>
          </w:p>
        </w:tc>
        <w:tc>
          <w:tcPr>
            <w:tcW w:w="1134" w:type="dxa"/>
            <w:vAlign w:val="center"/>
          </w:tcPr>
          <w:p>
            <w:pPr>
              <w:pStyle w:val="13"/>
            </w:pPr>
            <w:r>
              <w:t>47.54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69.46</w:t>
            </w:r>
          </w:p>
        </w:tc>
        <w:tc>
          <w:tcPr>
            <w:tcW w:w="1134" w:type="dxa"/>
            <w:vAlign w:val="center"/>
          </w:tcPr>
          <w:p>
            <w:pPr>
              <w:pStyle w:val="13"/>
            </w:pPr>
            <w:r>
              <w:t>69.46</w:t>
            </w:r>
          </w:p>
        </w:tc>
        <w:tc>
          <w:tcPr>
            <w:tcW w:w="1134" w:type="dxa"/>
            <w:vAlign w:val="center"/>
          </w:tcPr>
          <w:p>
            <w:pPr>
              <w:pStyle w:val="13"/>
            </w:pPr>
            <w:r>
              <w:t>69.46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2150805</w:t>
            </w:r>
          </w:p>
        </w:tc>
        <w:tc>
          <w:tcPr>
            <w:tcW w:w="1559" w:type="dxa"/>
            <w:vAlign w:val="center"/>
          </w:tcPr>
          <w:p>
            <w:pPr>
              <w:pStyle w:val="14"/>
            </w:pPr>
            <w:r>
              <w:t>中小企业发展专项</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r>
              <w:t>34.73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1486.83</w:t>
            </w:r>
          </w:p>
        </w:tc>
        <w:tc>
          <w:tcPr>
            <w:tcW w:w="1361" w:type="dxa"/>
            <w:vAlign w:val="center"/>
          </w:tcPr>
          <w:p>
            <w:pPr>
              <w:pStyle w:val="17"/>
            </w:pPr>
            <w:r>
              <w:t>1191.02</w:t>
            </w:r>
          </w:p>
        </w:tc>
        <w:tc>
          <w:tcPr>
            <w:tcW w:w="1361" w:type="dxa"/>
            <w:vAlign w:val="center"/>
          </w:tcPr>
          <w:p>
            <w:pPr>
              <w:pStyle w:val="17"/>
            </w:pPr>
            <w:r>
              <w:t>295.81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1255.37</w:t>
            </w:r>
          </w:p>
        </w:tc>
        <w:tc>
          <w:tcPr>
            <w:tcW w:w="1361" w:type="dxa"/>
            <w:vAlign w:val="center"/>
          </w:tcPr>
          <w:p>
            <w:pPr>
              <w:pStyle w:val="13"/>
            </w:pPr>
            <w:r>
              <w:t>1004.56</w:t>
            </w:r>
          </w:p>
        </w:tc>
        <w:tc>
          <w:tcPr>
            <w:tcW w:w="1361" w:type="dxa"/>
            <w:vAlign w:val="center"/>
          </w:tcPr>
          <w:p>
            <w:pPr>
              <w:pStyle w:val="13"/>
            </w:pPr>
            <w:r>
              <w:t>250.81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1255.37</w:t>
            </w:r>
          </w:p>
        </w:tc>
        <w:tc>
          <w:tcPr>
            <w:tcW w:w="1361" w:type="dxa"/>
            <w:vAlign w:val="center"/>
          </w:tcPr>
          <w:p>
            <w:pPr>
              <w:pStyle w:val="13"/>
            </w:pPr>
            <w:r>
              <w:t>1004.56</w:t>
            </w:r>
          </w:p>
        </w:tc>
        <w:tc>
          <w:tcPr>
            <w:tcW w:w="1361" w:type="dxa"/>
            <w:vAlign w:val="center"/>
          </w:tcPr>
          <w:p>
            <w:pPr>
              <w:pStyle w:val="13"/>
            </w:pPr>
            <w:r>
              <w:t>250.81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1104.54</w:t>
            </w:r>
          </w:p>
        </w:tc>
        <w:tc>
          <w:tcPr>
            <w:tcW w:w="1361" w:type="dxa"/>
            <w:vAlign w:val="center"/>
          </w:tcPr>
          <w:p>
            <w:pPr>
              <w:pStyle w:val="13"/>
            </w:pPr>
            <w:r>
              <w:t>1004.56</w:t>
            </w:r>
          </w:p>
        </w:tc>
        <w:tc>
          <w:tcPr>
            <w:tcW w:w="1361" w:type="dxa"/>
            <w:vAlign w:val="center"/>
          </w:tcPr>
          <w:p>
            <w:pPr>
              <w:pStyle w:val="13"/>
            </w:pPr>
            <w:r>
              <w:t>99.98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35.72</w:t>
            </w:r>
          </w:p>
        </w:tc>
        <w:tc>
          <w:tcPr>
            <w:tcW w:w="1361" w:type="dxa"/>
            <w:vAlign w:val="center"/>
          </w:tcPr>
          <w:p>
            <w:pPr>
              <w:pStyle w:val="13"/>
            </w:pPr>
          </w:p>
        </w:tc>
        <w:tc>
          <w:tcPr>
            <w:tcW w:w="1361" w:type="dxa"/>
            <w:vAlign w:val="center"/>
          </w:tcPr>
          <w:p>
            <w:pPr>
              <w:pStyle w:val="13"/>
            </w:pPr>
            <w:r>
              <w:t>35.72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2010305</w:t>
            </w:r>
          </w:p>
        </w:tc>
        <w:tc>
          <w:tcPr>
            <w:tcW w:w="4535" w:type="dxa"/>
            <w:vAlign w:val="center"/>
          </w:tcPr>
          <w:p>
            <w:pPr>
              <w:pStyle w:val="14"/>
            </w:pPr>
            <w:r>
              <w:t>专项业务及机关事务管理</w:t>
            </w:r>
          </w:p>
        </w:tc>
        <w:tc>
          <w:tcPr>
            <w:tcW w:w="1361" w:type="dxa"/>
            <w:vAlign w:val="center"/>
          </w:tcPr>
          <w:p>
            <w:pPr>
              <w:pStyle w:val="13"/>
            </w:pPr>
            <w:r>
              <w:t>115.11</w:t>
            </w:r>
          </w:p>
        </w:tc>
        <w:tc>
          <w:tcPr>
            <w:tcW w:w="1361" w:type="dxa"/>
            <w:vAlign w:val="center"/>
          </w:tcPr>
          <w:p>
            <w:pPr>
              <w:pStyle w:val="13"/>
            </w:pPr>
          </w:p>
        </w:tc>
        <w:tc>
          <w:tcPr>
            <w:tcW w:w="1361" w:type="dxa"/>
            <w:vAlign w:val="center"/>
          </w:tcPr>
          <w:p>
            <w:pPr>
              <w:pStyle w:val="13"/>
            </w:pPr>
            <w:r>
              <w:t>115.11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151.73</w:t>
            </w:r>
          </w:p>
        </w:tc>
        <w:tc>
          <w:tcPr>
            <w:tcW w:w="1361" w:type="dxa"/>
            <w:vAlign w:val="center"/>
          </w:tcPr>
          <w:p>
            <w:pPr>
              <w:pStyle w:val="13"/>
            </w:pPr>
            <w:r>
              <w:t>151.73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151.73</w:t>
            </w:r>
          </w:p>
        </w:tc>
        <w:tc>
          <w:tcPr>
            <w:tcW w:w="1361" w:type="dxa"/>
            <w:vAlign w:val="center"/>
          </w:tcPr>
          <w:p>
            <w:pPr>
              <w:pStyle w:val="13"/>
            </w:pPr>
            <w:r>
              <w:t>151.73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47.54</w:t>
            </w:r>
          </w:p>
        </w:tc>
        <w:tc>
          <w:tcPr>
            <w:tcW w:w="1361" w:type="dxa"/>
            <w:vAlign w:val="center"/>
          </w:tcPr>
          <w:p>
            <w:pPr>
              <w:pStyle w:val="13"/>
            </w:pPr>
            <w:r>
              <w:t>47.54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69.46</w:t>
            </w:r>
          </w:p>
        </w:tc>
        <w:tc>
          <w:tcPr>
            <w:tcW w:w="1361" w:type="dxa"/>
            <w:vAlign w:val="center"/>
          </w:tcPr>
          <w:p>
            <w:pPr>
              <w:pStyle w:val="13"/>
            </w:pPr>
            <w:r>
              <w:t>69.46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34.73</w:t>
            </w:r>
          </w:p>
        </w:tc>
        <w:tc>
          <w:tcPr>
            <w:tcW w:w="1361" w:type="dxa"/>
            <w:vAlign w:val="center"/>
          </w:tcPr>
          <w:p>
            <w:pPr>
              <w:pStyle w:val="13"/>
            </w:pPr>
            <w:r>
              <w:t>34.73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2150805</w:t>
            </w:r>
          </w:p>
        </w:tc>
        <w:tc>
          <w:tcPr>
            <w:tcW w:w="4535" w:type="dxa"/>
            <w:vAlign w:val="center"/>
          </w:tcPr>
          <w:p>
            <w:pPr>
              <w:pStyle w:val="14"/>
            </w:pPr>
            <w:r>
              <w:t>中小企业发展专项</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34.73</w:t>
            </w:r>
          </w:p>
        </w:tc>
        <w:tc>
          <w:tcPr>
            <w:tcW w:w="1361" w:type="dxa"/>
            <w:vAlign w:val="center"/>
          </w:tcPr>
          <w:p>
            <w:pPr>
              <w:pStyle w:val="13"/>
            </w:pPr>
            <w:r>
              <w:t>34.73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34.73</w:t>
            </w:r>
          </w:p>
        </w:tc>
        <w:tc>
          <w:tcPr>
            <w:tcW w:w="1361" w:type="dxa"/>
            <w:vAlign w:val="center"/>
          </w:tcPr>
          <w:p>
            <w:pPr>
              <w:pStyle w:val="13"/>
            </w:pPr>
            <w:r>
              <w:t>34.73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34.73</w:t>
            </w:r>
          </w:p>
        </w:tc>
        <w:tc>
          <w:tcPr>
            <w:tcW w:w="1361" w:type="dxa"/>
            <w:vAlign w:val="center"/>
          </w:tcPr>
          <w:p>
            <w:pPr>
              <w:pStyle w:val="13"/>
            </w:pPr>
            <w:r>
              <w:t>34.73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1486.83</w:t>
            </w:r>
          </w:p>
        </w:tc>
        <w:tc>
          <w:tcPr>
            <w:tcW w:w="3402" w:type="dxa"/>
            <w:vAlign w:val="center"/>
          </w:tcPr>
          <w:p>
            <w:pPr>
              <w:pStyle w:val="14"/>
            </w:pPr>
            <w:r>
              <w:t>一、一般公共服务支出</w:t>
            </w:r>
          </w:p>
        </w:tc>
        <w:tc>
          <w:tcPr>
            <w:tcW w:w="1474" w:type="dxa"/>
            <w:vAlign w:val="center"/>
          </w:tcPr>
          <w:p>
            <w:pPr>
              <w:pStyle w:val="13"/>
            </w:pPr>
            <w:r>
              <w:t>1255.37</w:t>
            </w:r>
          </w:p>
        </w:tc>
        <w:tc>
          <w:tcPr>
            <w:tcW w:w="1474" w:type="dxa"/>
            <w:vAlign w:val="center"/>
          </w:tcPr>
          <w:p>
            <w:pPr>
              <w:pStyle w:val="13"/>
            </w:pPr>
            <w:r>
              <w:t>1255.37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151.73</w:t>
            </w:r>
          </w:p>
        </w:tc>
        <w:tc>
          <w:tcPr>
            <w:tcW w:w="1474" w:type="dxa"/>
            <w:vAlign w:val="center"/>
          </w:tcPr>
          <w:p>
            <w:pPr>
              <w:pStyle w:val="13"/>
            </w:pPr>
            <w:r>
              <w:t>151.73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45.00</w:t>
            </w:r>
          </w:p>
        </w:tc>
        <w:tc>
          <w:tcPr>
            <w:tcW w:w="1474" w:type="dxa"/>
            <w:vAlign w:val="center"/>
          </w:tcPr>
          <w:p>
            <w:pPr>
              <w:pStyle w:val="13"/>
            </w:pPr>
            <w:r>
              <w:t>45.00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34.73</w:t>
            </w:r>
          </w:p>
        </w:tc>
        <w:tc>
          <w:tcPr>
            <w:tcW w:w="1474" w:type="dxa"/>
            <w:vAlign w:val="center"/>
          </w:tcPr>
          <w:p>
            <w:pPr>
              <w:pStyle w:val="13"/>
            </w:pPr>
            <w:r>
              <w:t>34.73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1486.83</w:t>
            </w:r>
          </w:p>
        </w:tc>
        <w:tc>
          <w:tcPr>
            <w:tcW w:w="3402" w:type="dxa"/>
            <w:vAlign w:val="center"/>
          </w:tcPr>
          <w:p>
            <w:pPr>
              <w:pStyle w:val="16"/>
            </w:pPr>
            <w:r>
              <w:t>本年支出合计</w:t>
            </w:r>
          </w:p>
        </w:tc>
        <w:tc>
          <w:tcPr>
            <w:tcW w:w="1474" w:type="dxa"/>
            <w:vAlign w:val="center"/>
          </w:tcPr>
          <w:p>
            <w:pPr>
              <w:pStyle w:val="17"/>
            </w:pPr>
            <w:r>
              <w:t>1486.83</w:t>
            </w:r>
          </w:p>
        </w:tc>
        <w:tc>
          <w:tcPr>
            <w:tcW w:w="1474" w:type="dxa"/>
            <w:vAlign w:val="center"/>
          </w:tcPr>
          <w:p>
            <w:pPr>
              <w:pStyle w:val="17"/>
            </w:pPr>
            <w:r>
              <w:t>1486.83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1486.83</w:t>
            </w:r>
          </w:p>
        </w:tc>
        <w:tc>
          <w:tcPr>
            <w:tcW w:w="3402" w:type="dxa"/>
            <w:vAlign w:val="center"/>
          </w:tcPr>
          <w:p>
            <w:pPr>
              <w:pStyle w:val="16"/>
            </w:pPr>
            <w:r>
              <w:t>支出总计</w:t>
            </w:r>
          </w:p>
        </w:tc>
        <w:tc>
          <w:tcPr>
            <w:tcW w:w="1474" w:type="dxa"/>
            <w:vAlign w:val="center"/>
          </w:tcPr>
          <w:p>
            <w:pPr>
              <w:pStyle w:val="17"/>
            </w:pPr>
            <w:r>
              <w:t>1486.83</w:t>
            </w:r>
          </w:p>
        </w:tc>
        <w:tc>
          <w:tcPr>
            <w:tcW w:w="1474" w:type="dxa"/>
            <w:vAlign w:val="center"/>
          </w:tcPr>
          <w:p>
            <w:pPr>
              <w:pStyle w:val="17"/>
            </w:pPr>
            <w:r>
              <w:t>1486.83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1486.83</w:t>
            </w:r>
          </w:p>
        </w:tc>
        <w:tc>
          <w:tcPr>
            <w:tcW w:w="2551" w:type="dxa"/>
            <w:vAlign w:val="center"/>
          </w:tcPr>
          <w:p>
            <w:pPr>
              <w:pStyle w:val="17"/>
            </w:pPr>
            <w:r>
              <w:t>1191.02</w:t>
            </w:r>
          </w:p>
        </w:tc>
        <w:tc>
          <w:tcPr>
            <w:tcW w:w="2551" w:type="dxa"/>
            <w:vAlign w:val="center"/>
          </w:tcPr>
          <w:p>
            <w:pPr>
              <w:pStyle w:val="17"/>
            </w:pPr>
            <w:r>
              <w:t>295.81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1255.37</w:t>
            </w:r>
          </w:p>
        </w:tc>
        <w:tc>
          <w:tcPr>
            <w:tcW w:w="2551" w:type="dxa"/>
            <w:vAlign w:val="center"/>
          </w:tcPr>
          <w:p>
            <w:pPr>
              <w:pStyle w:val="13"/>
            </w:pPr>
            <w:r>
              <w:t>1004.56</w:t>
            </w:r>
          </w:p>
        </w:tc>
        <w:tc>
          <w:tcPr>
            <w:tcW w:w="2551" w:type="dxa"/>
            <w:vAlign w:val="center"/>
          </w:tcPr>
          <w:p>
            <w:pPr>
              <w:pStyle w:val="13"/>
            </w:pPr>
            <w:r>
              <w:t>250.81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1255.37</w:t>
            </w:r>
          </w:p>
        </w:tc>
        <w:tc>
          <w:tcPr>
            <w:tcW w:w="2551" w:type="dxa"/>
            <w:vAlign w:val="center"/>
          </w:tcPr>
          <w:p>
            <w:pPr>
              <w:pStyle w:val="13"/>
            </w:pPr>
            <w:r>
              <w:t>1004.56</w:t>
            </w:r>
          </w:p>
        </w:tc>
        <w:tc>
          <w:tcPr>
            <w:tcW w:w="2551" w:type="dxa"/>
            <w:vAlign w:val="center"/>
          </w:tcPr>
          <w:p>
            <w:pPr>
              <w:pStyle w:val="13"/>
            </w:pPr>
            <w:r>
              <w:t>250.81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1104.54</w:t>
            </w:r>
          </w:p>
        </w:tc>
        <w:tc>
          <w:tcPr>
            <w:tcW w:w="2551" w:type="dxa"/>
            <w:vAlign w:val="center"/>
          </w:tcPr>
          <w:p>
            <w:pPr>
              <w:pStyle w:val="13"/>
            </w:pPr>
            <w:r>
              <w:t>1004.56</w:t>
            </w:r>
          </w:p>
        </w:tc>
        <w:tc>
          <w:tcPr>
            <w:tcW w:w="2551" w:type="dxa"/>
            <w:vAlign w:val="center"/>
          </w:tcPr>
          <w:p>
            <w:pPr>
              <w:pStyle w:val="13"/>
            </w:pPr>
            <w:r>
              <w:t>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35.72</w:t>
            </w:r>
          </w:p>
        </w:tc>
        <w:tc>
          <w:tcPr>
            <w:tcW w:w="2551" w:type="dxa"/>
            <w:vAlign w:val="center"/>
          </w:tcPr>
          <w:p>
            <w:pPr>
              <w:pStyle w:val="13"/>
            </w:pPr>
          </w:p>
        </w:tc>
        <w:tc>
          <w:tcPr>
            <w:tcW w:w="2551" w:type="dxa"/>
            <w:vAlign w:val="center"/>
          </w:tcPr>
          <w:p>
            <w:pPr>
              <w:pStyle w:val="13"/>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2010305</w:t>
            </w:r>
          </w:p>
        </w:tc>
        <w:tc>
          <w:tcPr>
            <w:tcW w:w="4535" w:type="dxa"/>
            <w:vAlign w:val="center"/>
          </w:tcPr>
          <w:p>
            <w:pPr>
              <w:pStyle w:val="14"/>
            </w:pPr>
            <w:r>
              <w:t>专项业务及机关事务管理</w:t>
            </w:r>
          </w:p>
        </w:tc>
        <w:tc>
          <w:tcPr>
            <w:tcW w:w="2551" w:type="dxa"/>
            <w:vAlign w:val="center"/>
          </w:tcPr>
          <w:p>
            <w:pPr>
              <w:pStyle w:val="13"/>
            </w:pPr>
            <w:r>
              <w:t>115.11</w:t>
            </w:r>
          </w:p>
        </w:tc>
        <w:tc>
          <w:tcPr>
            <w:tcW w:w="2551" w:type="dxa"/>
            <w:vAlign w:val="center"/>
          </w:tcPr>
          <w:p>
            <w:pPr>
              <w:pStyle w:val="13"/>
            </w:pPr>
          </w:p>
        </w:tc>
        <w:tc>
          <w:tcPr>
            <w:tcW w:w="2551" w:type="dxa"/>
            <w:vAlign w:val="center"/>
          </w:tcPr>
          <w:p>
            <w:pPr>
              <w:pStyle w:val="13"/>
            </w:pPr>
            <w:r>
              <w:t>115.11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151.73</w:t>
            </w:r>
          </w:p>
        </w:tc>
        <w:tc>
          <w:tcPr>
            <w:tcW w:w="2551" w:type="dxa"/>
            <w:vAlign w:val="center"/>
          </w:tcPr>
          <w:p>
            <w:pPr>
              <w:pStyle w:val="13"/>
            </w:pPr>
            <w:r>
              <w:t>151.73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151.73</w:t>
            </w:r>
          </w:p>
        </w:tc>
        <w:tc>
          <w:tcPr>
            <w:tcW w:w="2551" w:type="dxa"/>
            <w:vAlign w:val="center"/>
          </w:tcPr>
          <w:p>
            <w:pPr>
              <w:pStyle w:val="13"/>
            </w:pPr>
            <w:r>
              <w:t>151.73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47.54</w:t>
            </w:r>
          </w:p>
        </w:tc>
        <w:tc>
          <w:tcPr>
            <w:tcW w:w="2551" w:type="dxa"/>
            <w:vAlign w:val="center"/>
          </w:tcPr>
          <w:p>
            <w:pPr>
              <w:pStyle w:val="13"/>
            </w:pPr>
            <w:r>
              <w:t>47.54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69.46</w:t>
            </w:r>
          </w:p>
        </w:tc>
        <w:tc>
          <w:tcPr>
            <w:tcW w:w="2551" w:type="dxa"/>
            <w:vAlign w:val="center"/>
          </w:tcPr>
          <w:p>
            <w:pPr>
              <w:pStyle w:val="13"/>
            </w:pPr>
            <w:r>
              <w:t>69.46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34.73</w:t>
            </w:r>
          </w:p>
        </w:tc>
        <w:tc>
          <w:tcPr>
            <w:tcW w:w="2551" w:type="dxa"/>
            <w:vAlign w:val="center"/>
          </w:tcPr>
          <w:p>
            <w:pPr>
              <w:pStyle w:val="13"/>
            </w:pPr>
            <w:r>
              <w:t>34.73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2150805</w:t>
            </w:r>
          </w:p>
        </w:tc>
        <w:tc>
          <w:tcPr>
            <w:tcW w:w="4535" w:type="dxa"/>
            <w:vAlign w:val="center"/>
          </w:tcPr>
          <w:p>
            <w:pPr>
              <w:pStyle w:val="14"/>
            </w:pPr>
            <w:r>
              <w:t>中小企业发展专项</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34.73</w:t>
            </w:r>
          </w:p>
        </w:tc>
        <w:tc>
          <w:tcPr>
            <w:tcW w:w="2551" w:type="dxa"/>
            <w:vAlign w:val="center"/>
          </w:tcPr>
          <w:p>
            <w:pPr>
              <w:pStyle w:val="13"/>
            </w:pPr>
            <w:r>
              <w:t>34.73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34.73</w:t>
            </w:r>
          </w:p>
        </w:tc>
        <w:tc>
          <w:tcPr>
            <w:tcW w:w="2551" w:type="dxa"/>
            <w:vAlign w:val="center"/>
          </w:tcPr>
          <w:p>
            <w:pPr>
              <w:pStyle w:val="13"/>
            </w:pPr>
            <w:r>
              <w:t>34.73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34.73</w:t>
            </w:r>
          </w:p>
        </w:tc>
        <w:tc>
          <w:tcPr>
            <w:tcW w:w="2551" w:type="dxa"/>
            <w:vAlign w:val="center"/>
          </w:tcPr>
          <w:p>
            <w:pPr>
              <w:pStyle w:val="13"/>
            </w:pPr>
            <w:r>
              <w:t>34.73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1191.02</w:t>
            </w:r>
          </w:p>
        </w:tc>
        <w:tc>
          <w:tcPr>
            <w:tcW w:w="2551" w:type="dxa"/>
            <w:vAlign w:val="center"/>
          </w:tcPr>
          <w:p>
            <w:pPr>
              <w:pStyle w:val="17"/>
            </w:pPr>
            <w:r>
              <w:t>822.18</w:t>
            </w:r>
          </w:p>
        </w:tc>
        <w:tc>
          <w:tcPr>
            <w:tcW w:w="2551" w:type="dxa"/>
            <w:vAlign w:val="center"/>
          </w:tcPr>
          <w:p>
            <w:pPr>
              <w:pStyle w:val="17"/>
            </w:pPr>
            <w:r>
              <w:t>368.84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773.68</w:t>
            </w:r>
          </w:p>
        </w:tc>
        <w:tc>
          <w:tcPr>
            <w:tcW w:w="2551" w:type="dxa"/>
            <w:vAlign w:val="center"/>
          </w:tcPr>
          <w:p>
            <w:pPr>
              <w:pStyle w:val="13"/>
            </w:pPr>
            <w:r>
              <w:t>773.68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353.13</w:t>
            </w:r>
          </w:p>
        </w:tc>
        <w:tc>
          <w:tcPr>
            <w:tcW w:w="2551" w:type="dxa"/>
            <w:vAlign w:val="center"/>
          </w:tcPr>
          <w:p>
            <w:pPr>
              <w:pStyle w:val="13"/>
            </w:pPr>
            <w:r>
              <w:t>353.13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127.26</w:t>
            </w:r>
          </w:p>
        </w:tc>
        <w:tc>
          <w:tcPr>
            <w:tcW w:w="2551" w:type="dxa"/>
            <w:vAlign w:val="center"/>
          </w:tcPr>
          <w:p>
            <w:pPr>
              <w:pStyle w:val="13"/>
            </w:pPr>
            <w:r>
              <w:t>127.26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43.29</w:t>
            </w:r>
          </w:p>
        </w:tc>
        <w:tc>
          <w:tcPr>
            <w:tcW w:w="2551" w:type="dxa"/>
            <w:vAlign w:val="center"/>
          </w:tcPr>
          <w:p>
            <w:pPr>
              <w:pStyle w:val="13"/>
            </w:pPr>
            <w:r>
              <w:t>43.29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79.83</w:t>
            </w:r>
          </w:p>
        </w:tc>
        <w:tc>
          <w:tcPr>
            <w:tcW w:w="2551" w:type="dxa"/>
            <w:vAlign w:val="center"/>
          </w:tcPr>
          <w:p>
            <w:pPr>
              <w:pStyle w:val="13"/>
            </w:pPr>
            <w:r>
              <w:t>79.83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69.46</w:t>
            </w:r>
          </w:p>
        </w:tc>
        <w:tc>
          <w:tcPr>
            <w:tcW w:w="2551" w:type="dxa"/>
            <w:vAlign w:val="center"/>
          </w:tcPr>
          <w:p>
            <w:pPr>
              <w:pStyle w:val="13"/>
            </w:pPr>
            <w:r>
              <w:t>69.46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34.73</w:t>
            </w:r>
          </w:p>
        </w:tc>
        <w:tc>
          <w:tcPr>
            <w:tcW w:w="2551" w:type="dxa"/>
            <w:vAlign w:val="center"/>
          </w:tcPr>
          <w:p>
            <w:pPr>
              <w:pStyle w:val="13"/>
            </w:pPr>
            <w:r>
              <w:t>34.73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28.09</w:t>
            </w:r>
          </w:p>
        </w:tc>
        <w:tc>
          <w:tcPr>
            <w:tcW w:w="2551" w:type="dxa"/>
            <w:vAlign w:val="center"/>
          </w:tcPr>
          <w:p>
            <w:pPr>
              <w:pStyle w:val="13"/>
            </w:pPr>
            <w:r>
              <w:t>28.09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3.16</w:t>
            </w:r>
          </w:p>
        </w:tc>
        <w:tc>
          <w:tcPr>
            <w:tcW w:w="2551" w:type="dxa"/>
            <w:vAlign w:val="center"/>
          </w:tcPr>
          <w:p>
            <w:pPr>
              <w:pStyle w:val="13"/>
            </w:pPr>
            <w:r>
              <w:t>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34.73</w:t>
            </w:r>
          </w:p>
        </w:tc>
        <w:tc>
          <w:tcPr>
            <w:tcW w:w="2551" w:type="dxa"/>
            <w:vAlign w:val="center"/>
          </w:tcPr>
          <w:p>
            <w:pPr>
              <w:pStyle w:val="13"/>
            </w:pPr>
            <w:r>
              <w:t>34.73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368.84</w:t>
            </w:r>
          </w:p>
        </w:tc>
        <w:tc>
          <w:tcPr>
            <w:tcW w:w="2551" w:type="dxa"/>
            <w:vAlign w:val="center"/>
          </w:tcPr>
          <w:p>
            <w:pPr>
              <w:pStyle w:val="13"/>
            </w:pPr>
          </w:p>
        </w:tc>
        <w:tc>
          <w:tcPr>
            <w:tcW w:w="2551" w:type="dxa"/>
            <w:vAlign w:val="center"/>
          </w:tcPr>
          <w:p>
            <w:pPr>
              <w:pStyle w:val="13"/>
            </w:pPr>
            <w:r>
              <w:t>368.84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97.49</w:t>
            </w:r>
          </w:p>
        </w:tc>
        <w:tc>
          <w:tcPr>
            <w:tcW w:w="2551" w:type="dxa"/>
            <w:vAlign w:val="center"/>
          </w:tcPr>
          <w:p>
            <w:pPr>
              <w:pStyle w:val="13"/>
            </w:pPr>
          </w:p>
        </w:tc>
        <w:tc>
          <w:tcPr>
            <w:tcW w:w="2551" w:type="dxa"/>
            <w:vAlign w:val="center"/>
          </w:tcPr>
          <w:p>
            <w:pPr>
              <w:pStyle w:val="13"/>
            </w:pPr>
            <w:r>
              <w:t>97.49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14.04</w:t>
            </w:r>
          </w:p>
        </w:tc>
        <w:tc>
          <w:tcPr>
            <w:tcW w:w="2551" w:type="dxa"/>
            <w:vAlign w:val="center"/>
          </w:tcPr>
          <w:p>
            <w:pPr>
              <w:pStyle w:val="13"/>
            </w:pPr>
          </w:p>
        </w:tc>
        <w:tc>
          <w:tcPr>
            <w:tcW w:w="2551" w:type="dxa"/>
            <w:vAlign w:val="center"/>
          </w:tcPr>
          <w:p>
            <w:pPr>
              <w:pStyle w:val="13"/>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7.97</w:t>
            </w:r>
          </w:p>
        </w:tc>
        <w:tc>
          <w:tcPr>
            <w:tcW w:w="2551" w:type="dxa"/>
            <w:vAlign w:val="center"/>
          </w:tcPr>
          <w:p>
            <w:pPr>
              <w:pStyle w:val="13"/>
            </w:pPr>
          </w:p>
        </w:tc>
        <w:tc>
          <w:tcPr>
            <w:tcW w:w="2551"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33.60</w:t>
            </w:r>
          </w:p>
        </w:tc>
        <w:tc>
          <w:tcPr>
            <w:tcW w:w="2551" w:type="dxa"/>
            <w:vAlign w:val="center"/>
          </w:tcPr>
          <w:p>
            <w:pPr>
              <w:pStyle w:val="13"/>
            </w:pPr>
          </w:p>
        </w:tc>
        <w:tc>
          <w:tcPr>
            <w:tcW w:w="2551" w:type="dxa"/>
            <w:vAlign w:val="center"/>
          </w:tcPr>
          <w:p>
            <w:pPr>
              <w:pStyle w:val="13"/>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95.00</w:t>
            </w:r>
          </w:p>
        </w:tc>
        <w:tc>
          <w:tcPr>
            <w:tcW w:w="2551" w:type="dxa"/>
            <w:vAlign w:val="center"/>
          </w:tcPr>
          <w:p>
            <w:pPr>
              <w:pStyle w:val="13"/>
            </w:pPr>
          </w:p>
        </w:tc>
        <w:tc>
          <w:tcPr>
            <w:tcW w:w="2551"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19.74</w:t>
            </w:r>
          </w:p>
        </w:tc>
        <w:tc>
          <w:tcPr>
            <w:tcW w:w="2551" w:type="dxa"/>
            <w:vAlign w:val="center"/>
          </w:tcPr>
          <w:p>
            <w:pPr>
              <w:pStyle w:val="13"/>
            </w:pPr>
          </w:p>
        </w:tc>
        <w:tc>
          <w:tcPr>
            <w:tcW w:w="2551" w:type="dxa"/>
            <w:vAlign w:val="center"/>
          </w:tcPr>
          <w:p>
            <w:pPr>
              <w:pStyle w:val="13"/>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48.50</w:t>
            </w:r>
          </w:p>
        </w:tc>
        <w:tc>
          <w:tcPr>
            <w:tcW w:w="2551" w:type="dxa"/>
            <w:vAlign w:val="center"/>
          </w:tcPr>
          <w:p>
            <w:pPr>
              <w:pStyle w:val="13"/>
            </w:pPr>
            <w:r>
              <w:t>48.50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14.27</w:t>
            </w:r>
          </w:p>
        </w:tc>
        <w:tc>
          <w:tcPr>
            <w:tcW w:w="2551" w:type="dxa"/>
            <w:vAlign w:val="center"/>
          </w:tcPr>
          <w:p>
            <w:pPr>
              <w:pStyle w:val="13"/>
            </w:pPr>
            <w:r>
              <w:t>14.27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33.27</w:t>
            </w:r>
          </w:p>
        </w:tc>
        <w:tc>
          <w:tcPr>
            <w:tcW w:w="2551" w:type="dxa"/>
            <w:vAlign w:val="center"/>
          </w:tcPr>
          <w:p>
            <w:pPr>
              <w:pStyle w:val="13"/>
            </w:pPr>
            <w:r>
              <w:t>33.27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186.00</w:t>
            </w:r>
          </w:p>
        </w:tc>
        <w:tc>
          <w:tcPr>
            <w:tcW w:w="2381" w:type="dxa"/>
            <w:vAlign w:val="center"/>
          </w:tcPr>
          <w:p>
            <w:pPr>
              <w:pStyle w:val="17"/>
            </w:pPr>
            <w:r>
              <w:t>186.00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171.00</w:t>
            </w:r>
          </w:p>
        </w:tc>
        <w:tc>
          <w:tcPr>
            <w:tcW w:w="2381" w:type="dxa"/>
            <w:vAlign w:val="center"/>
          </w:tcPr>
          <w:p>
            <w:pPr>
              <w:pStyle w:val="13"/>
            </w:pPr>
            <w:r>
              <w:t>171.00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r>
              <w:t>7.00</w:t>
            </w:r>
          </w:p>
        </w:tc>
        <w:tc>
          <w:tcPr>
            <w:tcW w:w="2381" w:type="dxa"/>
            <w:vAlign w:val="center"/>
          </w:tcPr>
          <w:p>
            <w:pPr>
              <w:pStyle w:val="13"/>
            </w:pPr>
            <w:r>
              <w:t>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r>
              <w:t>7.00</w:t>
            </w:r>
          </w:p>
        </w:tc>
        <w:tc>
          <w:tcPr>
            <w:tcW w:w="2381" w:type="dxa"/>
            <w:vAlign w:val="center"/>
          </w:tcPr>
          <w:p>
            <w:pPr>
              <w:pStyle w:val="13"/>
            </w:pPr>
            <w:r>
              <w:t>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69.00</w:t>
            </w:r>
          </w:p>
        </w:tc>
        <w:tc>
          <w:tcPr>
            <w:tcW w:w="2381" w:type="dxa"/>
            <w:vAlign w:val="center"/>
          </w:tcPr>
          <w:p>
            <w:pPr>
              <w:pStyle w:val="13"/>
            </w:pPr>
            <w:r>
              <w:t>69.00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69.00</w:t>
            </w:r>
          </w:p>
        </w:tc>
        <w:tc>
          <w:tcPr>
            <w:tcW w:w="2381" w:type="dxa"/>
            <w:vAlign w:val="center"/>
          </w:tcPr>
          <w:p>
            <w:pPr>
              <w:pStyle w:val="13"/>
            </w:pPr>
            <w:r>
              <w:t>69.00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95.00</w:t>
            </w:r>
          </w:p>
        </w:tc>
        <w:tc>
          <w:tcPr>
            <w:tcW w:w="2381" w:type="dxa"/>
            <w:vAlign w:val="center"/>
          </w:tcPr>
          <w:p>
            <w:pPr>
              <w:pStyle w:val="13"/>
            </w:pPr>
            <w:r>
              <w:t>95.00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涞源县人民政府办公室本级2024年单位预算信息公开情况说明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按照《中华人民共和国预算法》、《地方预决算公开操作规程》和《关于进一步推进预算公开工作的实施意见》规定，现将涞源县人民政府办公室本级2024年单位预算公开如下：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4"/>
      </w:pPr>
      <w:r>
        <w:rPr>
          <w:rFonts w:ascii="方正楷体_GBK" w:hAnsi="方正楷体_GBK" w:eastAsia="方正楷体_GBK" w:cs="方正楷体_GBK"/>
          <w:b/>
          <w:color w:val="000000"/>
          <w:sz w:val="32"/>
        </w:rPr>
        <w:t>单位职责：</w:t>
      </w:r>
      <w:r>
        <w:t>提高信息公开工作业务水平；协助县领导组织会议决定事项的落实；督办重大决策落实；协调组织打私事务，增大打私力度；做好县际间政务往来与经济交流工作，负责县级领导公务活动的接待安排。</w:t>
      </w:r>
    </w:p>
    <w:p>
      <w:pPr>
        <w:pStyle w:val="24"/>
      </w:pPr>
      <w:r>
        <w:t>县政府值班工作，及时报告重要情况，传达和落实县领导重要指示，协助县领导完成组织处理突发事件应急处置工作。</w:t>
      </w:r>
    </w:p>
    <w:p>
      <w:pPr>
        <w:pStyle w:val="24"/>
      </w:pPr>
      <w:r>
        <w:t>政务信息工作和机关电子政务工作.</w:t>
      </w:r>
    </w:p>
    <w:p>
      <w:pPr>
        <w:pStyle w:val="24"/>
      </w:pPr>
      <w:r>
        <w:t>拟订全县地方志工作规划并实施；组织整理旧书，搜集、保存、管理地方文献和资料；组织推动地方志理论研究和学术交流.</w:t>
      </w:r>
    </w:p>
    <w:p>
      <w:pPr>
        <w:pStyle w:val="24"/>
      </w:pPr>
      <w: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w:t>
      </w:r>
    </w:p>
    <w:p>
      <w:pPr>
        <w:pStyle w:val="24"/>
      </w:pPr>
      <w:r>
        <w:t>根据县政府授权，承担地方金融监管职责，指导、协调、监督全县地方金融监管业务工作。</w:t>
      </w:r>
    </w:p>
    <w:p>
      <w:pPr>
        <w:pStyle w:val="24"/>
      </w:pPr>
      <w:r>
        <w:t>管理局机关网络建设、运转维护和电子政务；机关标准化建设、保密、档案以及政务接待、会务。办公楼物业管理和机关食堂管理；机关办公楼修缮、供水、供电、供暖以及机关环境绿化美化、卫生保洁、安全保卫。</w:t>
      </w:r>
    </w:p>
    <w:p>
      <w:pPr>
        <w:pStyle w:val="24"/>
      </w:pPr>
      <w:r>
        <w:t>负责大气污染防治领导小组和白洋淀专班的日常工作。</w:t>
      </w:r>
    </w:p>
    <w:p>
      <w:pPr>
        <w:pStyle w:val="24"/>
      </w:pPr>
      <w:r>
        <w:t>负责督促检查县政府各部门对上级及县政府重要文件，县政府决议事项和县政府领导同志重要批示的执行和落实情况。</w:t>
      </w:r>
    </w:p>
    <w:p>
      <w:pPr>
        <w:pStyle w:val="24"/>
      </w:pPr>
      <w:r>
        <w:t>负责公共节能工作，推进节约型机关建设。</w:t>
      </w:r>
    </w:p>
    <w:p>
      <w:pPr>
        <w:pStyle w:val="24"/>
        <w:sectPr>
          <w:pgSz w:w="11900" w:h="16840"/>
          <w:pgMar w:top="1361" w:right="1020" w:bottom="1361" w:left="1020" w:header="720" w:footer="720" w:gutter="0"/>
          <w:pgNumType w:start="1"/>
          <w:cols w:space="720" w:num="1"/>
        </w:sectPr>
      </w:pPr>
      <w:r>
        <w:t>完成县委，县政府交办的其他事项</w:t>
      </w:r>
    </w:p>
    <w:p>
      <w:pPr>
        <w:spacing w:before="0" w:after="0" w:line="240" w:lineRule="auto"/>
        <w:ind w:firstLine="640"/>
        <w:jc w:val="left"/>
        <w:outlineLvl w:val="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1486.83万元，其中：一般公共预算收入1486.83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涞源县人民政府办公室本级年度单位预算中支出预算的总体情况。2024年支出预算1486.83万元，其中基本支出1191.02万元，包括人员经费822.18万元和日常公用经费368.84万元；项目支出295.81万元，主要为金融服务中心专项债券服务费，杏花湾房租等支出。</w:t>
      </w:r>
    </w:p>
    <w:p>
      <w:pPr>
        <w:pStyle w:val="20"/>
      </w:pPr>
      <w:r>
        <w:t>3、比上年增减情况</w:t>
      </w:r>
    </w:p>
    <w:p>
      <w:pPr>
        <w:pStyle w:val="20"/>
      </w:pPr>
      <w:r>
        <w:t>2024年预算收支安排1486.83万元，较2023年预算增加167.73万元，其中：基本支出增加108.79万元，主要为人员经费增加项目支出增加58.94万元，主要为金融服务中心专项债券服务费增加。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rPr>
          <w:rFonts w:hint="default" w:eastAsia="方正仿宋_GBK"/>
          <w:lang w:val="en-US" w:eastAsia="zh-CN"/>
        </w:rPr>
      </w:pPr>
      <w:r>
        <w:rPr>
          <w:rFonts w:hint="eastAsia"/>
          <w:lang w:val="en-US" w:eastAsia="zh-CN"/>
        </w:rPr>
        <w:t>2024年，我单位机关运行经费共计368.84万元,主要用于日常维修, 办公用房水电费, 办公用房取暖, 办公用房物业管理等日常运行支出</w:t>
      </w:r>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default"/>
          <w:lang w:val="en-US" w:eastAsia="zh-CN"/>
        </w:rPr>
      </w:pPr>
      <w:r>
        <w:rPr>
          <w:rFonts w:hint="eastAsia"/>
          <w:lang w:val="en-US" w:eastAsia="zh-CN"/>
        </w:rPr>
        <w:t xml:space="preserve">2024年我单位财政拨款 </w:t>
      </w:r>
      <w:r>
        <w:rPr>
          <w:rFonts w:hint="default"/>
          <w:lang w:val="en-US" w:eastAsia="zh-CN"/>
        </w:rPr>
        <w:t>“</w:t>
      </w:r>
      <w:r>
        <w:rPr>
          <w:rFonts w:hint="eastAsia"/>
          <w:lang w:val="en-US" w:eastAsia="zh-CN"/>
        </w:rPr>
        <w:t>三公</w:t>
      </w:r>
      <w:r>
        <w:rPr>
          <w:rFonts w:hint="default"/>
          <w:lang w:val="en-US" w:eastAsia="zh-CN"/>
        </w:rPr>
        <w:t>”</w:t>
      </w:r>
      <w:r>
        <w:rPr>
          <w:rFonts w:hint="eastAsia"/>
          <w:lang w:val="en-US" w:eastAsia="zh-CN"/>
        </w:rPr>
        <w:t>经费预算安排171.00万元, 其中因公出国费7.00万元; 公务用车购置及运维费69.00万元 (其中公务用车购置费为0.00万元, 公务用车运维费69.00万元); 公务接待费95.00万元; 与2023年相比减少18.98万元, 增减变化的主要原因是公务用车运维费和公务接待费减少</w:t>
      </w:r>
      <w:r>
        <w:t>。</w:t>
      </w:r>
    </w:p>
    <w:p>
      <w:pPr>
        <w:pStyle w:val="22"/>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1、OA系统服务费绩效目标表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13063024P000092100025</w:t>
            </w:r>
          </w:p>
        </w:tc>
        <w:tc>
          <w:tcPr>
            <w:tcW w:w="2835" w:type="dxa"/>
            <w:vAlign w:val="center"/>
          </w:tcPr>
          <w:p>
            <w:pPr>
              <w:pStyle w:val="12"/>
            </w:pPr>
            <w:r>
              <w:t>项目名称</w:t>
            </w:r>
          </w:p>
        </w:tc>
        <w:tc>
          <w:tcPr>
            <w:tcW w:w="6094" w:type="dxa"/>
            <w:gridSpan w:val="3"/>
            <w:vAlign w:val="center"/>
          </w:tcPr>
          <w:p>
            <w:pPr>
              <w:pStyle w:val="14"/>
            </w:pPr>
            <w:r>
              <w:t>OA系统服务费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5.44</w:t>
            </w:r>
          </w:p>
        </w:tc>
        <w:tc>
          <w:tcPr>
            <w:tcW w:w="2835" w:type="dxa"/>
            <w:vAlign w:val="center"/>
          </w:tcPr>
          <w:p>
            <w:pPr>
              <w:pStyle w:val="12"/>
            </w:pPr>
            <w:r>
              <w:t>其中：财政    资金</w:t>
            </w:r>
          </w:p>
        </w:tc>
        <w:tc>
          <w:tcPr>
            <w:tcW w:w="2551" w:type="dxa"/>
            <w:vAlign w:val="center"/>
          </w:tcPr>
          <w:p>
            <w:pPr>
              <w:pStyle w:val="14"/>
            </w:pPr>
            <w:r>
              <w:t>5.44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OA系统服务费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1.保障网络安全可靠运行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系统数量</w:t>
            </w:r>
          </w:p>
        </w:tc>
        <w:tc>
          <w:tcPr>
            <w:tcW w:w="5386" w:type="dxa"/>
            <w:vAlign w:val="center"/>
          </w:tcPr>
          <w:p>
            <w:pPr>
              <w:pStyle w:val="14"/>
            </w:pPr>
            <w:r>
              <w:t>系统数量</w:t>
            </w:r>
          </w:p>
        </w:tc>
        <w:tc>
          <w:tcPr>
            <w:tcW w:w="2268" w:type="dxa"/>
            <w:vAlign w:val="center"/>
          </w:tcPr>
          <w:p>
            <w:pPr>
              <w:pStyle w:val="14"/>
            </w:pPr>
            <w:r>
              <w:t>1条</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系统运行质量</w:t>
            </w:r>
          </w:p>
        </w:tc>
        <w:tc>
          <w:tcPr>
            <w:tcW w:w="5386" w:type="dxa"/>
            <w:vAlign w:val="center"/>
          </w:tcPr>
          <w:p>
            <w:pPr>
              <w:pStyle w:val="14"/>
            </w:pPr>
            <w:r>
              <w:t>系统运行质量</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提高网络服务效率</w:t>
            </w:r>
          </w:p>
        </w:tc>
        <w:tc>
          <w:tcPr>
            <w:tcW w:w="5386" w:type="dxa"/>
            <w:vAlign w:val="center"/>
          </w:tcPr>
          <w:p>
            <w:pPr>
              <w:pStyle w:val="14"/>
            </w:pPr>
            <w:r>
              <w:t>提高网络服务效率</w:t>
            </w:r>
          </w:p>
        </w:tc>
        <w:tc>
          <w:tcPr>
            <w:tcW w:w="2268" w:type="dxa"/>
            <w:vAlign w:val="center"/>
          </w:tcPr>
          <w:p>
            <w:pPr>
              <w:pStyle w:val="14"/>
            </w:pPr>
            <w:r>
              <w:t>有效提高</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有效推动</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网络安全稳定运行</w:t>
            </w:r>
          </w:p>
        </w:tc>
        <w:tc>
          <w:tcPr>
            <w:tcW w:w="5386" w:type="dxa"/>
            <w:vAlign w:val="center"/>
          </w:tcPr>
          <w:p>
            <w:pPr>
              <w:pStyle w:val="14"/>
            </w:pPr>
            <w:r>
              <w:t>网络安全稳定运行</w:t>
            </w:r>
          </w:p>
        </w:tc>
        <w:tc>
          <w:tcPr>
            <w:tcW w:w="2268" w:type="dxa"/>
            <w:vAlign w:val="center"/>
          </w:tcPr>
          <w:p>
            <w:pPr>
              <w:pStyle w:val="14"/>
            </w:pPr>
            <w:r>
              <w:t>有效保障</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2、北斗服务费绩效目标表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13063024P000064100017</w:t>
            </w:r>
          </w:p>
        </w:tc>
        <w:tc>
          <w:tcPr>
            <w:tcW w:w="2835" w:type="dxa"/>
            <w:vAlign w:val="center"/>
          </w:tcPr>
          <w:p>
            <w:pPr>
              <w:pStyle w:val="12"/>
            </w:pPr>
            <w:r>
              <w:t>项目名称</w:t>
            </w:r>
          </w:p>
        </w:tc>
        <w:tc>
          <w:tcPr>
            <w:tcW w:w="6094" w:type="dxa"/>
            <w:gridSpan w:val="3"/>
            <w:vAlign w:val="center"/>
          </w:tcPr>
          <w:p>
            <w:pPr>
              <w:pStyle w:val="14"/>
            </w:pPr>
            <w:r>
              <w:t>北斗服务费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13.98</w:t>
            </w:r>
          </w:p>
        </w:tc>
        <w:tc>
          <w:tcPr>
            <w:tcW w:w="2835" w:type="dxa"/>
            <w:vAlign w:val="center"/>
          </w:tcPr>
          <w:p>
            <w:pPr>
              <w:pStyle w:val="12"/>
            </w:pPr>
            <w:r>
              <w:t>其中：财政    资金</w:t>
            </w:r>
          </w:p>
        </w:tc>
        <w:tc>
          <w:tcPr>
            <w:tcW w:w="2551" w:type="dxa"/>
            <w:vAlign w:val="center"/>
          </w:tcPr>
          <w:p>
            <w:pPr>
              <w:pStyle w:val="14"/>
            </w:pPr>
            <w:r>
              <w:t>13.98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北斗服务费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13.98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1.保障机关单位车辆正常运转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平台用车数量</w:t>
            </w:r>
          </w:p>
        </w:tc>
        <w:tc>
          <w:tcPr>
            <w:tcW w:w="5386" w:type="dxa"/>
            <w:vAlign w:val="center"/>
          </w:tcPr>
          <w:p>
            <w:pPr>
              <w:pStyle w:val="14"/>
            </w:pPr>
            <w:r>
              <w:t>平台用车数量</w:t>
            </w:r>
          </w:p>
        </w:tc>
        <w:tc>
          <w:tcPr>
            <w:tcW w:w="2268" w:type="dxa"/>
            <w:vAlign w:val="center"/>
          </w:tcPr>
          <w:p>
            <w:pPr>
              <w:pStyle w:val="14"/>
            </w:pPr>
            <w:r>
              <w:t>≥241辆</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5386" w:type="dxa"/>
            <w:vAlign w:val="center"/>
          </w:tcPr>
          <w:p>
            <w:pPr>
              <w:pStyle w:val="14"/>
            </w:pPr>
            <w:r>
              <w:t>车辆安全运行率</w:t>
            </w:r>
          </w:p>
        </w:tc>
        <w:tc>
          <w:tcPr>
            <w:tcW w:w="2268" w:type="dxa"/>
            <w:vAlign w:val="center"/>
          </w:tcPr>
          <w:p>
            <w:pPr>
              <w:pStyle w:val="14"/>
            </w:pPr>
            <w:r>
              <w:t>≥95百分比</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≥95百分比</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保障全市车辆管理，确保车辆安全</w:t>
            </w:r>
          </w:p>
        </w:tc>
        <w:tc>
          <w:tcPr>
            <w:tcW w:w="5386" w:type="dxa"/>
            <w:vAlign w:val="center"/>
          </w:tcPr>
          <w:p>
            <w:pPr>
              <w:pStyle w:val="14"/>
            </w:pPr>
            <w:r>
              <w:t>保障全市车辆管理，确保车辆安全上路行驶</w:t>
            </w:r>
          </w:p>
        </w:tc>
        <w:tc>
          <w:tcPr>
            <w:tcW w:w="2268" w:type="dxa"/>
            <w:vAlign w:val="center"/>
          </w:tcPr>
          <w:p>
            <w:pPr>
              <w:pStyle w:val="14"/>
            </w:pPr>
            <w:r>
              <w:t>有效保障</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5386" w:type="dxa"/>
            <w:vAlign w:val="center"/>
          </w:tcPr>
          <w:p>
            <w:pPr>
              <w:pStyle w:val="14"/>
            </w:pPr>
            <w:r>
              <w:t>提升公共服务水平和质量</w:t>
            </w:r>
          </w:p>
        </w:tc>
        <w:tc>
          <w:tcPr>
            <w:tcW w:w="2268" w:type="dxa"/>
            <w:vAlign w:val="center"/>
          </w:tcPr>
          <w:p>
            <w:pPr>
              <w:pStyle w:val="14"/>
            </w:pPr>
            <w:r>
              <w:t>有效提升</w:t>
            </w:r>
          </w:p>
        </w:tc>
        <w:tc>
          <w:tcPr>
            <w:tcW w:w="1276" w:type="dxa"/>
            <w:vAlign w:val="center"/>
          </w:tcPr>
          <w:p>
            <w:pPr>
              <w:pStyle w:val="14"/>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3、法治办专项绩效目标表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13063024P000096100018</w:t>
            </w:r>
          </w:p>
        </w:tc>
        <w:tc>
          <w:tcPr>
            <w:tcW w:w="2835" w:type="dxa"/>
            <w:vAlign w:val="center"/>
          </w:tcPr>
          <w:p>
            <w:pPr>
              <w:pStyle w:val="12"/>
            </w:pPr>
            <w:r>
              <w:t>项目名称</w:t>
            </w:r>
          </w:p>
        </w:tc>
        <w:tc>
          <w:tcPr>
            <w:tcW w:w="6094" w:type="dxa"/>
            <w:gridSpan w:val="3"/>
            <w:vAlign w:val="center"/>
          </w:tcPr>
          <w:p>
            <w:pPr>
              <w:pStyle w:val="14"/>
            </w:pPr>
            <w:r>
              <w:t>法治办专项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法律顾问服务费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1.建设法</w:t>
            </w:r>
            <w:r>
              <w:rPr>
                <w:rFonts w:hint="eastAsia"/>
                <w:lang w:eastAsia="zh-CN"/>
              </w:rPr>
              <w:t>治</w:t>
            </w:r>
            <w:r>
              <w:t>政府，依法行政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办理案件数量</w:t>
            </w:r>
          </w:p>
        </w:tc>
        <w:tc>
          <w:tcPr>
            <w:tcW w:w="5386" w:type="dxa"/>
            <w:vAlign w:val="center"/>
          </w:tcPr>
          <w:p>
            <w:pPr>
              <w:pStyle w:val="14"/>
            </w:pPr>
            <w:r>
              <w:t>办理案件数量</w:t>
            </w:r>
          </w:p>
        </w:tc>
        <w:tc>
          <w:tcPr>
            <w:tcW w:w="2268" w:type="dxa"/>
            <w:vAlign w:val="center"/>
          </w:tcPr>
          <w:p>
            <w:pPr>
              <w:pStyle w:val="14"/>
            </w:pPr>
            <w:r>
              <w:t>≥14件</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bookmarkStart w:id="1" w:name="_GoBack"/>
            <w:bookmarkEnd w:id="1"/>
          </w:p>
        </w:tc>
        <w:tc>
          <w:tcPr>
            <w:tcW w:w="2835" w:type="dxa"/>
            <w:vAlign w:val="center"/>
          </w:tcPr>
          <w:p>
            <w:pPr>
              <w:pStyle w:val="14"/>
            </w:pPr>
            <w:r>
              <w:t>案件处理办结率（%）</w:t>
            </w:r>
          </w:p>
        </w:tc>
        <w:tc>
          <w:tcPr>
            <w:tcW w:w="5386" w:type="dxa"/>
            <w:vAlign w:val="center"/>
          </w:tcPr>
          <w:p>
            <w:pPr>
              <w:pStyle w:val="14"/>
            </w:pPr>
            <w:r>
              <w:t>案件处理办结率（%）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5386" w:type="dxa"/>
            <w:vAlign w:val="center"/>
          </w:tcPr>
          <w:p>
            <w:pPr>
              <w:pStyle w:val="14"/>
            </w:pPr>
            <w:r>
              <w:t>完成项目的成本控制在预算水平</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行政应诉胜诉率</w:t>
            </w:r>
          </w:p>
        </w:tc>
        <w:tc>
          <w:tcPr>
            <w:tcW w:w="5386" w:type="dxa"/>
            <w:vAlign w:val="center"/>
          </w:tcPr>
          <w:p>
            <w:pPr>
              <w:pStyle w:val="14"/>
            </w:pPr>
            <w:r>
              <w:t>行政应诉胜诉率</w:t>
            </w:r>
          </w:p>
        </w:tc>
        <w:tc>
          <w:tcPr>
            <w:tcW w:w="2268" w:type="dxa"/>
            <w:vAlign w:val="center"/>
          </w:tcPr>
          <w:p>
            <w:pPr>
              <w:pStyle w:val="14"/>
            </w:pPr>
            <w:r>
              <w:t>≥90百分比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5386" w:type="dxa"/>
            <w:vAlign w:val="center"/>
          </w:tcPr>
          <w:p>
            <w:pPr>
              <w:pStyle w:val="14"/>
            </w:pPr>
            <w:r>
              <w:t>增强服务保障能力。</w:t>
            </w:r>
          </w:p>
        </w:tc>
        <w:tc>
          <w:tcPr>
            <w:tcW w:w="2268" w:type="dxa"/>
            <w:vAlign w:val="center"/>
          </w:tcPr>
          <w:p>
            <w:pPr>
              <w:pStyle w:val="14"/>
            </w:pPr>
            <w:r>
              <w:t>有效增强</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4、挂牌上市奖励资金绩效目标表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13063024P000032100041</w:t>
            </w:r>
          </w:p>
        </w:tc>
        <w:tc>
          <w:tcPr>
            <w:tcW w:w="2835" w:type="dxa"/>
            <w:vAlign w:val="center"/>
          </w:tcPr>
          <w:p>
            <w:pPr>
              <w:pStyle w:val="12"/>
            </w:pPr>
            <w:r>
              <w:t>项目名称</w:t>
            </w:r>
          </w:p>
        </w:tc>
        <w:tc>
          <w:tcPr>
            <w:tcW w:w="6094" w:type="dxa"/>
            <w:gridSpan w:val="3"/>
            <w:vAlign w:val="center"/>
          </w:tcPr>
          <w:p>
            <w:pPr>
              <w:pStyle w:val="14"/>
            </w:pPr>
            <w:r>
              <w:t>挂牌上市奖励资金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w:t>
            </w:r>
          </w:p>
        </w:tc>
        <w:tc>
          <w:tcPr>
            <w:tcW w:w="2835" w:type="dxa"/>
            <w:vAlign w:val="center"/>
          </w:tcPr>
          <w:p>
            <w:pPr>
              <w:pStyle w:val="12"/>
            </w:pPr>
            <w:r>
              <w:t>其中：财政    资金</w:t>
            </w:r>
          </w:p>
        </w:tc>
        <w:tc>
          <w:tcPr>
            <w:tcW w:w="2551" w:type="dxa"/>
            <w:vAlign w:val="center"/>
          </w:tcPr>
          <w:p>
            <w:pPr>
              <w:pStyle w:val="14"/>
            </w:pPr>
            <w:r>
              <w:t>45.00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挂牌上市企业奖励资金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 xml:space="preserve">1.积极推动企业上市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5386" w:type="dxa"/>
            <w:vAlign w:val="center"/>
          </w:tcPr>
          <w:p>
            <w:pPr>
              <w:pStyle w:val="14"/>
            </w:pPr>
            <w:r>
              <w:t>支持企业数量</w:t>
            </w:r>
          </w:p>
        </w:tc>
        <w:tc>
          <w:tcPr>
            <w:tcW w:w="2268" w:type="dxa"/>
            <w:vAlign w:val="center"/>
          </w:tcPr>
          <w:p>
            <w:pPr>
              <w:pStyle w:val="14"/>
            </w:pPr>
            <w:r>
              <w:t>3个</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根据年初预算及工作需要及时支付</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带动相关领域及行业效益水平提高</w:t>
            </w:r>
          </w:p>
        </w:tc>
        <w:tc>
          <w:tcPr>
            <w:tcW w:w="5386" w:type="dxa"/>
            <w:vAlign w:val="center"/>
          </w:tcPr>
          <w:p>
            <w:pPr>
              <w:pStyle w:val="14"/>
            </w:pPr>
            <w:r>
              <w:t>带动相关领域及行业效益水平提高</w:t>
            </w:r>
          </w:p>
        </w:tc>
        <w:tc>
          <w:tcPr>
            <w:tcW w:w="2268" w:type="dxa"/>
            <w:vAlign w:val="center"/>
          </w:tcPr>
          <w:p>
            <w:pPr>
              <w:pStyle w:val="14"/>
            </w:pPr>
            <w:r>
              <w:t>有效带动</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促进地方经济发展</w:t>
            </w:r>
          </w:p>
        </w:tc>
        <w:tc>
          <w:tcPr>
            <w:tcW w:w="5386" w:type="dxa"/>
            <w:vAlign w:val="center"/>
          </w:tcPr>
          <w:p>
            <w:pPr>
              <w:pStyle w:val="14"/>
            </w:pPr>
            <w:r>
              <w:t>促进地方经济发展</w:t>
            </w:r>
          </w:p>
        </w:tc>
        <w:tc>
          <w:tcPr>
            <w:tcW w:w="2268" w:type="dxa"/>
            <w:vAlign w:val="center"/>
          </w:tcPr>
          <w:p>
            <w:pPr>
              <w:pStyle w:val="14"/>
            </w:pPr>
            <w:r>
              <w:t>有效促进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有效促进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5386" w:type="dxa"/>
            <w:vAlign w:val="center"/>
          </w:tcPr>
          <w:p>
            <w:pPr>
              <w:pStyle w:val="14"/>
            </w:pPr>
            <w:r>
              <w:t>示范带动作用</w:t>
            </w:r>
          </w:p>
        </w:tc>
        <w:tc>
          <w:tcPr>
            <w:tcW w:w="2268" w:type="dxa"/>
            <w:vAlign w:val="center"/>
          </w:tcPr>
          <w:p>
            <w:pPr>
              <w:pStyle w:val="14"/>
            </w:pPr>
            <w:r>
              <w:t>有效带动</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5、金融办经费绩效目标表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13063024P00003210003D</w:t>
            </w:r>
          </w:p>
        </w:tc>
        <w:tc>
          <w:tcPr>
            <w:tcW w:w="2835" w:type="dxa"/>
            <w:vAlign w:val="center"/>
          </w:tcPr>
          <w:p>
            <w:pPr>
              <w:pStyle w:val="12"/>
            </w:pPr>
            <w:r>
              <w:t>项目名称</w:t>
            </w:r>
          </w:p>
        </w:tc>
        <w:tc>
          <w:tcPr>
            <w:tcW w:w="6094" w:type="dxa"/>
            <w:gridSpan w:val="3"/>
            <w:vAlign w:val="center"/>
          </w:tcPr>
          <w:p>
            <w:pPr>
              <w:pStyle w:val="14"/>
            </w:pPr>
            <w:r>
              <w:t>金融办经费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金融办工作经费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1.保障金融工作顺利开展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参与宣传活动次数</w:t>
            </w:r>
            <w:r>
              <w:tab/>
            </w:r>
          </w:p>
        </w:tc>
        <w:tc>
          <w:tcPr>
            <w:tcW w:w="5386" w:type="dxa"/>
            <w:vAlign w:val="center"/>
          </w:tcPr>
          <w:p>
            <w:pPr>
              <w:pStyle w:val="14"/>
            </w:pPr>
            <w:r>
              <w:t>参与宣传活动次数</w:t>
            </w:r>
            <w:r>
              <w:tab/>
            </w:r>
          </w:p>
        </w:tc>
        <w:tc>
          <w:tcPr>
            <w:tcW w:w="2268" w:type="dxa"/>
            <w:vAlign w:val="center"/>
          </w:tcPr>
          <w:p>
            <w:pPr>
              <w:pStyle w:val="14"/>
            </w:pPr>
            <w:r>
              <w:t>≥2次</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5386" w:type="dxa"/>
            <w:vAlign w:val="center"/>
          </w:tcPr>
          <w:p>
            <w:pPr>
              <w:pStyle w:val="14"/>
            </w:pPr>
            <w:r>
              <w:t>综合业务管理工作完成率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5386" w:type="dxa"/>
            <w:vAlign w:val="center"/>
          </w:tcPr>
          <w:p>
            <w:pPr>
              <w:pStyle w:val="14"/>
            </w:pPr>
            <w:r>
              <w:t>提升公共服务水平和质量</w:t>
            </w:r>
          </w:p>
        </w:tc>
        <w:tc>
          <w:tcPr>
            <w:tcW w:w="2268" w:type="dxa"/>
            <w:vAlign w:val="center"/>
          </w:tcPr>
          <w:p>
            <w:pPr>
              <w:pStyle w:val="14"/>
            </w:pPr>
            <w:r>
              <w:t>有效提升</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6、金融中心专项债卷服务费绩效目标表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13063024P00009410002G</w:t>
            </w:r>
          </w:p>
        </w:tc>
        <w:tc>
          <w:tcPr>
            <w:tcW w:w="2835" w:type="dxa"/>
            <w:vAlign w:val="center"/>
          </w:tcPr>
          <w:p>
            <w:pPr>
              <w:pStyle w:val="12"/>
            </w:pPr>
            <w:r>
              <w:t>项目名称</w:t>
            </w:r>
          </w:p>
        </w:tc>
        <w:tc>
          <w:tcPr>
            <w:tcW w:w="6094" w:type="dxa"/>
            <w:gridSpan w:val="3"/>
            <w:vAlign w:val="center"/>
          </w:tcPr>
          <w:p>
            <w:pPr>
              <w:pStyle w:val="14"/>
            </w:pPr>
            <w:r>
              <w:t>金融中心专项债卷服务费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专项债券服务费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30.00</w:t>
            </w:r>
          </w:p>
        </w:tc>
        <w:tc>
          <w:tcPr>
            <w:tcW w:w="2551" w:type="dxa"/>
            <w:vAlign w:val="center"/>
          </w:tcPr>
          <w:p>
            <w:pPr>
              <w:pStyle w:val="15"/>
            </w:pPr>
            <w:r>
              <w:t xml:space="preserve"> </w:t>
            </w:r>
          </w:p>
        </w:tc>
        <w:tc>
          <w:tcPr>
            <w:tcW w:w="3543"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1.保障乙方及时为甲方提供服务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委托项目个数</w:t>
            </w:r>
          </w:p>
        </w:tc>
        <w:tc>
          <w:tcPr>
            <w:tcW w:w="5386" w:type="dxa"/>
            <w:vAlign w:val="center"/>
          </w:tcPr>
          <w:p>
            <w:pPr>
              <w:pStyle w:val="14"/>
            </w:pPr>
            <w:r>
              <w:t>委托项目个数</w:t>
            </w:r>
          </w:p>
        </w:tc>
        <w:tc>
          <w:tcPr>
            <w:tcW w:w="2268" w:type="dxa"/>
            <w:vAlign w:val="center"/>
          </w:tcPr>
          <w:p>
            <w:pPr>
              <w:pStyle w:val="14"/>
            </w:pPr>
            <w:r>
              <w:t>≥1个</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保障能力提升情况</w:t>
            </w:r>
          </w:p>
        </w:tc>
        <w:tc>
          <w:tcPr>
            <w:tcW w:w="5386" w:type="dxa"/>
            <w:vAlign w:val="center"/>
          </w:tcPr>
          <w:p>
            <w:pPr>
              <w:pStyle w:val="14"/>
            </w:pPr>
            <w:r>
              <w:t>保障能力提升情况</w:t>
            </w:r>
          </w:p>
        </w:tc>
        <w:tc>
          <w:tcPr>
            <w:tcW w:w="2268" w:type="dxa"/>
            <w:vAlign w:val="center"/>
          </w:tcPr>
          <w:p>
            <w:pPr>
              <w:pStyle w:val="14"/>
            </w:pPr>
            <w:r>
              <w:t>有效提升</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5386" w:type="dxa"/>
            <w:vAlign w:val="center"/>
          </w:tcPr>
          <w:p>
            <w:pPr>
              <w:pStyle w:val="14"/>
            </w:pPr>
            <w:r>
              <w:t>持续服务率(%)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7、杏花湾租金绩效目标表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13063024P000083100010</w:t>
            </w:r>
          </w:p>
        </w:tc>
        <w:tc>
          <w:tcPr>
            <w:tcW w:w="2835" w:type="dxa"/>
            <w:vAlign w:val="center"/>
          </w:tcPr>
          <w:p>
            <w:pPr>
              <w:pStyle w:val="12"/>
            </w:pPr>
            <w:r>
              <w:t>项目名称</w:t>
            </w:r>
          </w:p>
        </w:tc>
        <w:tc>
          <w:tcPr>
            <w:tcW w:w="6094" w:type="dxa"/>
            <w:gridSpan w:val="3"/>
            <w:vAlign w:val="center"/>
          </w:tcPr>
          <w:p>
            <w:pPr>
              <w:pStyle w:val="14"/>
            </w:pPr>
            <w:r>
              <w:t>杏花湾租金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51.00</w:t>
            </w:r>
          </w:p>
        </w:tc>
        <w:tc>
          <w:tcPr>
            <w:tcW w:w="2835" w:type="dxa"/>
            <w:vAlign w:val="center"/>
          </w:tcPr>
          <w:p>
            <w:pPr>
              <w:pStyle w:val="12"/>
            </w:pPr>
            <w:r>
              <w:t>其中：财政    资金</w:t>
            </w:r>
          </w:p>
        </w:tc>
        <w:tc>
          <w:tcPr>
            <w:tcW w:w="2551" w:type="dxa"/>
            <w:vAlign w:val="center"/>
          </w:tcPr>
          <w:p>
            <w:pPr>
              <w:pStyle w:val="14"/>
            </w:pPr>
            <w:r>
              <w:t>51.00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杏花湾租金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1.保障办公用房需求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5386" w:type="dxa"/>
            <w:vAlign w:val="center"/>
          </w:tcPr>
          <w:p>
            <w:pPr>
              <w:pStyle w:val="14"/>
            </w:pPr>
            <w:r>
              <w:t>租赁面积</w:t>
            </w:r>
          </w:p>
        </w:tc>
        <w:tc>
          <w:tcPr>
            <w:tcW w:w="2268" w:type="dxa"/>
            <w:vAlign w:val="center"/>
          </w:tcPr>
          <w:p>
            <w:pPr>
              <w:pStyle w:val="14"/>
            </w:pPr>
            <w:r>
              <w:t>≤38771平方米</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5386" w:type="dxa"/>
            <w:vAlign w:val="center"/>
          </w:tcPr>
          <w:p>
            <w:pPr>
              <w:pStyle w:val="14"/>
            </w:pPr>
            <w:r>
              <w:t>资金使用合规率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5386" w:type="dxa"/>
            <w:vAlign w:val="center"/>
          </w:tcPr>
          <w:p>
            <w:pPr>
              <w:pStyle w:val="14"/>
            </w:pPr>
            <w:r>
              <w:t>成本控制率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5386" w:type="dxa"/>
            <w:vAlign w:val="center"/>
          </w:tcPr>
          <w:p>
            <w:pPr>
              <w:pStyle w:val="14"/>
            </w:pPr>
            <w:r>
              <w:t>保障能力提升情况</w:t>
            </w:r>
          </w:p>
        </w:tc>
        <w:tc>
          <w:tcPr>
            <w:tcW w:w="2268" w:type="dxa"/>
            <w:vAlign w:val="center"/>
          </w:tcPr>
          <w:p>
            <w:pPr>
              <w:pStyle w:val="14"/>
            </w:pPr>
            <w:r>
              <w:t>有效提升</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8、政府办工作经费绩效目标表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13063024P00006210001U</w:t>
            </w:r>
          </w:p>
        </w:tc>
        <w:tc>
          <w:tcPr>
            <w:tcW w:w="2835" w:type="dxa"/>
            <w:vAlign w:val="center"/>
          </w:tcPr>
          <w:p>
            <w:pPr>
              <w:pStyle w:val="12"/>
            </w:pPr>
            <w:r>
              <w:t>项目名称</w:t>
            </w:r>
          </w:p>
        </w:tc>
        <w:tc>
          <w:tcPr>
            <w:tcW w:w="6094" w:type="dxa"/>
            <w:gridSpan w:val="3"/>
            <w:vAlign w:val="center"/>
          </w:tcPr>
          <w:p>
            <w:pPr>
              <w:pStyle w:val="14"/>
            </w:pPr>
            <w:r>
              <w:t>政府办工作经费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政府工作经费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项目个数</w:t>
            </w:r>
          </w:p>
        </w:tc>
        <w:tc>
          <w:tcPr>
            <w:tcW w:w="5386" w:type="dxa"/>
            <w:vAlign w:val="center"/>
          </w:tcPr>
          <w:p>
            <w:pPr>
              <w:pStyle w:val="14"/>
            </w:pPr>
            <w:r>
              <w:t>项目个数</w:t>
            </w:r>
          </w:p>
        </w:tc>
        <w:tc>
          <w:tcPr>
            <w:tcW w:w="2268" w:type="dxa"/>
            <w:vAlign w:val="center"/>
          </w:tcPr>
          <w:p>
            <w:pPr>
              <w:pStyle w:val="14"/>
            </w:pPr>
            <w:r>
              <w:t>≥1个</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5386" w:type="dxa"/>
            <w:vAlign w:val="center"/>
          </w:tcPr>
          <w:p>
            <w:pPr>
              <w:pStyle w:val="14"/>
            </w:pPr>
            <w:r>
              <w:t>保障机关单位正常运转</w:t>
            </w:r>
          </w:p>
        </w:tc>
        <w:tc>
          <w:tcPr>
            <w:tcW w:w="2268" w:type="dxa"/>
            <w:vAlign w:val="center"/>
          </w:tcPr>
          <w:p>
            <w:pPr>
              <w:pStyle w:val="14"/>
            </w:pPr>
            <w:r>
              <w:t>有效保障</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有效保障</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9、政府办举办企业家早餐会经费绩效目标表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13063024P00008510002Y</w:t>
            </w:r>
          </w:p>
        </w:tc>
        <w:tc>
          <w:tcPr>
            <w:tcW w:w="2835" w:type="dxa"/>
            <w:vAlign w:val="center"/>
          </w:tcPr>
          <w:p>
            <w:pPr>
              <w:pStyle w:val="12"/>
            </w:pPr>
            <w:r>
              <w:t>项目名称</w:t>
            </w:r>
          </w:p>
        </w:tc>
        <w:tc>
          <w:tcPr>
            <w:tcW w:w="6094" w:type="dxa"/>
            <w:gridSpan w:val="3"/>
            <w:vAlign w:val="center"/>
          </w:tcPr>
          <w:p>
            <w:pPr>
              <w:pStyle w:val="14"/>
            </w:pPr>
            <w:r>
              <w:t>政府办举办企业家早餐会经费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企业家早餐会经费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1.更好服务企业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5386" w:type="dxa"/>
            <w:vAlign w:val="center"/>
          </w:tcPr>
          <w:p>
            <w:pPr>
              <w:pStyle w:val="14"/>
            </w:pPr>
            <w:r>
              <w:t>会议次数</w:t>
            </w:r>
          </w:p>
        </w:tc>
        <w:tc>
          <w:tcPr>
            <w:tcW w:w="2268" w:type="dxa"/>
            <w:vAlign w:val="center"/>
          </w:tcPr>
          <w:p>
            <w:pPr>
              <w:pStyle w:val="14"/>
            </w:pPr>
            <w:r>
              <w:t>≤260次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≥95百分比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提供工作参考</w:t>
            </w:r>
          </w:p>
        </w:tc>
        <w:tc>
          <w:tcPr>
            <w:tcW w:w="5386" w:type="dxa"/>
            <w:vAlign w:val="center"/>
          </w:tcPr>
          <w:p>
            <w:pPr>
              <w:pStyle w:val="14"/>
            </w:pPr>
            <w:r>
              <w:t>提供工作参考</w:t>
            </w:r>
          </w:p>
        </w:tc>
        <w:tc>
          <w:tcPr>
            <w:tcW w:w="2268" w:type="dxa"/>
            <w:vAlign w:val="center"/>
          </w:tcPr>
          <w:p>
            <w:pPr>
              <w:pStyle w:val="14"/>
            </w:pPr>
            <w:r>
              <w:t>有效提供</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提升基本公共服务水平</w:t>
            </w:r>
          </w:p>
        </w:tc>
        <w:tc>
          <w:tcPr>
            <w:tcW w:w="5386" w:type="dxa"/>
            <w:vAlign w:val="center"/>
          </w:tcPr>
          <w:p>
            <w:pPr>
              <w:pStyle w:val="14"/>
            </w:pPr>
            <w:r>
              <w:t>提升基本公共服务水平</w:t>
            </w:r>
          </w:p>
        </w:tc>
        <w:tc>
          <w:tcPr>
            <w:tcW w:w="2268" w:type="dxa"/>
            <w:vAlign w:val="center"/>
          </w:tcPr>
          <w:p>
            <w:pPr>
              <w:pStyle w:val="14"/>
            </w:pPr>
            <w:r>
              <w:t>有效提升</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10、政府办异地调动干部周转住房费用绩效目标表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13063024P00007910002E</w:t>
            </w:r>
          </w:p>
        </w:tc>
        <w:tc>
          <w:tcPr>
            <w:tcW w:w="2835" w:type="dxa"/>
            <w:vAlign w:val="center"/>
          </w:tcPr>
          <w:p>
            <w:pPr>
              <w:pStyle w:val="12"/>
            </w:pPr>
            <w:r>
              <w:t>项目名称</w:t>
            </w:r>
          </w:p>
        </w:tc>
        <w:tc>
          <w:tcPr>
            <w:tcW w:w="6094" w:type="dxa"/>
            <w:gridSpan w:val="3"/>
            <w:vAlign w:val="center"/>
          </w:tcPr>
          <w:p>
            <w:pPr>
              <w:pStyle w:val="14"/>
            </w:pPr>
            <w:r>
              <w:t>政府办异地调动干部周转住房费用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30.72</w:t>
            </w:r>
          </w:p>
        </w:tc>
        <w:tc>
          <w:tcPr>
            <w:tcW w:w="2835" w:type="dxa"/>
            <w:vAlign w:val="center"/>
          </w:tcPr>
          <w:p>
            <w:pPr>
              <w:pStyle w:val="12"/>
            </w:pPr>
            <w:r>
              <w:t>其中：财政    资金</w:t>
            </w:r>
          </w:p>
        </w:tc>
        <w:tc>
          <w:tcPr>
            <w:tcW w:w="2551" w:type="dxa"/>
            <w:vAlign w:val="center"/>
          </w:tcPr>
          <w:p>
            <w:pPr>
              <w:pStyle w:val="14"/>
            </w:pPr>
            <w:r>
              <w:t>30.72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异地干部周转住房费用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30.72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1.保障异地干部住房需求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异地干部人数</w:t>
            </w:r>
          </w:p>
        </w:tc>
        <w:tc>
          <w:tcPr>
            <w:tcW w:w="5386" w:type="dxa"/>
            <w:vAlign w:val="center"/>
          </w:tcPr>
          <w:p>
            <w:pPr>
              <w:pStyle w:val="14"/>
            </w:pPr>
            <w:r>
              <w:t>异地干部人数</w:t>
            </w:r>
          </w:p>
        </w:tc>
        <w:tc>
          <w:tcPr>
            <w:tcW w:w="2268" w:type="dxa"/>
            <w:vAlign w:val="center"/>
          </w:tcPr>
          <w:p>
            <w:pPr>
              <w:pStyle w:val="14"/>
            </w:pPr>
            <w:r>
              <w:t>≥20人</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5386" w:type="dxa"/>
            <w:vAlign w:val="center"/>
          </w:tcPr>
          <w:p>
            <w:pPr>
              <w:pStyle w:val="14"/>
            </w:pPr>
            <w:r>
              <w:t>财政拨款保障率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5386" w:type="dxa"/>
            <w:vAlign w:val="center"/>
          </w:tcPr>
          <w:p>
            <w:pPr>
              <w:pStyle w:val="14"/>
            </w:pPr>
            <w:r>
              <w:t>成本控制率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5386" w:type="dxa"/>
            <w:vAlign w:val="center"/>
          </w:tcPr>
          <w:p>
            <w:pPr>
              <w:pStyle w:val="14"/>
            </w:pPr>
            <w:r>
              <w:t>保障能力提升情况</w:t>
            </w:r>
          </w:p>
        </w:tc>
        <w:tc>
          <w:tcPr>
            <w:tcW w:w="2268" w:type="dxa"/>
            <w:vAlign w:val="center"/>
          </w:tcPr>
          <w:p>
            <w:pPr>
              <w:pStyle w:val="14"/>
            </w:pPr>
            <w:r>
              <w:t>有效保障</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11、政府办原治金矿业总公司遗留问题电费绩效目标表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13063024P00006710002U</w:t>
            </w:r>
          </w:p>
        </w:tc>
        <w:tc>
          <w:tcPr>
            <w:tcW w:w="2835" w:type="dxa"/>
            <w:vAlign w:val="center"/>
          </w:tcPr>
          <w:p>
            <w:pPr>
              <w:pStyle w:val="12"/>
            </w:pPr>
            <w:r>
              <w:t>项目名称</w:t>
            </w:r>
          </w:p>
        </w:tc>
        <w:tc>
          <w:tcPr>
            <w:tcW w:w="6094" w:type="dxa"/>
            <w:gridSpan w:val="3"/>
            <w:vAlign w:val="center"/>
          </w:tcPr>
          <w:p>
            <w:pPr>
              <w:pStyle w:val="14"/>
            </w:pPr>
            <w:r>
              <w:t>政府办原治金矿业总公司遗留问题电费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石里湾电费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1.保障正常用电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用电机井个数</w:t>
            </w:r>
          </w:p>
        </w:tc>
        <w:tc>
          <w:tcPr>
            <w:tcW w:w="5386" w:type="dxa"/>
            <w:vAlign w:val="center"/>
          </w:tcPr>
          <w:p>
            <w:pPr>
              <w:pStyle w:val="14"/>
            </w:pPr>
            <w:r>
              <w:t>用电机井个数</w:t>
            </w:r>
          </w:p>
        </w:tc>
        <w:tc>
          <w:tcPr>
            <w:tcW w:w="2268" w:type="dxa"/>
            <w:vAlign w:val="center"/>
          </w:tcPr>
          <w:p>
            <w:pPr>
              <w:pStyle w:val="14"/>
            </w:pPr>
            <w:r>
              <w:t>≥1个</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正常用电时间</w:t>
            </w:r>
          </w:p>
        </w:tc>
        <w:tc>
          <w:tcPr>
            <w:tcW w:w="5386" w:type="dxa"/>
            <w:vAlign w:val="center"/>
          </w:tcPr>
          <w:p>
            <w:pPr>
              <w:pStyle w:val="14"/>
            </w:pPr>
            <w:r>
              <w:t>正常用电时间</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5386" w:type="dxa"/>
            <w:vAlign w:val="center"/>
          </w:tcPr>
          <w:p>
            <w:pPr>
              <w:pStyle w:val="14"/>
            </w:pPr>
            <w:r>
              <w:t>提供优质服务</w:t>
            </w:r>
          </w:p>
        </w:tc>
        <w:tc>
          <w:tcPr>
            <w:tcW w:w="2268" w:type="dxa"/>
            <w:vAlign w:val="center"/>
          </w:tcPr>
          <w:p>
            <w:pPr>
              <w:pStyle w:val="14"/>
            </w:pPr>
            <w:r>
              <w:t>有效提供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长期使用性</w:t>
            </w:r>
          </w:p>
        </w:tc>
        <w:tc>
          <w:tcPr>
            <w:tcW w:w="2268" w:type="dxa"/>
            <w:vAlign w:val="center"/>
          </w:tcPr>
          <w:p>
            <w:pPr>
              <w:pStyle w:val="14"/>
            </w:pPr>
            <w:r>
              <w:t>≥95百分比</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12、政府地方志专项绩效目标表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13063024P00008710001N</w:t>
            </w:r>
          </w:p>
        </w:tc>
        <w:tc>
          <w:tcPr>
            <w:tcW w:w="2835" w:type="dxa"/>
            <w:vAlign w:val="center"/>
          </w:tcPr>
          <w:p>
            <w:pPr>
              <w:pStyle w:val="12"/>
            </w:pPr>
            <w:r>
              <w:t>项目名称</w:t>
            </w:r>
          </w:p>
        </w:tc>
        <w:tc>
          <w:tcPr>
            <w:tcW w:w="6094" w:type="dxa"/>
            <w:gridSpan w:val="3"/>
            <w:vAlign w:val="center"/>
          </w:tcPr>
          <w:p>
            <w:pPr>
              <w:pStyle w:val="14"/>
            </w:pPr>
            <w:r>
              <w:t>政府地方志专项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21.14</w:t>
            </w:r>
          </w:p>
        </w:tc>
        <w:tc>
          <w:tcPr>
            <w:tcW w:w="2835" w:type="dxa"/>
            <w:vAlign w:val="center"/>
          </w:tcPr>
          <w:p>
            <w:pPr>
              <w:pStyle w:val="12"/>
            </w:pPr>
            <w:r>
              <w:t>其中：财政    资金</w:t>
            </w:r>
          </w:p>
        </w:tc>
        <w:tc>
          <w:tcPr>
            <w:tcW w:w="2551" w:type="dxa"/>
            <w:vAlign w:val="center"/>
          </w:tcPr>
          <w:p>
            <w:pPr>
              <w:pStyle w:val="14"/>
            </w:pPr>
            <w:r>
              <w:t>21.14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地方志工作经费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2.16</w:t>
            </w:r>
          </w:p>
        </w:tc>
        <w:tc>
          <w:tcPr>
            <w:tcW w:w="2835" w:type="dxa"/>
            <w:vAlign w:val="center"/>
          </w:tcPr>
          <w:p>
            <w:pPr>
              <w:pStyle w:val="15"/>
            </w:pPr>
            <w:r>
              <w:t>4.32</w:t>
            </w:r>
          </w:p>
        </w:tc>
        <w:tc>
          <w:tcPr>
            <w:tcW w:w="2551" w:type="dxa"/>
            <w:vAlign w:val="center"/>
          </w:tcPr>
          <w:p>
            <w:pPr>
              <w:pStyle w:val="15"/>
            </w:pPr>
            <w:r>
              <w:t>6.48</w:t>
            </w:r>
          </w:p>
        </w:tc>
        <w:tc>
          <w:tcPr>
            <w:tcW w:w="3543" w:type="dxa"/>
            <w:gridSpan w:val="2"/>
            <w:vAlign w:val="center"/>
          </w:tcPr>
          <w:p>
            <w:pPr>
              <w:pStyle w:val="15"/>
            </w:pPr>
            <w:r>
              <w:t>21.14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5386" w:type="dxa"/>
            <w:vAlign w:val="center"/>
          </w:tcPr>
          <w:p>
            <w:pPr>
              <w:pStyle w:val="14"/>
            </w:pPr>
            <w:r>
              <w:t>印刷数量</w:t>
            </w:r>
          </w:p>
        </w:tc>
        <w:tc>
          <w:tcPr>
            <w:tcW w:w="2268" w:type="dxa"/>
            <w:vAlign w:val="center"/>
          </w:tcPr>
          <w:p>
            <w:pPr>
              <w:pStyle w:val="14"/>
            </w:pPr>
            <w:r>
              <w:t>≥500册</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5386" w:type="dxa"/>
            <w:vAlign w:val="center"/>
          </w:tcPr>
          <w:p>
            <w:pPr>
              <w:pStyle w:val="14"/>
            </w:pPr>
            <w:r>
              <w:t>通过进行房屋设施维修、物业管理、食堂外包等工作，保障机关单位运转良好</w:t>
            </w:r>
          </w:p>
        </w:tc>
        <w:tc>
          <w:tcPr>
            <w:tcW w:w="2268" w:type="dxa"/>
            <w:vAlign w:val="center"/>
          </w:tcPr>
          <w:p>
            <w:pPr>
              <w:pStyle w:val="14"/>
            </w:pPr>
            <w:r>
              <w:t>有效保障</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有效保障</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13、政府网络信息费绩效目标表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13063024P00008810001C</w:t>
            </w:r>
          </w:p>
        </w:tc>
        <w:tc>
          <w:tcPr>
            <w:tcW w:w="2835" w:type="dxa"/>
            <w:vAlign w:val="center"/>
          </w:tcPr>
          <w:p>
            <w:pPr>
              <w:pStyle w:val="12"/>
            </w:pPr>
            <w:r>
              <w:t>项目名称</w:t>
            </w:r>
          </w:p>
        </w:tc>
        <w:tc>
          <w:tcPr>
            <w:tcW w:w="6094" w:type="dxa"/>
            <w:gridSpan w:val="3"/>
            <w:vAlign w:val="center"/>
          </w:tcPr>
          <w:p>
            <w:pPr>
              <w:pStyle w:val="14"/>
            </w:pPr>
            <w:r>
              <w:t>政府网络信息费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7.23</w:t>
            </w:r>
          </w:p>
        </w:tc>
        <w:tc>
          <w:tcPr>
            <w:tcW w:w="2835" w:type="dxa"/>
            <w:vAlign w:val="center"/>
          </w:tcPr>
          <w:p>
            <w:pPr>
              <w:pStyle w:val="12"/>
            </w:pPr>
            <w:r>
              <w:t>其中：财政    资金</w:t>
            </w:r>
          </w:p>
        </w:tc>
        <w:tc>
          <w:tcPr>
            <w:tcW w:w="2551" w:type="dxa"/>
            <w:vAlign w:val="center"/>
          </w:tcPr>
          <w:p>
            <w:pPr>
              <w:pStyle w:val="14"/>
            </w:pPr>
            <w:r>
              <w:t>7.23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政府网络信息费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7.23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1.保障网站及信息平台正常运转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设备检修维护次数</w:t>
            </w:r>
          </w:p>
        </w:tc>
        <w:tc>
          <w:tcPr>
            <w:tcW w:w="5386" w:type="dxa"/>
            <w:vAlign w:val="center"/>
          </w:tcPr>
          <w:p>
            <w:pPr>
              <w:pStyle w:val="14"/>
            </w:pPr>
            <w:r>
              <w:t>设备检修维护次数</w:t>
            </w:r>
          </w:p>
        </w:tc>
        <w:tc>
          <w:tcPr>
            <w:tcW w:w="2268" w:type="dxa"/>
            <w:vAlign w:val="center"/>
          </w:tcPr>
          <w:p>
            <w:pPr>
              <w:pStyle w:val="14"/>
            </w:pPr>
            <w:r>
              <w:t>≥2次</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w:t>
            </w:r>
          </w:p>
        </w:tc>
        <w:tc>
          <w:tcPr>
            <w:tcW w:w="5386" w:type="dxa"/>
            <w:vAlign w:val="center"/>
          </w:tcPr>
          <w:p>
            <w:pPr>
              <w:pStyle w:val="14"/>
            </w:pPr>
            <w:r>
              <w:t>网络信息服务质量</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≥95百分比</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有效促进</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有效保障</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14、智能签批设备绩效目标表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13063024P000090100016</w:t>
            </w:r>
          </w:p>
        </w:tc>
        <w:tc>
          <w:tcPr>
            <w:tcW w:w="2835" w:type="dxa"/>
            <w:vAlign w:val="center"/>
          </w:tcPr>
          <w:p>
            <w:pPr>
              <w:pStyle w:val="12"/>
            </w:pPr>
            <w:r>
              <w:t>项目名称</w:t>
            </w:r>
          </w:p>
        </w:tc>
        <w:tc>
          <w:tcPr>
            <w:tcW w:w="6094" w:type="dxa"/>
            <w:gridSpan w:val="3"/>
            <w:vAlign w:val="center"/>
          </w:tcPr>
          <w:p>
            <w:pPr>
              <w:pStyle w:val="14"/>
            </w:pPr>
            <w:r>
              <w:t>智能签批设备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9.31</w:t>
            </w:r>
          </w:p>
        </w:tc>
        <w:tc>
          <w:tcPr>
            <w:tcW w:w="2835" w:type="dxa"/>
            <w:vAlign w:val="center"/>
          </w:tcPr>
          <w:p>
            <w:pPr>
              <w:pStyle w:val="12"/>
            </w:pPr>
            <w:r>
              <w:t>其中：财政    资金</w:t>
            </w:r>
          </w:p>
        </w:tc>
        <w:tc>
          <w:tcPr>
            <w:tcW w:w="2551" w:type="dxa"/>
            <w:vAlign w:val="center"/>
          </w:tcPr>
          <w:p>
            <w:pPr>
              <w:pStyle w:val="14"/>
            </w:pPr>
            <w:r>
              <w:t>9.31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购买移动智能签批设备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9.31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1.保障正常办公需求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购买设备数量</w:t>
            </w:r>
          </w:p>
        </w:tc>
        <w:tc>
          <w:tcPr>
            <w:tcW w:w="5386" w:type="dxa"/>
            <w:vAlign w:val="center"/>
          </w:tcPr>
          <w:p>
            <w:pPr>
              <w:pStyle w:val="14"/>
            </w:pPr>
            <w:r>
              <w:t>购买设备数量</w:t>
            </w:r>
          </w:p>
        </w:tc>
        <w:tc>
          <w:tcPr>
            <w:tcW w:w="2268" w:type="dxa"/>
            <w:vAlign w:val="center"/>
          </w:tcPr>
          <w:p>
            <w:pPr>
              <w:pStyle w:val="14"/>
            </w:pPr>
            <w:r>
              <w:t>≥10台</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设备合格率</w:t>
            </w:r>
          </w:p>
        </w:tc>
        <w:tc>
          <w:tcPr>
            <w:tcW w:w="5386" w:type="dxa"/>
            <w:vAlign w:val="center"/>
          </w:tcPr>
          <w:p>
            <w:pPr>
              <w:pStyle w:val="14"/>
            </w:pPr>
            <w:r>
              <w:t>设备合格率</w:t>
            </w:r>
          </w:p>
        </w:tc>
        <w:tc>
          <w:tcPr>
            <w:tcW w:w="2268" w:type="dxa"/>
            <w:vAlign w:val="center"/>
          </w:tcPr>
          <w:p>
            <w:pPr>
              <w:pStyle w:val="14"/>
            </w:pPr>
            <w:r>
              <w:t>≥95百分比</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根据年初预算及工作需要及时支付</w:t>
            </w:r>
          </w:p>
        </w:tc>
        <w:tc>
          <w:tcPr>
            <w:tcW w:w="2268" w:type="dxa"/>
            <w:vAlign w:val="center"/>
          </w:tcPr>
          <w:p>
            <w:pPr>
              <w:pStyle w:val="14"/>
            </w:pPr>
            <w:r>
              <w:t>≥95百分比</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5386" w:type="dxa"/>
            <w:vAlign w:val="center"/>
          </w:tcPr>
          <w:p>
            <w:pPr>
              <w:pStyle w:val="14"/>
            </w:pPr>
            <w:r>
              <w:t>完成项目的成本控制在预算水平</w:t>
            </w:r>
          </w:p>
        </w:tc>
        <w:tc>
          <w:tcPr>
            <w:tcW w:w="2268" w:type="dxa"/>
            <w:vAlign w:val="center"/>
          </w:tcPr>
          <w:p>
            <w:pPr>
              <w:pStyle w:val="14"/>
            </w:pPr>
            <w:r>
              <w:t>≥95百分比</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5386" w:type="dxa"/>
            <w:vAlign w:val="center"/>
          </w:tcPr>
          <w:p>
            <w:pPr>
              <w:pStyle w:val="14"/>
            </w:pPr>
            <w:r>
              <w:t>公共服务水平提升情况</w:t>
            </w:r>
          </w:p>
        </w:tc>
        <w:tc>
          <w:tcPr>
            <w:tcW w:w="2268" w:type="dxa"/>
            <w:vAlign w:val="center"/>
          </w:tcPr>
          <w:p>
            <w:pPr>
              <w:pStyle w:val="14"/>
            </w:pPr>
            <w:r>
              <w:t>有效提升</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5386" w:type="dxa"/>
            <w:vAlign w:val="center"/>
          </w:tcPr>
          <w:p>
            <w:pPr>
              <w:pStyle w:val="14"/>
            </w:pPr>
            <w:r>
              <w:t>保障机关单位正常运转</w:t>
            </w:r>
          </w:p>
        </w:tc>
        <w:tc>
          <w:tcPr>
            <w:tcW w:w="2268" w:type="dxa"/>
            <w:vAlign w:val="center"/>
          </w:tcPr>
          <w:p>
            <w:pPr>
              <w:pStyle w:val="14"/>
            </w:pPr>
            <w:r>
              <w:t>有效保障</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有效推动</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有效保障</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涞源县人民政府办公室本级上年末固定资产金额为712.42万元（详见下表）。本年度拟购置固定资产总额为9.31万元，已按要求列入政府采购预算，详见政府采购预算表。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3181</w:t>
            </w:r>
          </w:p>
        </w:tc>
        <w:tc>
          <w:tcPr>
            <w:tcW w:w="2835" w:type="dxa"/>
            <w:vAlign w:val="center"/>
          </w:tcPr>
          <w:p>
            <w:pPr>
              <w:pStyle w:val="13"/>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3000</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32</w:t>
            </w:r>
          </w:p>
        </w:tc>
        <w:tc>
          <w:tcPr>
            <w:tcW w:w="2835" w:type="dxa"/>
            <w:vAlign w:val="center"/>
          </w:tcPr>
          <w:p>
            <w:pPr>
              <w:pStyle w:val="13"/>
            </w:pPr>
            <w:r>
              <w:t>392.43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768</w:t>
            </w:r>
          </w:p>
        </w:tc>
        <w:tc>
          <w:tcPr>
            <w:tcW w:w="2835" w:type="dxa"/>
            <w:vAlign w:val="center"/>
          </w:tcPr>
          <w:p>
            <w:pPr>
              <w:pStyle w:val="13"/>
            </w:pPr>
            <w:r>
              <w:t>224.73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4ZjNjZDE3YWRjNjhmM2EyZjFhZTgxYzJhYjI2NmIifQ=="/>
  </w:docVars>
  <w:rsids>
    <w:rsidRoot w:val="00000000"/>
    <w:rsid w:val="17107BE4"/>
    <w:rsid w:val="1AAC44BD"/>
    <w:rsid w:val="3D527825"/>
    <w:rsid w:val="4F1F6324"/>
    <w:rsid w:val="5C904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2024-03-06T14:31:19Z</dcterms:created>
  <dcterms:modified xsi:type="dcterms:W3CDTF">2024-03-06T06:31:19Z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2024-03-06T14:31:19Z</dcterms:created>
  <dcterms:modified xsi:type="dcterms:W3CDTF">2024-03-06T06:31:19Z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2024-03-06T14:31:19Z</dcterms:created>
  <dcterms:modified xsi:type="dcterms:W3CDTF">2024-03-06T06:31:19Z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2024-03-06T14:31:20Z</dcterms:created>
  <dcterms:modified xsi:type="dcterms:W3CDTF">2024-03-06T06:31:20Z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2024-03-06T14:31:18Z</dcterms:created>
  <dcterms:modified xsi:type="dcterms:W3CDTF">2024-03-06T06:31:18Z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2024-03-06T14:31:20Z</dcterms:created>
  <dcterms:modified xsi:type="dcterms:W3CDTF">2024-03-06T06:31:20Z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2024-03-06T14:31:20Z</dcterms:created>
  <dcterms:modified xsi:type="dcterms:W3CDTF">2024-03-06T06:31:20Z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2024-03-06T14:31:21Z</dcterms:created>
  <dcterms:modified xsi:type="dcterms:W3CDTF">2024-03-06T06:31:21Z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2024-03-06T14:31:21Z</dcterms:created>
  <dcterms:modified xsi:type="dcterms:W3CDTF">2024-03-06T06:31:21Z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2024-03-06T14:31:15Z</dcterms:created>
  <dcterms:modified xsi:type="dcterms:W3CDTF">2024-03-06T06:31:14Z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2024-03-06T14:31:21Z</dcterms:created>
  <dcterms:modified xsi:type="dcterms:W3CDTF">2024-03-06T06:31:21Z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2024-03-06T14:31:22Z</dcterms:created>
  <dcterms:modified xsi:type="dcterms:W3CDTF">2024-03-06T06:31:22Z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2024-03-06T14:31:25Z</dcterms:created>
  <dcterms:modified xsi:type="dcterms:W3CDTF">2024-03-06T06:31:25Z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2024-03-06T14:31:25Z</dcterms:created>
  <dcterms:modified xsi:type="dcterms:W3CDTF">2024-03-06T06:31:25Z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2024-03-06T14:31:17Z</dcterms:created>
  <dcterms:modified xsi:type="dcterms:W3CDTF">2024-03-06T06:31:17Z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2024-03-06T14:31:18Z</dcterms:created>
  <dcterms:modified xsi:type="dcterms:W3CDTF">2024-03-06T06:31:18Z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2024-03-06T14:31:11Z</dcterms:created>
  <dcterms:modified xsi:type="dcterms:W3CDTF">2024-03-06T06:31:11Z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2024-03-06T14:31:18Z</dcterms:created>
  <dcterms:modified xsi:type="dcterms:W3CDTF">2024-03-06T06:31:18Z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2024-03-06T14:31:19Z</dcterms:created>
  <dcterms:modified xsi:type="dcterms:W3CDTF">2024-03-06T06:31:19Z</dcterms:modified>
</cp:coreProperties>
</file>

<file path=customXml/itemProps1.xml><?xml version="1.0" encoding="utf-8"?>
<ds:datastoreItem xmlns:ds="http://schemas.openxmlformats.org/officeDocument/2006/customXml" ds:itemID="{dcaaf3b4-2c33-4f54-9138-8b1eb874750f}">
  <ds:schemaRefs/>
</ds:datastoreItem>
</file>

<file path=customXml/itemProps10.xml><?xml version="1.0" encoding="utf-8"?>
<ds:datastoreItem xmlns:ds="http://schemas.openxmlformats.org/officeDocument/2006/customXml" ds:itemID="{301f718a-be91-428b-a4be-a362d35cce5d}">
  <ds:schemaRefs/>
</ds:datastoreItem>
</file>

<file path=customXml/itemProps11.xml><?xml version="1.0" encoding="utf-8"?>
<ds:datastoreItem xmlns:ds="http://schemas.openxmlformats.org/officeDocument/2006/customXml" ds:itemID="{5cafbc5b-f42b-478a-831e-40225f824b6c}">
  <ds:schemaRefs/>
</ds:datastoreItem>
</file>

<file path=customXml/itemProps12.xml><?xml version="1.0" encoding="utf-8"?>
<ds:datastoreItem xmlns:ds="http://schemas.openxmlformats.org/officeDocument/2006/customXml" ds:itemID="{075eb964-d1e2-42a1-aefc-ef6b71eb0e8c}">
  <ds:schemaRefs/>
</ds:datastoreItem>
</file>

<file path=customXml/itemProps13.xml><?xml version="1.0" encoding="utf-8"?>
<ds:datastoreItem xmlns:ds="http://schemas.openxmlformats.org/officeDocument/2006/customXml" ds:itemID="{4b4a8fd0-67c5-4f97-8c45-cc9b50e4c87a}">
  <ds:schemaRefs/>
</ds:datastoreItem>
</file>

<file path=customXml/itemProps14.xml><?xml version="1.0" encoding="utf-8"?>
<ds:datastoreItem xmlns:ds="http://schemas.openxmlformats.org/officeDocument/2006/customXml" ds:itemID="{a79dda4b-462d-4b29-9d2d-c65b3b353659}">
  <ds:schemaRefs/>
</ds:datastoreItem>
</file>

<file path=customXml/itemProps15.xml><?xml version="1.0" encoding="utf-8"?>
<ds:datastoreItem xmlns:ds="http://schemas.openxmlformats.org/officeDocument/2006/customXml" ds:itemID="{790107c1-b315-443d-888f-e958c61561eb}">
  <ds:schemaRefs/>
</ds:datastoreItem>
</file>

<file path=customXml/itemProps16.xml><?xml version="1.0" encoding="utf-8"?>
<ds:datastoreItem xmlns:ds="http://schemas.openxmlformats.org/officeDocument/2006/customXml" ds:itemID="{52f4ab56-ac14-4a8e-b3bd-4b29eba46792}">
  <ds:schemaRefs/>
</ds:datastoreItem>
</file>

<file path=customXml/itemProps17.xml><?xml version="1.0" encoding="utf-8"?>
<ds:datastoreItem xmlns:ds="http://schemas.openxmlformats.org/officeDocument/2006/customXml" ds:itemID="{98733431-eb65-4879-b2c9-854ebd11f536}">
  <ds:schemaRefs/>
</ds:datastoreItem>
</file>

<file path=customXml/itemProps18.xml><?xml version="1.0" encoding="utf-8"?>
<ds:datastoreItem xmlns:ds="http://schemas.openxmlformats.org/officeDocument/2006/customXml" ds:itemID="{c7799db1-5e66-4dee-a7c7-586b195539e1}">
  <ds:schemaRefs/>
</ds:datastoreItem>
</file>

<file path=customXml/itemProps19.xml><?xml version="1.0" encoding="utf-8"?>
<ds:datastoreItem xmlns:ds="http://schemas.openxmlformats.org/officeDocument/2006/customXml" ds:itemID="{14c73d92-9e84-407e-a174-4ce60067b20c}">
  <ds:schemaRefs/>
</ds:datastoreItem>
</file>

<file path=customXml/itemProps2.xml><?xml version="1.0" encoding="utf-8"?>
<ds:datastoreItem xmlns:ds="http://schemas.openxmlformats.org/officeDocument/2006/customXml" ds:itemID="{476acae8-8f43-49b6-a546-0be3fa03fbeb}">
  <ds:schemaRefs/>
</ds:datastoreItem>
</file>

<file path=customXml/itemProps20.xml><?xml version="1.0" encoding="utf-8"?>
<ds:datastoreItem xmlns:ds="http://schemas.openxmlformats.org/officeDocument/2006/customXml" ds:itemID="{5a55d9b4-1e1e-4a16-b8c3-7f40a10bd886}">
  <ds:schemaRefs/>
</ds:datastoreItem>
</file>

<file path=customXml/itemProps21.xml><?xml version="1.0" encoding="utf-8"?>
<ds:datastoreItem xmlns:ds="http://schemas.openxmlformats.org/officeDocument/2006/customXml" ds:itemID="{efa15f8f-6c80-4558-a261-c68b9b401d9a}">
  <ds:schemaRefs/>
</ds:datastoreItem>
</file>

<file path=customXml/itemProps22.xml><?xml version="1.0" encoding="utf-8"?>
<ds:datastoreItem xmlns:ds="http://schemas.openxmlformats.org/officeDocument/2006/customXml" ds:itemID="{bb1efd6e-a7ca-4bc3-845e-210a58ede78e}">
  <ds:schemaRefs/>
</ds:datastoreItem>
</file>

<file path=customXml/itemProps23.xml><?xml version="1.0" encoding="utf-8"?>
<ds:datastoreItem xmlns:ds="http://schemas.openxmlformats.org/officeDocument/2006/customXml" ds:itemID="{03e28bb9-df68-4780-86e4-9dd46988b545}">
  <ds:schemaRefs/>
</ds:datastoreItem>
</file>

<file path=customXml/itemProps24.xml><?xml version="1.0" encoding="utf-8"?>
<ds:datastoreItem xmlns:ds="http://schemas.openxmlformats.org/officeDocument/2006/customXml" ds:itemID="{fee90e3c-c00d-45df-85a8-8e646e1601df}">
  <ds:schemaRefs/>
</ds:datastoreItem>
</file>

<file path=customXml/itemProps25.xml><?xml version="1.0" encoding="utf-8"?>
<ds:datastoreItem xmlns:ds="http://schemas.openxmlformats.org/officeDocument/2006/customXml" ds:itemID="{4885cd42-7f16-4b72-8e93-7bc3db0a90ed}">
  <ds:schemaRefs/>
</ds:datastoreItem>
</file>

<file path=customXml/itemProps26.xml><?xml version="1.0" encoding="utf-8"?>
<ds:datastoreItem xmlns:ds="http://schemas.openxmlformats.org/officeDocument/2006/customXml" ds:itemID="{4e73b6c3-8a7a-41d4-b36b-3c17d17458b5}">
  <ds:schemaRefs/>
</ds:datastoreItem>
</file>

<file path=customXml/itemProps27.xml><?xml version="1.0" encoding="utf-8"?>
<ds:datastoreItem xmlns:ds="http://schemas.openxmlformats.org/officeDocument/2006/customXml" ds:itemID="{7708c743-14f2-4879-ae4c-80ce6e68d15c}">
  <ds:schemaRefs/>
</ds:datastoreItem>
</file>

<file path=customXml/itemProps28.xml><?xml version="1.0" encoding="utf-8"?>
<ds:datastoreItem xmlns:ds="http://schemas.openxmlformats.org/officeDocument/2006/customXml" ds:itemID="{581fa62c-8ecb-4ff8-b7da-a74d674a3c0a}">
  <ds:schemaRefs/>
</ds:datastoreItem>
</file>

<file path=customXml/itemProps29.xml><?xml version="1.0" encoding="utf-8"?>
<ds:datastoreItem xmlns:ds="http://schemas.openxmlformats.org/officeDocument/2006/customXml" ds:itemID="{076c7ea6-68dc-4d13-baf5-e5fa123bc7b4}">
  <ds:schemaRefs/>
</ds:datastoreItem>
</file>

<file path=customXml/itemProps3.xml><?xml version="1.0" encoding="utf-8"?>
<ds:datastoreItem xmlns:ds="http://schemas.openxmlformats.org/officeDocument/2006/customXml" ds:itemID="{5d911556-6d99-4a09-baee-e4830e92f8b8}">
  <ds:schemaRefs/>
</ds:datastoreItem>
</file>

<file path=customXml/itemProps30.xml><?xml version="1.0" encoding="utf-8"?>
<ds:datastoreItem xmlns:ds="http://schemas.openxmlformats.org/officeDocument/2006/customXml" ds:itemID="{c96b8a46-b50b-4e81-bd95-6ed999544990}">
  <ds:schemaRefs/>
</ds:datastoreItem>
</file>

<file path=customXml/itemProps31.xml><?xml version="1.0" encoding="utf-8"?>
<ds:datastoreItem xmlns:ds="http://schemas.openxmlformats.org/officeDocument/2006/customXml" ds:itemID="{5ed25fa4-3c92-4c4f-8511-8efac8f249eb}">
  <ds:schemaRefs/>
</ds:datastoreItem>
</file>

<file path=customXml/itemProps32.xml><?xml version="1.0" encoding="utf-8"?>
<ds:datastoreItem xmlns:ds="http://schemas.openxmlformats.org/officeDocument/2006/customXml" ds:itemID="{f34312f1-b85a-4b7e-9648-020cd9e59da3}">
  <ds:schemaRefs/>
</ds:datastoreItem>
</file>

<file path=customXml/itemProps33.xml><?xml version="1.0" encoding="utf-8"?>
<ds:datastoreItem xmlns:ds="http://schemas.openxmlformats.org/officeDocument/2006/customXml" ds:itemID="{3bf7ac9a-2ef0-40cb-bd99-35029b1e244a}">
  <ds:schemaRefs/>
</ds:datastoreItem>
</file>

<file path=customXml/itemProps34.xml><?xml version="1.0" encoding="utf-8"?>
<ds:datastoreItem xmlns:ds="http://schemas.openxmlformats.org/officeDocument/2006/customXml" ds:itemID="{5229020e-4ba5-4c26-85f2-5e135d404cac}">
  <ds:schemaRefs/>
</ds:datastoreItem>
</file>

<file path=customXml/itemProps35.xml><?xml version="1.0" encoding="utf-8"?>
<ds:datastoreItem xmlns:ds="http://schemas.openxmlformats.org/officeDocument/2006/customXml" ds:itemID="{35843c99-5aa2-42d0-85f6-7801f138906d}">
  <ds:schemaRefs/>
</ds:datastoreItem>
</file>

<file path=customXml/itemProps36.xml><?xml version="1.0" encoding="utf-8"?>
<ds:datastoreItem xmlns:ds="http://schemas.openxmlformats.org/officeDocument/2006/customXml" ds:itemID="{f2be8aa8-ff88-4028-b1d5-c04b15477aab}">
  <ds:schemaRefs/>
</ds:datastoreItem>
</file>

<file path=customXml/itemProps37.xml><?xml version="1.0" encoding="utf-8"?>
<ds:datastoreItem xmlns:ds="http://schemas.openxmlformats.org/officeDocument/2006/customXml" ds:itemID="{6246e839-57b3-4db8-a56e-6c829850a0b0}">
  <ds:schemaRefs/>
</ds:datastoreItem>
</file>

<file path=customXml/itemProps38.xml><?xml version="1.0" encoding="utf-8"?>
<ds:datastoreItem xmlns:ds="http://schemas.openxmlformats.org/officeDocument/2006/customXml" ds:itemID="{4d8bc3df-11b7-44ec-82bb-25ba201e72de}">
  <ds:schemaRefs/>
</ds:datastoreItem>
</file>

<file path=customXml/itemProps4.xml><?xml version="1.0" encoding="utf-8"?>
<ds:datastoreItem xmlns:ds="http://schemas.openxmlformats.org/officeDocument/2006/customXml" ds:itemID="{70898c1f-9aed-4f56-8181-d5bff6cb3727}">
  <ds:schemaRefs/>
</ds:datastoreItem>
</file>

<file path=customXml/itemProps5.xml><?xml version="1.0" encoding="utf-8"?>
<ds:datastoreItem xmlns:ds="http://schemas.openxmlformats.org/officeDocument/2006/customXml" ds:itemID="{aff83a34-c33e-4528-a481-9dba71e13bea}">
  <ds:schemaRefs/>
</ds:datastoreItem>
</file>

<file path=customXml/itemProps6.xml><?xml version="1.0" encoding="utf-8"?>
<ds:datastoreItem xmlns:ds="http://schemas.openxmlformats.org/officeDocument/2006/customXml" ds:itemID="{e48f68aa-e869-499f-a99c-372f0f64d70f}">
  <ds:schemaRefs/>
</ds:datastoreItem>
</file>

<file path=customXml/itemProps7.xml><?xml version="1.0" encoding="utf-8"?>
<ds:datastoreItem xmlns:ds="http://schemas.openxmlformats.org/officeDocument/2006/customXml" ds:itemID="{1b80101a-2029-4450-bd4c-62bf61ce79c7}">
  <ds:schemaRefs/>
</ds:datastoreItem>
</file>

<file path=customXml/itemProps8.xml><?xml version="1.0" encoding="utf-8"?>
<ds:datastoreItem xmlns:ds="http://schemas.openxmlformats.org/officeDocument/2006/customXml" ds:itemID="{7209be6d-57e1-4d4f-b105-4cff4c1cf6ce}">
  <ds:schemaRefs/>
</ds:datastoreItem>
</file>

<file path=customXml/itemProps9.xml><?xml version="1.0" encoding="utf-8"?>
<ds:datastoreItem xmlns:ds="http://schemas.openxmlformats.org/officeDocument/2006/customXml" ds:itemID="{93326931-0392-4d32-bc85-e7024822749f}">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2024-03-06T14:31:00Z</dcterms:created>
  <dc:creator>Administrator</dc:creator>
  <cp:lastModifiedBy>Administrator</cp:lastModifiedBy>
  <dcterms:modified xsi:type="dcterms:W3CDTF">2024-03-12T01:32:46Z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0FBCD37FD51A47EE8AC22AEFB43C315A_12</vt:lpwstr>
  </property>
</Properties>
</file>