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lang w:eastAsia="zh-CN"/>
              </w:rPr>
            </w:pPr>
            <w:r>
              <w:rPr>
                <w:rFonts w:hint="eastAsia"/>
                <w:lang w:eastAsia="zh-CN"/>
              </w:rPr>
              <w:t>101涞源县人民代表大会常务委员会办公室本级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652.36</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585.98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rPr>
                <w:lang w:eastAsia="zh-CN"/>
              </w:rPr>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18.92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652.36</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652.36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652.36</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652.36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835"/>
        <w:gridCol w:w="850"/>
        <w:gridCol w:w="993"/>
        <w:gridCol w:w="850"/>
        <w:gridCol w:w="992"/>
        <w:gridCol w:w="851"/>
        <w:gridCol w:w="1417"/>
        <w:gridCol w:w="993"/>
        <w:gridCol w:w="992"/>
        <w:gridCol w:w="850"/>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9" w:type="dxa"/>
            <w:gridSpan w:val="5"/>
            <w:tcBorders>
              <w:top w:val="single" w:color="FFFFFF" w:sz="6" w:space="0"/>
              <w:left w:val="single" w:color="FFFFFF" w:sz="6" w:space="0"/>
              <w:right w:val="single" w:color="FFFFFF" w:sz="6" w:space="0"/>
            </w:tcBorders>
            <w:vAlign w:val="center"/>
          </w:tcPr>
          <w:p>
            <w:pPr>
              <w:pStyle w:val="13"/>
            </w:pPr>
            <w:r>
              <w:rPr>
                <w:rFonts w:hint="eastAsia"/>
                <w:lang w:eastAsia="zh-CN"/>
              </w:rPr>
              <w:t>101涞源县人民代表大会常务委员会办公室本级</w:t>
            </w:r>
          </w:p>
        </w:tc>
        <w:tc>
          <w:tcPr>
            <w:tcW w:w="2693"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32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4026" w:type="dxa"/>
            <w:gridSpan w:val="2"/>
            <w:vAlign w:val="center"/>
          </w:tcPr>
          <w:p>
            <w:pPr>
              <w:pStyle w:val="14"/>
            </w:pPr>
            <w:r>
              <w:t>功能分类科目</w:t>
            </w:r>
          </w:p>
        </w:tc>
        <w:tc>
          <w:tcPr>
            <w:tcW w:w="850" w:type="dxa"/>
            <w:vMerge w:val="restart"/>
            <w:vAlign w:val="center"/>
          </w:tcPr>
          <w:p>
            <w:pPr>
              <w:pStyle w:val="14"/>
            </w:pPr>
            <w:r>
              <w:t>合计</w:t>
            </w:r>
          </w:p>
        </w:tc>
        <w:tc>
          <w:tcPr>
            <w:tcW w:w="7938" w:type="dxa"/>
            <w:gridSpan w:val="8"/>
            <w:vAlign w:val="center"/>
          </w:tcPr>
          <w:p>
            <w:pPr>
              <w:pStyle w:val="14"/>
            </w:pPr>
            <w:r>
              <w:t>本年收入</w:t>
            </w:r>
          </w:p>
        </w:tc>
        <w:tc>
          <w:tcPr>
            <w:tcW w:w="107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4"/>
            </w:pPr>
            <w:r>
              <w:t>科目    编码</w:t>
            </w:r>
          </w:p>
        </w:tc>
        <w:tc>
          <w:tcPr>
            <w:tcW w:w="2835" w:type="dxa"/>
            <w:vAlign w:val="center"/>
          </w:tcPr>
          <w:p>
            <w:pPr>
              <w:pStyle w:val="14"/>
            </w:pPr>
            <w:r>
              <w:t>科目名称</w:t>
            </w:r>
          </w:p>
        </w:tc>
        <w:tc>
          <w:tcPr>
            <w:tcW w:w="850" w:type="dxa"/>
            <w:vMerge w:val="continue"/>
          </w:tcPr>
          <w:p/>
        </w:tc>
        <w:tc>
          <w:tcPr>
            <w:tcW w:w="993" w:type="dxa"/>
            <w:vAlign w:val="center"/>
          </w:tcPr>
          <w:p>
            <w:pPr>
              <w:pStyle w:val="14"/>
            </w:pPr>
            <w:r>
              <w:t>小计</w:t>
            </w:r>
          </w:p>
        </w:tc>
        <w:tc>
          <w:tcPr>
            <w:tcW w:w="850" w:type="dxa"/>
            <w:vAlign w:val="center"/>
          </w:tcPr>
          <w:p>
            <w:pPr>
              <w:pStyle w:val="14"/>
            </w:pPr>
            <w:r>
              <w:t>财政拨款 收入</w:t>
            </w:r>
          </w:p>
        </w:tc>
        <w:tc>
          <w:tcPr>
            <w:tcW w:w="992" w:type="dxa"/>
            <w:vAlign w:val="center"/>
          </w:tcPr>
          <w:p>
            <w:pPr>
              <w:pStyle w:val="14"/>
            </w:pPr>
            <w:r>
              <w:t>财政专户 收入</w:t>
            </w:r>
          </w:p>
        </w:tc>
        <w:tc>
          <w:tcPr>
            <w:tcW w:w="851" w:type="dxa"/>
            <w:vAlign w:val="center"/>
          </w:tcPr>
          <w:p>
            <w:pPr>
              <w:pStyle w:val="14"/>
            </w:pPr>
            <w:r>
              <w:t>事业收入</w:t>
            </w:r>
          </w:p>
        </w:tc>
        <w:tc>
          <w:tcPr>
            <w:tcW w:w="1417" w:type="dxa"/>
            <w:vAlign w:val="center"/>
          </w:tcPr>
          <w:p>
            <w:pPr>
              <w:pStyle w:val="14"/>
            </w:pPr>
            <w:r>
              <w:t>经营收入</w:t>
            </w:r>
          </w:p>
        </w:tc>
        <w:tc>
          <w:tcPr>
            <w:tcW w:w="993" w:type="dxa"/>
            <w:vAlign w:val="center"/>
          </w:tcPr>
          <w:p>
            <w:pPr>
              <w:pStyle w:val="14"/>
            </w:pPr>
            <w:r>
              <w:t>上级补助收入</w:t>
            </w:r>
          </w:p>
        </w:tc>
        <w:tc>
          <w:tcPr>
            <w:tcW w:w="992" w:type="dxa"/>
            <w:vAlign w:val="center"/>
          </w:tcPr>
          <w:p>
            <w:pPr>
              <w:pStyle w:val="14"/>
            </w:pPr>
            <w:r>
              <w:t>附属单位上缴收入</w:t>
            </w:r>
          </w:p>
        </w:tc>
        <w:tc>
          <w:tcPr>
            <w:tcW w:w="850" w:type="dxa"/>
            <w:vAlign w:val="center"/>
          </w:tcPr>
          <w:p>
            <w:pPr>
              <w:pStyle w:val="14"/>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1191" w:type="dxa"/>
            <w:vAlign w:val="center"/>
          </w:tcPr>
          <w:p>
            <w:pPr>
              <w:pStyle w:val="14"/>
            </w:pPr>
            <w:r>
              <w:t>1</w:t>
            </w:r>
          </w:p>
        </w:tc>
        <w:tc>
          <w:tcPr>
            <w:tcW w:w="2835" w:type="dxa"/>
            <w:vAlign w:val="center"/>
          </w:tcPr>
          <w:p>
            <w:pPr>
              <w:pStyle w:val="14"/>
            </w:pPr>
            <w:r>
              <w:t>2</w:t>
            </w:r>
          </w:p>
        </w:tc>
        <w:tc>
          <w:tcPr>
            <w:tcW w:w="850" w:type="dxa"/>
            <w:vAlign w:val="center"/>
          </w:tcPr>
          <w:p>
            <w:pPr>
              <w:pStyle w:val="14"/>
            </w:pPr>
            <w:r>
              <w:t>3</w:t>
            </w:r>
          </w:p>
        </w:tc>
        <w:tc>
          <w:tcPr>
            <w:tcW w:w="993" w:type="dxa"/>
            <w:vAlign w:val="center"/>
          </w:tcPr>
          <w:p>
            <w:pPr>
              <w:pStyle w:val="14"/>
            </w:pPr>
            <w:r>
              <w:t>4</w:t>
            </w:r>
          </w:p>
        </w:tc>
        <w:tc>
          <w:tcPr>
            <w:tcW w:w="850" w:type="dxa"/>
            <w:vAlign w:val="center"/>
          </w:tcPr>
          <w:p>
            <w:pPr>
              <w:pStyle w:val="14"/>
            </w:pPr>
            <w:r>
              <w:t>5</w:t>
            </w:r>
          </w:p>
        </w:tc>
        <w:tc>
          <w:tcPr>
            <w:tcW w:w="992" w:type="dxa"/>
            <w:vAlign w:val="center"/>
          </w:tcPr>
          <w:p>
            <w:pPr>
              <w:pStyle w:val="14"/>
            </w:pPr>
            <w:r>
              <w:t>6</w:t>
            </w:r>
          </w:p>
        </w:tc>
        <w:tc>
          <w:tcPr>
            <w:tcW w:w="851" w:type="dxa"/>
            <w:vAlign w:val="center"/>
          </w:tcPr>
          <w:p>
            <w:pPr>
              <w:pStyle w:val="14"/>
            </w:pPr>
            <w:r>
              <w:t>7</w:t>
            </w:r>
          </w:p>
        </w:tc>
        <w:tc>
          <w:tcPr>
            <w:tcW w:w="1417" w:type="dxa"/>
            <w:vAlign w:val="center"/>
          </w:tcPr>
          <w:p>
            <w:pPr>
              <w:pStyle w:val="14"/>
            </w:pPr>
            <w:r>
              <w:t>8</w:t>
            </w:r>
          </w:p>
        </w:tc>
        <w:tc>
          <w:tcPr>
            <w:tcW w:w="993" w:type="dxa"/>
            <w:vAlign w:val="center"/>
          </w:tcPr>
          <w:p>
            <w:pPr>
              <w:pStyle w:val="14"/>
            </w:pPr>
            <w:r>
              <w:t>9</w:t>
            </w:r>
          </w:p>
        </w:tc>
        <w:tc>
          <w:tcPr>
            <w:tcW w:w="992" w:type="dxa"/>
            <w:vAlign w:val="center"/>
          </w:tcPr>
          <w:p>
            <w:pPr>
              <w:pStyle w:val="14"/>
            </w:pPr>
            <w:r>
              <w:t>10</w:t>
            </w:r>
          </w:p>
        </w:tc>
        <w:tc>
          <w:tcPr>
            <w:tcW w:w="850" w:type="dxa"/>
            <w:vAlign w:val="center"/>
          </w:tcPr>
          <w:p>
            <w:pPr>
              <w:pStyle w:val="14"/>
            </w:pPr>
            <w:r>
              <w:t>11</w:t>
            </w:r>
          </w:p>
        </w:tc>
        <w:tc>
          <w:tcPr>
            <w:tcW w:w="107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1191" w:type="dxa"/>
            <w:vAlign w:val="center"/>
          </w:tcPr>
          <w:p>
            <w:pPr>
              <w:pStyle w:val="20"/>
            </w:pPr>
          </w:p>
        </w:tc>
        <w:tc>
          <w:tcPr>
            <w:tcW w:w="2835" w:type="dxa"/>
            <w:vAlign w:val="center"/>
          </w:tcPr>
          <w:p>
            <w:pPr>
              <w:pStyle w:val="18"/>
            </w:pPr>
            <w:r>
              <w:t>合计</w:t>
            </w:r>
          </w:p>
        </w:tc>
        <w:tc>
          <w:tcPr>
            <w:tcW w:w="850" w:type="dxa"/>
            <w:vAlign w:val="center"/>
          </w:tcPr>
          <w:p>
            <w:pPr>
              <w:pStyle w:val="19"/>
              <w:rPr>
                <w:lang w:eastAsia="zh-CN"/>
              </w:rPr>
            </w:pPr>
            <w:r>
              <w:rPr>
                <w:rFonts w:hint="eastAsia"/>
                <w:lang w:eastAsia="zh-CN"/>
              </w:rPr>
              <w:t>652.36</w:t>
            </w:r>
          </w:p>
        </w:tc>
        <w:tc>
          <w:tcPr>
            <w:tcW w:w="993" w:type="dxa"/>
            <w:vAlign w:val="center"/>
          </w:tcPr>
          <w:p>
            <w:pPr>
              <w:pStyle w:val="19"/>
              <w:rPr>
                <w:lang w:eastAsia="zh-CN"/>
              </w:rPr>
            </w:pPr>
            <w:r>
              <w:rPr>
                <w:rFonts w:hint="eastAsia"/>
                <w:lang w:eastAsia="zh-CN"/>
              </w:rPr>
              <w:t>652.36</w:t>
            </w:r>
          </w:p>
        </w:tc>
        <w:tc>
          <w:tcPr>
            <w:tcW w:w="850" w:type="dxa"/>
            <w:vAlign w:val="center"/>
          </w:tcPr>
          <w:p>
            <w:pPr>
              <w:pStyle w:val="19"/>
              <w:rPr>
                <w:lang w:eastAsia="zh-CN"/>
              </w:rPr>
            </w:pPr>
            <w:r>
              <w:rPr>
                <w:rFonts w:hint="eastAsia"/>
                <w:lang w:eastAsia="zh-CN"/>
              </w:rPr>
              <w:t>652.36</w:t>
            </w:r>
          </w:p>
        </w:tc>
        <w:tc>
          <w:tcPr>
            <w:tcW w:w="992" w:type="dxa"/>
            <w:vAlign w:val="center"/>
          </w:tcPr>
          <w:p>
            <w:pPr>
              <w:pStyle w:val="19"/>
            </w:pPr>
          </w:p>
        </w:tc>
        <w:tc>
          <w:tcPr>
            <w:tcW w:w="851" w:type="dxa"/>
            <w:vAlign w:val="center"/>
          </w:tcPr>
          <w:p>
            <w:pPr>
              <w:pStyle w:val="19"/>
            </w:pPr>
          </w:p>
        </w:tc>
        <w:tc>
          <w:tcPr>
            <w:tcW w:w="1417" w:type="dxa"/>
            <w:vAlign w:val="center"/>
          </w:tcPr>
          <w:p>
            <w:pPr>
              <w:pStyle w:val="19"/>
            </w:pPr>
          </w:p>
        </w:tc>
        <w:tc>
          <w:tcPr>
            <w:tcW w:w="993" w:type="dxa"/>
            <w:vAlign w:val="center"/>
          </w:tcPr>
          <w:p>
            <w:pPr>
              <w:pStyle w:val="19"/>
            </w:pPr>
          </w:p>
        </w:tc>
        <w:tc>
          <w:tcPr>
            <w:tcW w:w="992" w:type="dxa"/>
            <w:vAlign w:val="center"/>
          </w:tcPr>
          <w:p>
            <w:pPr>
              <w:pStyle w:val="19"/>
            </w:pPr>
          </w:p>
        </w:tc>
        <w:tc>
          <w:tcPr>
            <w:tcW w:w="850" w:type="dxa"/>
            <w:vAlign w:val="center"/>
          </w:tcPr>
          <w:p>
            <w:pPr>
              <w:pStyle w:val="19"/>
            </w:pPr>
          </w:p>
        </w:tc>
        <w:tc>
          <w:tcPr>
            <w:tcW w:w="10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1191" w:type="dxa"/>
            <w:vAlign w:val="center"/>
          </w:tcPr>
          <w:p>
            <w:pPr>
              <w:pStyle w:val="16"/>
            </w:pPr>
            <w:r>
              <w:t>201</w:t>
            </w:r>
          </w:p>
        </w:tc>
        <w:tc>
          <w:tcPr>
            <w:tcW w:w="2835" w:type="dxa"/>
            <w:vAlign w:val="center"/>
          </w:tcPr>
          <w:p>
            <w:pPr>
              <w:pStyle w:val="16"/>
            </w:pPr>
            <w:r>
              <w:t>一般公共服务支出</w:t>
            </w:r>
          </w:p>
        </w:tc>
        <w:tc>
          <w:tcPr>
            <w:tcW w:w="850" w:type="dxa"/>
            <w:vAlign w:val="center"/>
          </w:tcPr>
          <w:p>
            <w:pPr>
              <w:pStyle w:val="15"/>
              <w:rPr>
                <w:lang w:eastAsia="zh-CN"/>
              </w:rPr>
            </w:pPr>
            <w:r>
              <w:rPr>
                <w:rFonts w:hint="eastAsia"/>
                <w:lang w:eastAsia="zh-CN"/>
              </w:rPr>
              <w:t>652..36</w:t>
            </w:r>
          </w:p>
        </w:tc>
        <w:tc>
          <w:tcPr>
            <w:tcW w:w="993" w:type="dxa"/>
            <w:vAlign w:val="center"/>
          </w:tcPr>
          <w:p>
            <w:pPr>
              <w:pStyle w:val="15"/>
              <w:rPr>
                <w:lang w:eastAsia="zh-CN"/>
              </w:rPr>
            </w:pPr>
            <w:r>
              <w:rPr>
                <w:rFonts w:hint="eastAsia"/>
                <w:lang w:eastAsia="zh-CN"/>
              </w:rPr>
              <w:t>652..36</w:t>
            </w:r>
          </w:p>
        </w:tc>
        <w:tc>
          <w:tcPr>
            <w:tcW w:w="850" w:type="dxa"/>
            <w:vAlign w:val="center"/>
          </w:tcPr>
          <w:p>
            <w:pPr>
              <w:pStyle w:val="15"/>
              <w:rPr>
                <w:lang w:eastAsia="zh-CN"/>
              </w:rPr>
            </w:pPr>
            <w:r>
              <w:rPr>
                <w:rFonts w:hint="eastAsia"/>
                <w:lang w:eastAsia="zh-CN"/>
              </w:rPr>
              <w:t>652..36</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1191" w:type="dxa"/>
            <w:vAlign w:val="center"/>
          </w:tcPr>
          <w:p>
            <w:pPr>
              <w:pStyle w:val="16"/>
              <w:rPr>
                <w:lang w:eastAsia="zh-CN"/>
              </w:rPr>
            </w:pPr>
            <w:r>
              <w:t>2010</w:t>
            </w:r>
            <w:r>
              <w:rPr>
                <w:rFonts w:hint="eastAsia"/>
                <w:lang w:eastAsia="zh-CN"/>
              </w:rPr>
              <w:t>01</w:t>
            </w:r>
          </w:p>
        </w:tc>
        <w:tc>
          <w:tcPr>
            <w:tcW w:w="2835" w:type="dxa"/>
            <w:vAlign w:val="center"/>
          </w:tcPr>
          <w:p>
            <w:pPr>
              <w:pStyle w:val="16"/>
              <w:rPr>
                <w:lang w:eastAsia="zh-CN"/>
              </w:rPr>
            </w:pPr>
            <w:r>
              <w:rPr>
                <w:rFonts w:hint="eastAsia"/>
                <w:lang w:eastAsia="zh-CN"/>
              </w:rPr>
              <w:t>人大事务</w:t>
            </w:r>
          </w:p>
        </w:tc>
        <w:tc>
          <w:tcPr>
            <w:tcW w:w="850" w:type="dxa"/>
            <w:vAlign w:val="center"/>
          </w:tcPr>
          <w:p>
            <w:pPr>
              <w:pStyle w:val="15"/>
              <w:rPr>
                <w:lang w:eastAsia="zh-CN"/>
              </w:rPr>
            </w:pPr>
            <w:r>
              <w:rPr>
                <w:rFonts w:hint="eastAsia"/>
                <w:lang w:eastAsia="zh-CN"/>
              </w:rPr>
              <w:t>445.13</w:t>
            </w:r>
          </w:p>
        </w:tc>
        <w:tc>
          <w:tcPr>
            <w:tcW w:w="993" w:type="dxa"/>
            <w:vAlign w:val="center"/>
          </w:tcPr>
          <w:p>
            <w:pPr>
              <w:pStyle w:val="15"/>
              <w:rPr>
                <w:lang w:eastAsia="zh-CN"/>
              </w:rPr>
            </w:pPr>
            <w:r>
              <w:rPr>
                <w:rFonts w:hint="eastAsia"/>
                <w:lang w:eastAsia="zh-CN"/>
              </w:rPr>
              <w:t>445.13</w:t>
            </w:r>
          </w:p>
        </w:tc>
        <w:tc>
          <w:tcPr>
            <w:tcW w:w="850" w:type="dxa"/>
            <w:vAlign w:val="center"/>
          </w:tcPr>
          <w:p>
            <w:pPr>
              <w:pStyle w:val="15"/>
              <w:rPr>
                <w:lang w:eastAsia="zh-CN"/>
              </w:rPr>
            </w:pPr>
            <w:r>
              <w:rPr>
                <w:rFonts w:hint="eastAsia"/>
                <w:lang w:eastAsia="zh-CN"/>
              </w:rPr>
              <w:t>445.13</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1191" w:type="dxa"/>
            <w:vAlign w:val="center"/>
          </w:tcPr>
          <w:p>
            <w:pPr>
              <w:pStyle w:val="16"/>
              <w:rPr>
                <w:lang w:eastAsia="zh-CN"/>
              </w:rPr>
            </w:pPr>
            <w:r>
              <w:rPr>
                <w:rFonts w:hint="eastAsia"/>
                <w:lang w:eastAsia="zh-CN"/>
              </w:rPr>
              <w:t>2010101</w:t>
            </w:r>
          </w:p>
        </w:tc>
        <w:tc>
          <w:tcPr>
            <w:tcW w:w="2835" w:type="dxa"/>
            <w:vAlign w:val="center"/>
          </w:tcPr>
          <w:p>
            <w:pPr>
              <w:pStyle w:val="16"/>
            </w:pPr>
            <w:r>
              <w:t>行政运行</w:t>
            </w:r>
          </w:p>
        </w:tc>
        <w:tc>
          <w:tcPr>
            <w:tcW w:w="850" w:type="dxa"/>
            <w:vAlign w:val="center"/>
          </w:tcPr>
          <w:p>
            <w:pPr>
              <w:pStyle w:val="15"/>
              <w:rPr>
                <w:lang w:eastAsia="zh-CN"/>
              </w:rPr>
            </w:pPr>
            <w:r>
              <w:rPr>
                <w:rFonts w:hint="eastAsia"/>
                <w:lang w:eastAsia="zh-CN"/>
              </w:rPr>
              <w:t>445.13</w:t>
            </w:r>
          </w:p>
        </w:tc>
        <w:tc>
          <w:tcPr>
            <w:tcW w:w="993" w:type="dxa"/>
            <w:vAlign w:val="center"/>
          </w:tcPr>
          <w:p>
            <w:pPr>
              <w:pStyle w:val="15"/>
              <w:rPr>
                <w:lang w:eastAsia="zh-CN"/>
              </w:rPr>
            </w:pPr>
            <w:r>
              <w:rPr>
                <w:rFonts w:hint="eastAsia"/>
                <w:lang w:eastAsia="zh-CN"/>
              </w:rPr>
              <w:t>445.13</w:t>
            </w:r>
          </w:p>
        </w:tc>
        <w:tc>
          <w:tcPr>
            <w:tcW w:w="850" w:type="dxa"/>
            <w:vAlign w:val="center"/>
          </w:tcPr>
          <w:p>
            <w:pPr>
              <w:pStyle w:val="15"/>
              <w:rPr>
                <w:lang w:eastAsia="zh-CN"/>
              </w:rPr>
            </w:pPr>
            <w:r>
              <w:rPr>
                <w:rFonts w:hint="eastAsia"/>
                <w:lang w:eastAsia="zh-CN"/>
              </w:rPr>
              <w:t>445.13</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1191" w:type="dxa"/>
            <w:vAlign w:val="center"/>
          </w:tcPr>
          <w:p>
            <w:pPr>
              <w:pStyle w:val="16"/>
              <w:rPr>
                <w:lang w:eastAsia="zh-CN"/>
              </w:rPr>
            </w:pPr>
            <w:r>
              <w:rPr>
                <w:rFonts w:hint="eastAsia"/>
                <w:lang w:eastAsia="zh-CN"/>
              </w:rPr>
              <w:t>2010104</w:t>
            </w:r>
          </w:p>
        </w:tc>
        <w:tc>
          <w:tcPr>
            <w:tcW w:w="2835" w:type="dxa"/>
            <w:vAlign w:val="center"/>
          </w:tcPr>
          <w:p>
            <w:pPr>
              <w:pStyle w:val="16"/>
              <w:rPr>
                <w:lang w:eastAsia="zh-CN"/>
              </w:rPr>
            </w:pPr>
            <w:r>
              <w:rPr>
                <w:rFonts w:hint="eastAsia"/>
                <w:lang w:eastAsia="zh-CN"/>
              </w:rPr>
              <w:t>人大会议</w:t>
            </w:r>
          </w:p>
        </w:tc>
        <w:tc>
          <w:tcPr>
            <w:tcW w:w="850" w:type="dxa"/>
            <w:vAlign w:val="center"/>
          </w:tcPr>
          <w:p>
            <w:pPr>
              <w:pStyle w:val="15"/>
              <w:rPr>
                <w:lang w:eastAsia="zh-CN"/>
              </w:rPr>
            </w:pPr>
            <w:r>
              <w:rPr>
                <w:rFonts w:hint="eastAsia"/>
                <w:lang w:eastAsia="zh-CN"/>
              </w:rPr>
              <w:t>96.75</w:t>
            </w:r>
          </w:p>
        </w:tc>
        <w:tc>
          <w:tcPr>
            <w:tcW w:w="993" w:type="dxa"/>
            <w:vAlign w:val="center"/>
          </w:tcPr>
          <w:p>
            <w:pPr>
              <w:pStyle w:val="15"/>
              <w:rPr>
                <w:lang w:eastAsia="zh-CN"/>
              </w:rPr>
            </w:pPr>
            <w:r>
              <w:rPr>
                <w:rFonts w:hint="eastAsia"/>
                <w:lang w:eastAsia="zh-CN"/>
              </w:rPr>
              <w:t>96.75</w:t>
            </w:r>
          </w:p>
        </w:tc>
        <w:tc>
          <w:tcPr>
            <w:tcW w:w="850" w:type="dxa"/>
            <w:vAlign w:val="center"/>
          </w:tcPr>
          <w:p>
            <w:pPr>
              <w:pStyle w:val="15"/>
              <w:rPr>
                <w:lang w:eastAsia="zh-CN"/>
              </w:rPr>
            </w:pPr>
            <w:r>
              <w:rPr>
                <w:rFonts w:hint="eastAsia"/>
                <w:lang w:eastAsia="zh-CN"/>
              </w:rPr>
              <w:t>96.75</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1191" w:type="dxa"/>
            <w:vAlign w:val="center"/>
          </w:tcPr>
          <w:p>
            <w:pPr>
              <w:pStyle w:val="16"/>
              <w:rPr>
                <w:lang w:eastAsia="zh-CN"/>
              </w:rPr>
            </w:pPr>
            <w:r>
              <w:rPr>
                <w:rFonts w:hint="eastAsia"/>
                <w:lang w:eastAsia="zh-CN"/>
              </w:rPr>
              <w:t>2010108</w:t>
            </w:r>
          </w:p>
        </w:tc>
        <w:tc>
          <w:tcPr>
            <w:tcW w:w="2835" w:type="dxa"/>
            <w:vAlign w:val="center"/>
          </w:tcPr>
          <w:p>
            <w:pPr>
              <w:pStyle w:val="16"/>
              <w:rPr>
                <w:lang w:eastAsia="zh-CN"/>
              </w:rPr>
            </w:pPr>
            <w:r>
              <w:rPr>
                <w:rFonts w:hint="eastAsia"/>
                <w:lang w:eastAsia="zh-CN"/>
              </w:rPr>
              <w:t>代表工作</w:t>
            </w:r>
          </w:p>
        </w:tc>
        <w:tc>
          <w:tcPr>
            <w:tcW w:w="850" w:type="dxa"/>
            <w:vAlign w:val="center"/>
          </w:tcPr>
          <w:p>
            <w:pPr>
              <w:pStyle w:val="15"/>
              <w:rPr>
                <w:lang w:eastAsia="zh-CN"/>
              </w:rPr>
            </w:pPr>
            <w:r>
              <w:rPr>
                <w:rFonts w:hint="eastAsia"/>
                <w:lang w:eastAsia="zh-CN"/>
              </w:rPr>
              <w:t>43.92</w:t>
            </w:r>
          </w:p>
        </w:tc>
        <w:tc>
          <w:tcPr>
            <w:tcW w:w="993" w:type="dxa"/>
            <w:vAlign w:val="center"/>
          </w:tcPr>
          <w:p>
            <w:pPr>
              <w:pStyle w:val="15"/>
              <w:rPr>
                <w:lang w:eastAsia="zh-CN"/>
              </w:rPr>
            </w:pPr>
            <w:r>
              <w:rPr>
                <w:rFonts w:hint="eastAsia"/>
                <w:lang w:eastAsia="zh-CN"/>
              </w:rPr>
              <w:t>43.92</w:t>
            </w:r>
          </w:p>
        </w:tc>
        <w:tc>
          <w:tcPr>
            <w:tcW w:w="850" w:type="dxa"/>
            <w:vAlign w:val="center"/>
          </w:tcPr>
          <w:p>
            <w:pPr>
              <w:pStyle w:val="15"/>
              <w:rPr>
                <w:lang w:eastAsia="zh-CN"/>
              </w:rPr>
            </w:pPr>
            <w:r>
              <w:rPr>
                <w:rFonts w:hint="eastAsia"/>
                <w:lang w:eastAsia="zh-CN"/>
              </w:rPr>
              <w:t>43.92</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1191" w:type="dxa"/>
            <w:vAlign w:val="center"/>
          </w:tcPr>
          <w:p>
            <w:pPr>
              <w:pStyle w:val="16"/>
              <w:rPr>
                <w:lang w:eastAsia="zh-CN"/>
              </w:rPr>
            </w:pPr>
            <w:r>
              <w:rPr>
                <w:rFonts w:hint="eastAsia"/>
                <w:lang w:eastAsia="zh-CN"/>
              </w:rPr>
              <w:t>208</w:t>
            </w:r>
          </w:p>
        </w:tc>
        <w:tc>
          <w:tcPr>
            <w:tcW w:w="2835" w:type="dxa"/>
            <w:vAlign w:val="center"/>
          </w:tcPr>
          <w:p>
            <w:pPr>
              <w:pStyle w:val="16"/>
            </w:pPr>
            <w:r>
              <w:t>社会保障和就业支出</w:t>
            </w:r>
          </w:p>
        </w:tc>
        <w:tc>
          <w:tcPr>
            <w:tcW w:w="850" w:type="dxa"/>
            <w:vAlign w:val="center"/>
          </w:tcPr>
          <w:p>
            <w:pPr>
              <w:pStyle w:val="15"/>
              <w:rPr>
                <w:lang w:eastAsia="zh-CN"/>
              </w:rPr>
            </w:pPr>
            <w:r>
              <w:rPr>
                <w:rFonts w:hint="eastAsia"/>
                <w:lang w:eastAsia="zh-CN"/>
              </w:rPr>
              <w:t>47.64</w:t>
            </w:r>
          </w:p>
        </w:tc>
        <w:tc>
          <w:tcPr>
            <w:tcW w:w="993" w:type="dxa"/>
            <w:vAlign w:val="center"/>
          </w:tcPr>
          <w:p>
            <w:pPr>
              <w:pStyle w:val="15"/>
              <w:rPr>
                <w:lang w:eastAsia="zh-CN"/>
              </w:rPr>
            </w:pPr>
            <w:r>
              <w:rPr>
                <w:rFonts w:hint="eastAsia"/>
                <w:lang w:eastAsia="zh-CN"/>
              </w:rPr>
              <w:t>47.64</w:t>
            </w:r>
          </w:p>
        </w:tc>
        <w:tc>
          <w:tcPr>
            <w:tcW w:w="850" w:type="dxa"/>
            <w:vAlign w:val="center"/>
          </w:tcPr>
          <w:p>
            <w:pPr>
              <w:pStyle w:val="15"/>
              <w:rPr>
                <w:lang w:eastAsia="zh-CN"/>
              </w:rPr>
            </w:pPr>
            <w:r>
              <w:rPr>
                <w:rFonts w:hint="eastAsia"/>
                <w:lang w:eastAsia="zh-CN"/>
              </w:rPr>
              <w:t>47.64</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1191" w:type="dxa"/>
            <w:vAlign w:val="center"/>
          </w:tcPr>
          <w:p>
            <w:pPr>
              <w:pStyle w:val="16"/>
              <w:rPr>
                <w:lang w:eastAsia="zh-CN"/>
              </w:rPr>
            </w:pPr>
            <w:r>
              <w:rPr>
                <w:rFonts w:hint="eastAsia"/>
                <w:lang w:eastAsia="zh-CN"/>
              </w:rPr>
              <w:t>20805</w:t>
            </w:r>
          </w:p>
        </w:tc>
        <w:tc>
          <w:tcPr>
            <w:tcW w:w="2835" w:type="dxa"/>
            <w:vAlign w:val="center"/>
          </w:tcPr>
          <w:p>
            <w:pPr>
              <w:pStyle w:val="16"/>
            </w:pPr>
            <w:r>
              <w:t>行政事业单位养老支出</w:t>
            </w:r>
          </w:p>
        </w:tc>
        <w:tc>
          <w:tcPr>
            <w:tcW w:w="850" w:type="dxa"/>
            <w:vAlign w:val="center"/>
          </w:tcPr>
          <w:p>
            <w:pPr>
              <w:pStyle w:val="15"/>
              <w:rPr>
                <w:lang w:eastAsia="zh-CN"/>
              </w:rPr>
            </w:pPr>
            <w:r>
              <w:rPr>
                <w:rFonts w:hint="eastAsia"/>
                <w:lang w:eastAsia="zh-CN"/>
              </w:rPr>
              <w:t>47.64</w:t>
            </w:r>
          </w:p>
        </w:tc>
        <w:tc>
          <w:tcPr>
            <w:tcW w:w="993" w:type="dxa"/>
            <w:vAlign w:val="center"/>
          </w:tcPr>
          <w:p>
            <w:pPr>
              <w:pStyle w:val="15"/>
              <w:rPr>
                <w:lang w:eastAsia="zh-CN"/>
              </w:rPr>
            </w:pPr>
            <w:r>
              <w:rPr>
                <w:rFonts w:hint="eastAsia"/>
                <w:lang w:eastAsia="zh-CN"/>
              </w:rPr>
              <w:t>47.64</w:t>
            </w:r>
          </w:p>
        </w:tc>
        <w:tc>
          <w:tcPr>
            <w:tcW w:w="850" w:type="dxa"/>
            <w:vAlign w:val="center"/>
          </w:tcPr>
          <w:p>
            <w:pPr>
              <w:pStyle w:val="15"/>
              <w:rPr>
                <w:lang w:eastAsia="zh-CN"/>
              </w:rPr>
            </w:pPr>
            <w:r>
              <w:rPr>
                <w:rFonts w:hint="eastAsia"/>
                <w:lang w:eastAsia="zh-CN"/>
              </w:rPr>
              <w:t>47.64</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1191" w:type="dxa"/>
            <w:vAlign w:val="center"/>
          </w:tcPr>
          <w:p>
            <w:pPr>
              <w:pStyle w:val="16"/>
              <w:rPr>
                <w:lang w:eastAsia="zh-CN"/>
              </w:rPr>
            </w:pPr>
            <w:r>
              <w:rPr>
                <w:rFonts w:hint="eastAsia"/>
                <w:lang w:eastAsia="zh-CN"/>
              </w:rPr>
              <w:t>2080501</w:t>
            </w:r>
          </w:p>
        </w:tc>
        <w:tc>
          <w:tcPr>
            <w:tcW w:w="2835" w:type="dxa"/>
            <w:vAlign w:val="center"/>
          </w:tcPr>
          <w:p>
            <w:pPr>
              <w:pStyle w:val="16"/>
            </w:pPr>
            <w:r>
              <w:t>行政单位离退休</w:t>
            </w:r>
          </w:p>
        </w:tc>
        <w:tc>
          <w:tcPr>
            <w:tcW w:w="850" w:type="dxa"/>
            <w:vAlign w:val="center"/>
          </w:tcPr>
          <w:p>
            <w:pPr>
              <w:pStyle w:val="15"/>
              <w:rPr>
                <w:lang w:eastAsia="zh-CN"/>
              </w:rPr>
            </w:pPr>
            <w:r>
              <w:rPr>
                <w:rFonts w:hint="eastAsia"/>
                <w:lang w:eastAsia="zh-CN"/>
              </w:rPr>
              <w:t>3.12</w:t>
            </w:r>
          </w:p>
        </w:tc>
        <w:tc>
          <w:tcPr>
            <w:tcW w:w="993" w:type="dxa"/>
            <w:vAlign w:val="center"/>
          </w:tcPr>
          <w:p>
            <w:pPr>
              <w:pStyle w:val="15"/>
              <w:rPr>
                <w:lang w:eastAsia="zh-CN"/>
              </w:rPr>
            </w:pPr>
            <w:r>
              <w:rPr>
                <w:rFonts w:hint="eastAsia"/>
                <w:lang w:eastAsia="zh-CN"/>
              </w:rPr>
              <w:t>3.12</w:t>
            </w:r>
          </w:p>
        </w:tc>
        <w:tc>
          <w:tcPr>
            <w:tcW w:w="850" w:type="dxa"/>
            <w:vAlign w:val="center"/>
          </w:tcPr>
          <w:p>
            <w:pPr>
              <w:pStyle w:val="15"/>
              <w:rPr>
                <w:lang w:eastAsia="zh-CN"/>
              </w:rPr>
            </w:pPr>
            <w:r>
              <w:rPr>
                <w:rFonts w:hint="eastAsia"/>
                <w:lang w:eastAsia="zh-CN"/>
              </w:rPr>
              <w:t>3.12</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1191" w:type="dxa"/>
            <w:vAlign w:val="center"/>
          </w:tcPr>
          <w:p>
            <w:pPr>
              <w:pStyle w:val="16"/>
              <w:rPr>
                <w:lang w:eastAsia="zh-CN"/>
              </w:rPr>
            </w:pPr>
            <w:r>
              <w:rPr>
                <w:rFonts w:hint="eastAsia"/>
                <w:lang w:eastAsia="zh-CN"/>
              </w:rPr>
              <w:t>2080505</w:t>
            </w:r>
          </w:p>
        </w:tc>
        <w:tc>
          <w:tcPr>
            <w:tcW w:w="2835" w:type="dxa"/>
            <w:vAlign w:val="center"/>
          </w:tcPr>
          <w:p>
            <w:pPr>
              <w:pStyle w:val="16"/>
            </w:pPr>
            <w:r>
              <w:t>社会保障和就业支出</w:t>
            </w:r>
          </w:p>
        </w:tc>
        <w:tc>
          <w:tcPr>
            <w:tcW w:w="850" w:type="dxa"/>
            <w:vAlign w:val="center"/>
          </w:tcPr>
          <w:p>
            <w:pPr>
              <w:pStyle w:val="15"/>
              <w:rPr>
                <w:lang w:eastAsia="zh-CN"/>
              </w:rPr>
            </w:pPr>
            <w:r>
              <w:rPr>
                <w:rFonts w:hint="eastAsia"/>
                <w:lang w:eastAsia="zh-CN"/>
              </w:rPr>
              <w:t>39.69</w:t>
            </w:r>
          </w:p>
        </w:tc>
        <w:tc>
          <w:tcPr>
            <w:tcW w:w="993" w:type="dxa"/>
            <w:vAlign w:val="center"/>
          </w:tcPr>
          <w:p>
            <w:pPr>
              <w:pStyle w:val="15"/>
              <w:rPr>
                <w:lang w:eastAsia="zh-CN"/>
              </w:rPr>
            </w:pPr>
            <w:r>
              <w:rPr>
                <w:rFonts w:hint="eastAsia"/>
                <w:lang w:eastAsia="zh-CN"/>
              </w:rPr>
              <w:t>39.69</w:t>
            </w:r>
          </w:p>
        </w:tc>
        <w:tc>
          <w:tcPr>
            <w:tcW w:w="850" w:type="dxa"/>
            <w:vAlign w:val="center"/>
          </w:tcPr>
          <w:p>
            <w:pPr>
              <w:pStyle w:val="15"/>
              <w:rPr>
                <w:lang w:eastAsia="zh-CN"/>
              </w:rPr>
            </w:pPr>
            <w:r>
              <w:rPr>
                <w:rFonts w:hint="eastAsia"/>
                <w:lang w:eastAsia="zh-CN"/>
              </w:rPr>
              <w:t>39.69</w:t>
            </w:r>
          </w:p>
        </w:tc>
        <w:tc>
          <w:tcPr>
            <w:tcW w:w="992" w:type="dxa"/>
            <w:vAlign w:val="center"/>
          </w:tcPr>
          <w:p>
            <w:pPr>
              <w:pStyle w:val="15"/>
            </w:pPr>
          </w:p>
        </w:tc>
        <w:tc>
          <w:tcPr>
            <w:tcW w:w="851" w:type="dxa"/>
            <w:vAlign w:val="center"/>
          </w:tcPr>
          <w:p>
            <w:pPr>
              <w:pStyle w:val="19"/>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9"/>
            </w:pPr>
          </w:p>
        </w:tc>
        <w:tc>
          <w:tcPr>
            <w:tcW w:w="10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1191" w:type="dxa"/>
            <w:vAlign w:val="center"/>
          </w:tcPr>
          <w:p>
            <w:pPr>
              <w:pStyle w:val="16"/>
              <w:rPr>
                <w:lang w:eastAsia="zh-CN"/>
              </w:rPr>
            </w:pPr>
            <w:r>
              <w:rPr>
                <w:rFonts w:hint="eastAsia"/>
                <w:lang w:eastAsia="zh-CN"/>
              </w:rPr>
              <w:t>2080506</w:t>
            </w:r>
          </w:p>
        </w:tc>
        <w:tc>
          <w:tcPr>
            <w:tcW w:w="2835" w:type="dxa"/>
            <w:vAlign w:val="center"/>
          </w:tcPr>
          <w:p>
            <w:pPr>
              <w:pStyle w:val="16"/>
            </w:pPr>
            <w:r>
              <w:t>机关事业单位职业年金缴费支出</w:t>
            </w:r>
          </w:p>
        </w:tc>
        <w:tc>
          <w:tcPr>
            <w:tcW w:w="850" w:type="dxa"/>
            <w:vAlign w:val="center"/>
          </w:tcPr>
          <w:p>
            <w:pPr>
              <w:pStyle w:val="15"/>
              <w:rPr>
                <w:lang w:eastAsia="zh-CN"/>
              </w:rPr>
            </w:pPr>
            <w:r>
              <w:rPr>
                <w:rFonts w:hint="eastAsia"/>
                <w:lang w:eastAsia="zh-CN"/>
              </w:rPr>
              <w:t>4.83</w:t>
            </w:r>
          </w:p>
        </w:tc>
        <w:tc>
          <w:tcPr>
            <w:tcW w:w="993" w:type="dxa"/>
            <w:vAlign w:val="center"/>
          </w:tcPr>
          <w:p>
            <w:pPr>
              <w:pStyle w:val="15"/>
              <w:rPr>
                <w:lang w:eastAsia="zh-CN"/>
              </w:rPr>
            </w:pPr>
            <w:r>
              <w:rPr>
                <w:rFonts w:hint="eastAsia"/>
                <w:lang w:eastAsia="zh-CN"/>
              </w:rPr>
              <w:t>4.83</w:t>
            </w:r>
          </w:p>
        </w:tc>
        <w:tc>
          <w:tcPr>
            <w:tcW w:w="850" w:type="dxa"/>
            <w:vAlign w:val="center"/>
          </w:tcPr>
          <w:p>
            <w:pPr>
              <w:pStyle w:val="15"/>
              <w:rPr>
                <w:lang w:eastAsia="zh-CN"/>
              </w:rPr>
            </w:pPr>
            <w:r>
              <w:rPr>
                <w:rFonts w:hint="eastAsia"/>
                <w:lang w:eastAsia="zh-CN"/>
              </w:rPr>
              <w:t>4.83</w:t>
            </w:r>
          </w:p>
        </w:tc>
        <w:tc>
          <w:tcPr>
            <w:tcW w:w="992" w:type="dxa"/>
            <w:vAlign w:val="center"/>
          </w:tcPr>
          <w:p>
            <w:pPr>
              <w:pStyle w:val="15"/>
            </w:pPr>
          </w:p>
        </w:tc>
        <w:tc>
          <w:tcPr>
            <w:tcW w:w="851" w:type="dxa"/>
            <w:vAlign w:val="center"/>
          </w:tcPr>
          <w:p>
            <w:pPr>
              <w:pStyle w:val="19"/>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9"/>
            </w:pPr>
          </w:p>
        </w:tc>
        <w:tc>
          <w:tcPr>
            <w:tcW w:w="10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1191" w:type="dxa"/>
            <w:vAlign w:val="center"/>
          </w:tcPr>
          <w:p>
            <w:pPr>
              <w:pStyle w:val="16"/>
              <w:rPr>
                <w:lang w:eastAsia="zh-CN"/>
              </w:rPr>
            </w:pPr>
            <w:r>
              <w:rPr>
                <w:rFonts w:hint="eastAsia"/>
                <w:lang w:eastAsia="zh-CN"/>
              </w:rPr>
              <w:t>221</w:t>
            </w:r>
          </w:p>
        </w:tc>
        <w:tc>
          <w:tcPr>
            <w:tcW w:w="2835" w:type="dxa"/>
            <w:vAlign w:val="center"/>
          </w:tcPr>
          <w:p>
            <w:pPr>
              <w:pStyle w:val="16"/>
            </w:pPr>
            <w:r>
              <w:t>住房保障支出</w:t>
            </w:r>
          </w:p>
        </w:tc>
        <w:tc>
          <w:tcPr>
            <w:tcW w:w="850" w:type="dxa"/>
            <w:vAlign w:val="center"/>
          </w:tcPr>
          <w:p>
            <w:pPr>
              <w:pStyle w:val="15"/>
              <w:rPr>
                <w:lang w:eastAsia="zh-CN"/>
              </w:rPr>
            </w:pPr>
            <w:r>
              <w:rPr>
                <w:rFonts w:hint="eastAsia"/>
                <w:lang w:eastAsia="zh-CN"/>
              </w:rPr>
              <w:t>18.92</w:t>
            </w:r>
          </w:p>
        </w:tc>
        <w:tc>
          <w:tcPr>
            <w:tcW w:w="993" w:type="dxa"/>
            <w:vAlign w:val="center"/>
          </w:tcPr>
          <w:p>
            <w:pPr>
              <w:pStyle w:val="15"/>
              <w:rPr>
                <w:lang w:eastAsia="zh-CN"/>
              </w:rPr>
            </w:pPr>
            <w:r>
              <w:rPr>
                <w:rFonts w:hint="eastAsia"/>
                <w:lang w:eastAsia="zh-CN"/>
              </w:rPr>
              <w:t>18.92</w:t>
            </w:r>
          </w:p>
        </w:tc>
        <w:tc>
          <w:tcPr>
            <w:tcW w:w="850" w:type="dxa"/>
            <w:vAlign w:val="center"/>
          </w:tcPr>
          <w:p>
            <w:pPr>
              <w:pStyle w:val="15"/>
              <w:rPr>
                <w:lang w:eastAsia="zh-CN"/>
              </w:rPr>
            </w:pPr>
            <w:r>
              <w:rPr>
                <w:rFonts w:hint="eastAsia"/>
                <w:lang w:eastAsia="zh-CN"/>
              </w:rPr>
              <w:t>18.92</w:t>
            </w:r>
          </w:p>
        </w:tc>
        <w:tc>
          <w:tcPr>
            <w:tcW w:w="992" w:type="dxa"/>
            <w:vAlign w:val="center"/>
          </w:tcPr>
          <w:p>
            <w:pPr>
              <w:pStyle w:val="15"/>
            </w:pPr>
          </w:p>
        </w:tc>
        <w:tc>
          <w:tcPr>
            <w:tcW w:w="851" w:type="dxa"/>
            <w:vAlign w:val="center"/>
          </w:tcPr>
          <w:p>
            <w:pPr>
              <w:pStyle w:val="19"/>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9"/>
            </w:pPr>
          </w:p>
        </w:tc>
        <w:tc>
          <w:tcPr>
            <w:tcW w:w="10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1191" w:type="dxa"/>
            <w:vAlign w:val="center"/>
          </w:tcPr>
          <w:p>
            <w:pPr>
              <w:pStyle w:val="16"/>
              <w:rPr>
                <w:lang w:eastAsia="zh-CN"/>
              </w:rPr>
            </w:pPr>
            <w:r>
              <w:rPr>
                <w:rFonts w:hint="eastAsia"/>
                <w:lang w:eastAsia="zh-CN"/>
              </w:rPr>
              <w:t>22102</w:t>
            </w:r>
          </w:p>
        </w:tc>
        <w:tc>
          <w:tcPr>
            <w:tcW w:w="2835" w:type="dxa"/>
            <w:vAlign w:val="center"/>
          </w:tcPr>
          <w:p>
            <w:pPr>
              <w:pStyle w:val="16"/>
            </w:pPr>
            <w:r>
              <w:t>住房改革支出</w:t>
            </w:r>
          </w:p>
        </w:tc>
        <w:tc>
          <w:tcPr>
            <w:tcW w:w="850" w:type="dxa"/>
            <w:vAlign w:val="center"/>
          </w:tcPr>
          <w:p>
            <w:pPr>
              <w:pStyle w:val="15"/>
              <w:rPr>
                <w:lang w:eastAsia="zh-CN"/>
              </w:rPr>
            </w:pPr>
            <w:r>
              <w:rPr>
                <w:rFonts w:hint="eastAsia"/>
                <w:lang w:eastAsia="zh-CN"/>
              </w:rPr>
              <w:t>18.92</w:t>
            </w:r>
          </w:p>
        </w:tc>
        <w:tc>
          <w:tcPr>
            <w:tcW w:w="993" w:type="dxa"/>
            <w:vAlign w:val="center"/>
          </w:tcPr>
          <w:p>
            <w:pPr>
              <w:pStyle w:val="15"/>
              <w:rPr>
                <w:lang w:eastAsia="zh-CN"/>
              </w:rPr>
            </w:pPr>
            <w:r>
              <w:rPr>
                <w:rFonts w:hint="eastAsia"/>
                <w:lang w:eastAsia="zh-CN"/>
              </w:rPr>
              <w:t>18.92</w:t>
            </w:r>
          </w:p>
        </w:tc>
        <w:tc>
          <w:tcPr>
            <w:tcW w:w="850" w:type="dxa"/>
            <w:vAlign w:val="center"/>
          </w:tcPr>
          <w:p>
            <w:pPr>
              <w:pStyle w:val="15"/>
              <w:rPr>
                <w:lang w:eastAsia="zh-CN"/>
              </w:rPr>
            </w:pPr>
            <w:r>
              <w:rPr>
                <w:rFonts w:hint="eastAsia"/>
                <w:lang w:eastAsia="zh-CN"/>
              </w:rPr>
              <w:t>18.92</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1191" w:type="dxa"/>
            <w:vAlign w:val="center"/>
          </w:tcPr>
          <w:p>
            <w:pPr>
              <w:pStyle w:val="16"/>
              <w:rPr>
                <w:lang w:eastAsia="zh-CN"/>
              </w:rPr>
            </w:pPr>
            <w:r>
              <w:rPr>
                <w:rFonts w:hint="eastAsia"/>
                <w:lang w:eastAsia="zh-CN"/>
              </w:rPr>
              <w:t>2210201</w:t>
            </w:r>
          </w:p>
        </w:tc>
        <w:tc>
          <w:tcPr>
            <w:tcW w:w="2835" w:type="dxa"/>
            <w:vAlign w:val="center"/>
          </w:tcPr>
          <w:p>
            <w:pPr>
              <w:pStyle w:val="16"/>
            </w:pPr>
            <w:r>
              <w:t>住房公积金</w:t>
            </w:r>
          </w:p>
        </w:tc>
        <w:tc>
          <w:tcPr>
            <w:tcW w:w="850" w:type="dxa"/>
            <w:vAlign w:val="center"/>
          </w:tcPr>
          <w:p>
            <w:pPr>
              <w:pStyle w:val="15"/>
              <w:rPr>
                <w:lang w:eastAsia="zh-CN"/>
              </w:rPr>
            </w:pPr>
            <w:r>
              <w:rPr>
                <w:rFonts w:hint="eastAsia"/>
                <w:lang w:eastAsia="zh-CN"/>
              </w:rPr>
              <w:t>18.92</w:t>
            </w:r>
          </w:p>
        </w:tc>
        <w:tc>
          <w:tcPr>
            <w:tcW w:w="993" w:type="dxa"/>
            <w:vAlign w:val="center"/>
          </w:tcPr>
          <w:p>
            <w:pPr>
              <w:pStyle w:val="15"/>
              <w:rPr>
                <w:lang w:eastAsia="zh-CN"/>
              </w:rPr>
            </w:pPr>
            <w:r>
              <w:rPr>
                <w:rFonts w:hint="eastAsia"/>
                <w:lang w:eastAsia="zh-CN"/>
              </w:rPr>
              <w:t>18.92</w:t>
            </w:r>
          </w:p>
        </w:tc>
        <w:tc>
          <w:tcPr>
            <w:tcW w:w="850" w:type="dxa"/>
            <w:vAlign w:val="center"/>
          </w:tcPr>
          <w:p>
            <w:pPr>
              <w:pStyle w:val="15"/>
              <w:rPr>
                <w:lang w:eastAsia="zh-CN"/>
              </w:rPr>
            </w:pPr>
            <w:r>
              <w:rPr>
                <w:rFonts w:hint="eastAsia"/>
                <w:lang w:eastAsia="zh-CN"/>
              </w:rPr>
              <w:t>18.92</w:t>
            </w:r>
          </w:p>
        </w:tc>
        <w:tc>
          <w:tcPr>
            <w:tcW w:w="992" w:type="dxa"/>
            <w:vAlign w:val="center"/>
          </w:tcPr>
          <w:p>
            <w:pPr>
              <w:pStyle w:val="15"/>
            </w:pPr>
          </w:p>
        </w:tc>
        <w:tc>
          <w:tcPr>
            <w:tcW w:w="851" w:type="dxa"/>
            <w:vAlign w:val="center"/>
          </w:tcPr>
          <w:p>
            <w:pPr>
              <w:pStyle w:val="15"/>
            </w:pPr>
          </w:p>
        </w:tc>
        <w:tc>
          <w:tcPr>
            <w:tcW w:w="1417" w:type="dxa"/>
            <w:vAlign w:val="center"/>
          </w:tcPr>
          <w:p>
            <w:pPr>
              <w:pStyle w:val="15"/>
            </w:pPr>
          </w:p>
        </w:tc>
        <w:tc>
          <w:tcPr>
            <w:tcW w:w="993" w:type="dxa"/>
            <w:vAlign w:val="center"/>
          </w:tcPr>
          <w:p>
            <w:pPr>
              <w:pStyle w:val="15"/>
            </w:pPr>
          </w:p>
        </w:tc>
        <w:tc>
          <w:tcPr>
            <w:tcW w:w="992" w:type="dxa"/>
            <w:vAlign w:val="center"/>
          </w:tcPr>
          <w:p>
            <w:pPr>
              <w:pStyle w:val="15"/>
            </w:pPr>
          </w:p>
        </w:tc>
        <w:tc>
          <w:tcPr>
            <w:tcW w:w="850" w:type="dxa"/>
            <w:vAlign w:val="center"/>
          </w:tcPr>
          <w:p>
            <w:pPr>
              <w:pStyle w:val="15"/>
            </w:pPr>
          </w:p>
        </w:tc>
        <w:tc>
          <w:tcPr>
            <w:tcW w:w="1077" w:type="dxa"/>
            <w:vAlign w:val="center"/>
          </w:tcPr>
          <w:p>
            <w:pPr>
              <w:pStyle w:val="15"/>
            </w:pPr>
          </w:p>
        </w:tc>
      </w:tr>
    </w:tbl>
    <w:p>
      <w:pPr>
        <w:rPr>
          <w:rFonts w:eastAsiaTheme="minorEastAsia"/>
          <w:lang w:eastAsia="zh-CN"/>
        </w:rPr>
        <w:sectPr>
          <w:pgSz w:w="16840" w:h="11900" w:orient="landscape"/>
          <w:pgMar w:top="1361" w:right="1020" w:bottom="1134" w:left="1020" w:header="720" w:footer="720" w:gutter="0"/>
          <w:cols w:space="720" w:num="1"/>
        </w:sectPr>
      </w:pPr>
      <w:r>
        <w:rPr>
          <w:rFonts w:hint="eastAsia" w:eastAsiaTheme="minorEastAsia"/>
          <w:lang w:eastAsia="zh-CN"/>
        </w:rPr>
        <w:t>、</w:t>
      </w: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4"/>
            </w:pPr>
            <w:r>
              <w:t>科目    编码</w:t>
            </w:r>
          </w:p>
        </w:tc>
        <w:tc>
          <w:tcPr>
            <w:tcW w:w="4379"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49" w:type="dxa"/>
            <w:vAlign w:val="center"/>
          </w:tcPr>
          <w:p>
            <w:pPr>
              <w:pStyle w:val="14"/>
            </w:pPr>
            <w:r>
              <w:t>1</w:t>
            </w:r>
          </w:p>
        </w:tc>
        <w:tc>
          <w:tcPr>
            <w:tcW w:w="4379"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49" w:type="dxa"/>
            <w:vAlign w:val="center"/>
          </w:tcPr>
          <w:p>
            <w:pPr>
              <w:pStyle w:val="20"/>
            </w:pPr>
          </w:p>
        </w:tc>
        <w:tc>
          <w:tcPr>
            <w:tcW w:w="4379" w:type="dxa"/>
            <w:vAlign w:val="center"/>
          </w:tcPr>
          <w:p>
            <w:pPr>
              <w:pStyle w:val="18"/>
            </w:pPr>
            <w:r>
              <w:t>合计</w:t>
            </w:r>
          </w:p>
        </w:tc>
        <w:tc>
          <w:tcPr>
            <w:tcW w:w="1361" w:type="dxa"/>
            <w:vAlign w:val="center"/>
          </w:tcPr>
          <w:p>
            <w:pPr>
              <w:pStyle w:val="19"/>
              <w:rPr>
                <w:lang w:eastAsia="zh-CN"/>
              </w:rPr>
            </w:pPr>
            <w:r>
              <w:rPr>
                <w:rFonts w:hint="eastAsia"/>
                <w:lang w:eastAsia="zh-CN"/>
              </w:rPr>
              <w:t>652.36</w:t>
            </w:r>
          </w:p>
        </w:tc>
        <w:tc>
          <w:tcPr>
            <w:tcW w:w="1361" w:type="dxa"/>
            <w:vAlign w:val="center"/>
          </w:tcPr>
          <w:p>
            <w:pPr>
              <w:pStyle w:val="15"/>
              <w:rPr>
                <w:lang w:eastAsia="zh-CN"/>
              </w:rPr>
            </w:pPr>
            <w:r>
              <w:rPr>
                <w:rFonts w:hint="eastAsia"/>
                <w:lang w:eastAsia="zh-CN"/>
              </w:rPr>
              <w:t>511.69</w:t>
            </w:r>
          </w:p>
        </w:tc>
        <w:tc>
          <w:tcPr>
            <w:tcW w:w="1361" w:type="dxa"/>
            <w:vAlign w:val="center"/>
          </w:tcPr>
          <w:p>
            <w:pPr>
              <w:pStyle w:val="15"/>
              <w:rPr>
                <w:lang w:eastAsia="zh-CN"/>
              </w:rPr>
            </w:pPr>
            <w:r>
              <w:rPr>
                <w:rFonts w:hint="eastAsia"/>
                <w:lang w:eastAsia="zh-CN"/>
              </w:rPr>
              <w:t>140.67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49" w:type="dxa"/>
            <w:vAlign w:val="center"/>
          </w:tcPr>
          <w:p>
            <w:pPr>
              <w:pStyle w:val="16"/>
            </w:pPr>
            <w:r>
              <w:t>201</w:t>
            </w:r>
          </w:p>
        </w:tc>
        <w:tc>
          <w:tcPr>
            <w:tcW w:w="4379" w:type="dxa"/>
            <w:vAlign w:val="center"/>
          </w:tcPr>
          <w:p>
            <w:pPr>
              <w:pStyle w:val="16"/>
            </w:pPr>
            <w:r>
              <w:t>一般公共服务支出</w:t>
            </w:r>
          </w:p>
        </w:tc>
        <w:tc>
          <w:tcPr>
            <w:tcW w:w="1361" w:type="dxa"/>
            <w:vAlign w:val="center"/>
          </w:tcPr>
          <w:p>
            <w:pPr>
              <w:pStyle w:val="15"/>
              <w:rPr>
                <w:lang w:eastAsia="zh-CN"/>
              </w:rPr>
            </w:pPr>
            <w:r>
              <w:rPr>
                <w:rFonts w:hint="eastAsia"/>
                <w:lang w:eastAsia="zh-CN"/>
              </w:rPr>
              <w:t>652..36</w:t>
            </w:r>
          </w:p>
        </w:tc>
        <w:tc>
          <w:tcPr>
            <w:tcW w:w="1361" w:type="dxa"/>
            <w:vAlign w:val="center"/>
          </w:tcPr>
          <w:p>
            <w:pPr>
              <w:pStyle w:val="15"/>
              <w:rPr>
                <w:lang w:eastAsia="zh-CN"/>
              </w:rPr>
            </w:pPr>
            <w:r>
              <w:rPr>
                <w:rFonts w:hint="eastAsia"/>
                <w:lang w:eastAsia="zh-CN"/>
              </w:rPr>
              <w:t>511.69</w:t>
            </w:r>
          </w:p>
        </w:tc>
        <w:tc>
          <w:tcPr>
            <w:tcW w:w="1361" w:type="dxa"/>
            <w:vAlign w:val="center"/>
          </w:tcPr>
          <w:p>
            <w:pPr>
              <w:pStyle w:val="15"/>
              <w:rPr>
                <w:lang w:eastAsia="zh-CN"/>
              </w:rPr>
            </w:pPr>
            <w:r>
              <w:rPr>
                <w:rFonts w:hint="eastAsia"/>
                <w:lang w:eastAsia="zh-CN"/>
              </w:rPr>
              <w:t>140.67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49" w:type="dxa"/>
            <w:vAlign w:val="center"/>
          </w:tcPr>
          <w:p>
            <w:pPr>
              <w:pStyle w:val="16"/>
              <w:rPr>
                <w:lang w:eastAsia="zh-CN"/>
              </w:rPr>
            </w:pPr>
            <w:r>
              <w:t>2010</w:t>
            </w:r>
            <w:r>
              <w:rPr>
                <w:rFonts w:hint="eastAsia"/>
                <w:lang w:eastAsia="zh-CN"/>
              </w:rPr>
              <w:t>01</w:t>
            </w:r>
          </w:p>
        </w:tc>
        <w:tc>
          <w:tcPr>
            <w:tcW w:w="4379" w:type="dxa"/>
            <w:vAlign w:val="center"/>
          </w:tcPr>
          <w:p>
            <w:pPr>
              <w:pStyle w:val="16"/>
              <w:rPr>
                <w:lang w:eastAsia="zh-CN"/>
              </w:rPr>
            </w:pPr>
            <w:r>
              <w:rPr>
                <w:rFonts w:hint="eastAsia"/>
                <w:lang w:eastAsia="zh-CN"/>
              </w:rPr>
              <w:t>人大事务</w:t>
            </w:r>
          </w:p>
        </w:tc>
        <w:tc>
          <w:tcPr>
            <w:tcW w:w="1361" w:type="dxa"/>
            <w:vAlign w:val="center"/>
          </w:tcPr>
          <w:p>
            <w:pPr>
              <w:pStyle w:val="15"/>
              <w:rPr>
                <w:lang w:eastAsia="zh-CN"/>
              </w:rPr>
            </w:pPr>
            <w:r>
              <w:rPr>
                <w:rFonts w:hint="eastAsia"/>
                <w:lang w:eastAsia="zh-CN"/>
              </w:rPr>
              <w:t>445.13</w:t>
            </w:r>
          </w:p>
        </w:tc>
        <w:tc>
          <w:tcPr>
            <w:tcW w:w="1361" w:type="dxa"/>
            <w:vAlign w:val="center"/>
          </w:tcPr>
          <w:p>
            <w:pPr>
              <w:pStyle w:val="15"/>
              <w:rPr>
                <w:lang w:eastAsia="zh-CN"/>
              </w:rPr>
            </w:pPr>
            <w:r>
              <w:rPr>
                <w:rFonts w:hint="eastAsia"/>
                <w:lang w:eastAsia="zh-CN"/>
              </w:rPr>
              <w:t>445.13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49" w:type="dxa"/>
            <w:vAlign w:val="center"/>
          </w:tcPr>
          <w:p>
            <w:pPr>
              <w:pStyle w:val="16"/>
              <w:rPr>
                <w:lang w:eastAsia="zh-CN"/>
              </w:rPr>
            </w:pPr>
            <w:r>
              <w:rPr>
                <w:rFonts w:hint="eastAsia"/>
                <w:lang w:eastAsia="zh-CN"/>
              </w:rPr>
              <w:t>2010101</w:t>
            </w:r>
          </w:p>
        </w:tc>
        <w:tc>
          <w:tcPr>
            <w:tcW w:w="4379" w:type="dxa"/>
            <w:vAlign w:val="center"/>
          </w:tcPr>
          <w:p>
            <w:pPr>
              <w:pStyle w:val="16"/>
            </w:pPr>
            <w:r>
              <w:t>行政运行</w:t>
            </w:r>
          </w:p>
        </w:tc>
        <w:tc>
          <w:tcPr>
            <w:tcW w:w="1361" w:type="dxa"/>
            <w:vAlign w:val="center"/>
          </w:tcPr>
          <w:p>
            <w:pPr>
              <w:pStyle w:val="15"/>
              <w:rPr>
                <w:lang w:eastAsia="zh-CN"/>
              </w:rPr>
            </w:pPr>
            <w:r>
              <w:rPr>
                <w:rFonts w:hint="eastAsia"/>
                <w:lang w:eastAsia="zh-CN"/>
              </w:rPr>
              <w:t>445.13</w:t>
            </w:r>
          </w:p>
        </w:tc>
        <w:tc>
          <w:tcPr>
            <w:tcW w:w="1361" w:type="dxa"/>
            <w:vAlign w:val="center"/>
          </w:tcPr>
          <w:p>
            <w:pPr>
              <w:pStyle w:val="15"/>
              <w:rPr>
                <w:lang w:eastAsia="zh-CN"/>
              </w:rPr>
            </w:pPr>
            <w:r>
              <w:rPr>
                <w:rFonts w:hint="eastAsia"/>
                <w:lang w:eastAsia="zh-CN"/>
              </w:rPr>
              <w:t>445.13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49" w:type="dxa"/>
            <w:vAlign w:val="center"/>
          </w:tcPr>
          <w:p>
            <w:pPr>
              <w:pStyle w:val="16"/>
              <w:rPr>
                <w:lang w:eastAsia="zh-CN"/>
              </w:rPr>
            </w:pPr>
            <w:r>
              <w:rPr>
                <w:rFonts w:hint="eastAsia"/>
                <w:lang w:eastAsia="zh-CN"/>
              </w:rPr>
              <w:t>2010104</w:t>
            </w:r>
          </w:p>
        </w:tc>
        <w:tc>
          <w:tcPr>
            <w:tcW w:w="4379" w:type="dxa"/>
            <w:vAlign w:val="center"/>
          </w:tcPr>
          <w:p>
            <w:pPr>
              <w:pStyle w:val="16"/>
              <w:rPr>
                <w:lang w:eastAsia="zh-CN"/>
              </w:rPr>
            </w:pPr>
            <w:r>
              <w:rPr>
                <w:rFonts w:hint="eastAsia"/>
                <w:lang w:eastAsia="zh-CN"/>
              </w:rPr>
              <w:t>人大会议</w:t>
            </w:r>
          </w:p>
        </w:tc>
        <w:tc>
          <w:tcPr>
            <w:tcW w:w="1361" w:type="dxa"/>
            <w:vAlign w:val="center"/>
          </w:tcPr>
          <w:p>
            <w:pPr>
              <w:pStyle w:val="15"/>
              <w:rPr>
                <w:lang w:eastAsia="zh-CN"/>
              </w:rPr>
            </w:pPr>
            <w:r>
              <w:rPr>
                <w:rFonts w:hint="eastAsia"/>
                <w:lang w:eastAsia="zh-CN"/>
              </w:rPr>
              <w:t>96.75</w:t>
            </w:r>
          </w:p>
        </w:tc>
        <w:tc>
          <w:tcPr>
            <w:tcW w:w="1361" w:type="dxa"/>
            <w:vAlign w:val="center"/>
          </w:tcPr>
          <w:p>
            <w:pPr>
              <w:pStyle w:val="15"/>
            </w:pPr>
          </w:p>
        </w:tc>
        <w:tc>
          <w:tcPr>
            <w:tcW w:w="1361" w:type="dxa"/>
            <w:vAlign w:val="center"/>
          </w:tcPr>
          <w:p>
            <w:pPr>
              <w:pStyle w:val="15"/>
              <w:rPr>
                <w:lang w:eastAsia="zh-CN"/>
              </w:rPr>
            </w:pPr>
            <w:r>
              <w:rPr>
                <w:rFonts w:hint="eastAsia"/>
                <w:lang w:eastAsia="zh-CN"/>
              </w:rPr>
              <w:t>96.75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49" w:type="dxa"/>
            <w:vAlign w:val="center"/>
          </w:tcPr>
          <w:p>
            <w:pPr>
              <w:pStyle w:val="16"/>
              <w:rPr>
                <w:lang w:eastAsia="zh-CN"/>
              </w:rPr>
            </w:pPr>
            <w:r>
              <w:rPr>
                <w:rFonts w:hint="eastAsia"/>
                <w:lang w:eastAsia="zh-CN"/>
              </w:rPr>
              <w:t>2010108</w:t>
            </w:r>
          </w:p>
        </w:tc>
        <w:tc>
          <w:tcPr>
            <w:tcW w:w="4379" w:type="dxa"/>
            <w:vAlign w:val="center"/>
          </w:tcPr>
          <w:p>
            <w:pPr>
              <w:pStyle w:val="16"/>
              <w:rPr>
                <w:lang w:eastAsia="zh-CN"/>
              </w:rPr>
            </w:pPr>
            <w:r>
              <w:rPr>
                <w:rFonts w:hint="eastAsia"/>
                <w:lang w:eastAsia="zh-CN"/>
              </w:rPr>
              <w:t>代表工作</w:t>
            </w:r>
          </w:p>
        </w:tc>
        <w:tc>
          <w:tcPr>
            <w:tcW w:w="1361" w:type="dxa"/>
            <w:vAlign w:val="center"/>
          </w:tcPr>
          <w:p>
            <w:pPr>
              <w:pStyle w:val="15"/>
              <w:rPr>
                <w:lang w:eastAsia="zh-CN"/>
              </w:rPr>
            </w:pPr>
            <w:r>
              <w:rPr>
                <w:rFonts w:hint="eastAsia"/>
                <w:lang w:eastAsia="zh-CN"/>
              </w:rPr>
              <w:t>43.92</w:t>
            </w:r>
          </w:p>
        </w:tc>
        <w:tc>
          <w:tcPr>
            <w:tcW w:w="1361" w:type="dxa"/>
            <w:vAlign w:val="center"/>
          </w:tcPr>
          <w:p>
            <w:pPr>
              <w:pStyle w:val="15"/>
            </w:pPr>
          </w:p>
        </w:tc>
        <w:tc>
          <w:tcPr>
            <w:tcW w:w="1361" w:type="dxa"/>
            <w:vAlign w:val="center"/>
          </w:tcPr>
          <w:p>
            <w:pPr>
              <w:pStyle w:val="15"/>
              <w:rPr>
                <w:lang w:eastAsia="zh-CN"/>
              </w:rPr>
            </w:pPr>
            <w:r>
              <w:rPr>
                <w:rFonts w:hint="eastAsia"/>
                <w:lang w:eastAsia="zh-CN"/>
              </w:rPr>
              <w:t>43.92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49" w:type="dxa"/>
            <w:vAlign w:val="center"/>
          </w:tcPr>
          <w:p>
            <w:pPr>
              <w:pStyle w:val="16"/>
              <w:rPr>
                <w:lang w:eastAsia="zh-CN"/>
              </w:rPr>
            </w:pPr>
            <w:r>
              <w:rPr>
                <w:rFonts w:hint="eastAsia"/>
                <w:lang w:eastAsia="zh-CN"/>
              </w:rPr>
              <w:t>208</w:t>
            </w:r>
          </w:p>
        </w:tc>
        <w:tc>
          <w:tcPr>
            <w:tcW w:w="4379" w:type="dxa"/>
            <w:vAlign w:val="center"/>
          </w:tcPr>
          <w:p>
            <w:pPr>
              <w:pStyle w:val="16"/>
            </w:pPr>
            <w:r>
              <w:t>社会保障和就业支出</w:t>
            </w:r>
          </w:p>
        </w:tc>
        <w:tc>
          <w:tcPr>
            <w:tcW w:w="1361" w:type="dxa"/>
            <w:vAlign w:val="center"/>
          </w:tcPr>
          <w:p>
            <w:pPr>
              <w:pStyle w:val="15"/>
              <w:rPr>
                <w:lang w:eastAsia="zh-CN"/>
              </w:rPr>
            </w:pPr>
            <w:r>
              <w:rPr>
                <w:rFonts w:hint="eastAsia"/>
                <w:lang w:eastAsia="zh-CN"/>
              </w:rPr>
              <w:t>47.64</w:t>
            </w:r>
          </w:p>
        </w:tc>
        <w:tc>
          <w:tcPr>
            <w:tcW w:w="1361" w:type="dxa"/>
            <w:vAlign w:val="center"/>
          </w:tcPr>
          <w:p>
            <w:pPr>
              <w:pStyle w:val="15"/>
              <w:rPr>
                <w:lang w:eastAsia="zh-CN"/>
              </w:rPr>
            </w:pPr>
            <w:r>
              <w:rPr>
                <w:rFonts w:hint="eastAsia"/>
                <w:lang w:eastAsia="zh-CN"/>
              </w:rPr>
              <w:t>47.64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49" w:type="dxa"/>
            <w:vAlign w:val="center"/>
          </w:tcPr>
          <w:p>
            <w:pPr>
              <w:pStyle w:val="16"/>
              <w:rPr>
                <w:lang w:eastAsia="zh-CN"/>
              </w:rPr>
            </w:pPr>
            <w:r>
              <w:rPr>
                <w:rFonts w:hint="eastAsia"/>
                <w:lang w:eastAsia="zh-CN"/>
              </w:rPr>
              <w:t>20805</w:t>
            </w:r>
          </w:p>
        </w:tc>
        <w:tc>
          <w:tcPr>
            <w:tcW w:w="4379" w:type="dxa"/>
            <w:vAlign w:val="center"/>
          </w:tcPr>
          <w:p>
            <w:pPr>
              <w:pStyle w:val="16"/>
            </w:pPr>
            <w:r>
              <w:t>行政事业单位养老支出</w:t>
            </w:r>
          </w:p>
        </w:tc>
        <w:tc>
          <w:tcPr>
            <w:tcW w:w="1361" w:type="dxa"/>
            <w:vAlign w:val="center"/>
          </w:tcPr>
          <w:p>
            <w:pPr>
              <w:pStyle w:val="15"/>
              <w:rPr>
                <w:lang w:eastAsia="zh-CN"/>
              </w:rPr>
            </w:pPr>
            <w:r>
              <w:rPr>
                <w:rFonts w:hint="eastAsia"/>
                <w:lang w:eastAsia="zh-CN"/>
              </w:rPr>
              <w:t>47.64</w:t>
            </w:r>
          </w:p>
        </w:tc>
        <w:tc>
          <w:tcPr>
            <w:tcW w:w="1361" w:type="dxa"/>
            <w:vAlign w:val="center"/>
          </w:tcPr>
          <w:p>
            <w:pPr>
              <w:pStyle w:val="15"/>
              <w:rPr>
                <w:lang w:eastAsia="zh-CN"/>
              </w:rPr>
            </w:pPr>
            <w:r>
              <w:rPr>
                <w:rFonts w:hint="eastAsia"/>
                <w:lang w:eastAsia="zh-CN"/>
              </w:rPr>
              <w:t>47.64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49" w:type="dxa"/>
            <w:vAlign w:val="center"/>
          </w:tcPr>
          <w:p>
            <w:pPr>
              <w:pStyle w:val="16"/>
              <w:rPr>
                <w:lang w:eastAsia="zh-CN"/>
              </w:rPr>
            </w:pPr>
            <w:r>
              <w:rPr>
                <w:rFonts w:hint="eastAsia"/>
                <w:lang w:eastAsia="zh-CN"/>
              </w:rPr>
              <w:t>2080501</w:t>
            </w:r>
          </w:p>
        </w:tc>
        <w:tc>
          <w:tcPr>
            <w:tcW w:w="4379" w:type="dxa"/>
            <w:vAlign w:val="center"/>
          </w:tcPr>
          <w:p>
            <w:pPr>
              <w:pStyle w:val="16"/>
            </w:pPr>
            <w:r>
              <w:t>行政单位离退休</w:t>
            </w:r>
          </w:p>
        </w:tc>
        <w:tc>
          <w:tcPr>
            <w:tcW w:w="1361" w:type="dxa"/>
            <w:vAlign w:val="center"/>
          </w:tcPr>
          <w:p>
            <w:pPr>
              <w:pStyle w:val="15"/>
              <w:rPr>
                <w:lang w:eastAsia="zh-CN"/>
              </w:rPr>
            </w:pPr>
            <w:r>
              <w:rPr>
                <w:rFonts w:hint="eastAsia"/>
                <w:lang w:eastAsia="zh-CN"/>
              </w:rPr>
              <w:t>3.12</w:t>
            </w:r>
          </w:p>
        </w:tc>
        <w:tc>
          <w:tcPr>
            <w:tcW w:w="1361" w:type="dxa"/>
            <w:vAlign w:val="center"/>
          </w:tcPr>
          <w:p>
            <w:pPr>
              <w:pStyle w:val="15"/>
              <w:rPr>
                <w:lang w:eastAsia="zh-CN"/>
              </w:rPr>
            </w:pPr>
            <w:r>
              <w:rPr>
                <w:rFonts w:hint="eastAsia"/>
                <w:lang w:eastAsia="zh-CN"/>
              </w:rPr>
              <w:t>3.12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49" w:type="dxa"/>
            <w:vAlign w:val="center"/>
          </w:tcPr>
          <w:p>
            <w:pPr>
              <w:pStyle w:val="16"/>
              <w:rPr>
                <w:lang w:eastAsia="zh-CN"/>
              </w:rPr>
            </w:pPr>
            <w:r>
              <w:rPr>
                <w:rFonts w:hint="eastAsia"/>
                <w:lang w:eastAsia="zh-CN"/>
              </w:rPr>
              <w:t>2080505</w:t>
            </w:r>
          </w:p>
        </w:tc>
        <w:tc>
          <w:tcPr>
            <w:tcW w:w="4379" w:type="dxa"/>
            <w:vAlign w:val="center"/>
          </w:tcPr>
          <w:p>
            <w:pPr>
              <w:pStyle w:val="16"/>
            </w:pPr>
            <w:r>
              <w:t>社会保障和就业支出</w:t>
            </w:r>
          </w:p>
        </w:tc>
        <w:tc>
          <w:tcPr>
            <w:tcW w:w="1361" w:type="dxa"/>
            <w:vAlign w:val="center"/>
          </w:tcPr>
          <w:p>
            <w:pPr>
              <w:pStyle w:val="15"/>
              <w:rPr>
                <w:lang w:eastAsia="zh-CN"/>
              </w:rPr>
            </w:pPr>
            <w:r>
              <w:rPr>
                <w:rFonts w:hint="eastAsia"/>
                <w:lang w:eastAsia="zh-CN"/>
              </w:rPr>
              <w:t>39.69</w:t>
            </w:r>
          </w:p>
        </w:tc>
        <w:tc>
          <w:tcPr>
            <w:tcW w:w="1361" w:type="dxa"/>
            <w:vAlign w:val="center"/>
          </w:tcPr>
          <w:p>
            <w:pPr>
              <w:pStyle w:val="15"/>
              <w:rPr>
                <w:lang w:eastAsia="zh-CN"/>
              </w:rPr>
            </w:pPr>
            <w:r>
              <w:rPr>
                <w:rFonts w:hint="eastAsia"/>
                <w:lang w:eastAsia="zh-CN"/>
              </w:rPr>
              <w:t>39.69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49" w:type="dxa"/>
            <w:vAlign w:val="center"/>
          </w:tcPr>
          <w:p>
            <w:pPr>
              <w:pStyle w:val="16"/>
              <w:rPr>
                <w:lang w:eastAsia="zh-CN"/>
              </w:rPr>
            </w:pPr>
            <w:r>
              <w:rPr>
                <w:rFonts w:hint="eastAsia"/>
                <w:lang w:eastAsia="zh-CN"/>
              </w:rPr>
              <w:t>2080506</w:t>
            </w:r>
          </w:p>
        </w:tc>
        <w:tc>
          <w:tcPr>
            <w:tcW w:w="4379" w:type="dxa"/>
            <w:vAlign w:val="center"/>
          </w:tcPr>
          <w:p>
            <w:pPr>
              <w:pStyle w:val="16"/>
            </w:pPr>
            <w:r>
              <w:t>机关事业单位职业年金缴费支出</w:t>
            </w:r>
          </w:p>
        </w:tc>
        <w:tc>
          <w:tcPr>
            <w:tcW w:w="1361" w:type="dxa"/>
            <w:vAlign w:val="center"/>
          </w:tcPr>
          <w:p>
            <w:pPr>
              <w:pStyle w:val="15"/>
              <w:rPr>
                <w:lang w:eastAsia="zh-CN"/>
              </w:rPr>
            </w:pPr>
            <w:r>
              <w:rPr>
                <w:rFonts w:hint="eastAsia"/>
                <w:lang w:eastAsia="zh-CN"/>
              </w:rPr>
              <w:t>4.83</w:t>
            </w:r>
          </w:p>
        </w:tc>
        <w:tc>
          <w:tcPr>
            <w:tcW w:w="1361" w:type="dxa"/>
            <w:vAlign w:val="center"/>
          </w:tcPr>
          <w:p>
            <w:pPr>
              <w:pStyle w:val="15"/>
              <w:rPr>
                <w:lang w:eastAsia="zh-CN"/>
              </w:rPr>
            </w:pPr>
            <w:r>
              <w:rPr>
                <w:rFonts w:hint="eastAsia"/>
                <w:lang w:eastAsia="zh-CN"/>
              </w:rPr>
              <w:t>4.83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49" w:type="dxa"/>
            <w:vAlign w:val="center"/>
          </w:tcPr>
          <w:p>
            <w:pPr>
              <w:pStyle w:val="16"/>
              <w:rPr>
                <w:lang w:eastAsia="zh-CN"/>
              </w:rPr>
            </w:pPr>
            <w:r>
              <w:rPr>
                <w:rFonts w:hint="eastAsia"/>
                <w:lang w:eastAsia="zh-CN"/>
              </w:rPr>
              <w:t>221</w:t>
            </w:r>
          </w:p>
        </w:tc>
        <w:tc>
          <w:tcPr>
            <w:tcW w:w="4379" w:type="dxa"/>
            <w:vAlign w:val="center"/>
          </w:tcPr>
          <w:p>
            <w:pPr>
              <w:pStyle w:val="16"/>
            </w:pPr>
            <w:r>
              <w:t>住房保障支出</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49" w:type="dxa"/>
            <w:vAlign w:val="center"/>
          </w:tcPr>
          <w:p>
            <w:pPr>
              <w:pStyle w:val="16"/>
              <w:rPr>
                <w:lang w:eastAsia="zh-CN"/>
              </w:rPr>
            </w:pPr>
            <w:r>
              <w:rPr>
                <w:rFonts w:hint="eastAsia"/>
                <w:lang w:eastAsia="zh-CN"/>
              </w:rPr>
              <w:t>22102</w:t>
            </w:r>
          </w:p>
        </w:tc>
        <w:tc>
          <w:tcPr>
            <w:tcW w:w="4379" w:type="dxa"/>
            <w:vAlign w:val="center"/>
          </w:tcPr>
          <w:p>
            <w:pPr>
              <w:pStyle w:val="16"/>
            </w:pPr>
            <w:r>
              <w:t>住房改革支出</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49" w:type="dxa"/>
            <w:vAlign w:val="center"/>
          </w:tcPr>
          <w:p>
            <w:pPr>
              <w:pStyle w:val="16"/>
              <w:rPr>
                <w:lang w:eastAsia="zh-CN"/>
              </w:rPr>
            </w:pPr>
            <w:r>
              <w:rPr>
                <w:rFonts w:hint="eastAsia"/>
                <w:lang w:eastAsia="zh-CN"/>
              </w:rPr>
              <w:t>2210201</w:t>
            </w:r>
          </w:p>
        </w:tc>
        <w:tc>
          <w:tcPr>
            <w:tcW w:w="4379" w:type="dxa"/>
            <w:vAlign w:val="center"/>
          </w:tcPr>
          <w:p>
            <w:pPr>
              <w:pStyle w:val="16"/>
            </w:pPr>
            <w:r>
              <w:t>住房公积金</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r>
              <w:rPr>
                <w:rFonts w:hint="eastAsia"/>
                <w:lang w:eastAsia="zh-CN"/>
              </w:rPr>
              <w:t>18.92</w:t>
            </w:r>
          </w:p>
        </w:tc>
        <w:tc>
          <w:tcPr>
            <w:tcW w:w="1361" w:type="dxa"/>
            <w:vAlign w:val="center"/>
          </w:tcPr>
          <w:p>
            <w:pPr>
              <w:pStyle w:val="15"/>
              <w:rPr>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559"/>
        <w:gridCol w:w="1389"/>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559" w:type="dxa"/>
            <w:vAlign w:val="center"/>
          </w:tcPr>
          <w:p>
            <w:pPr>
              <w:pStyle w:val="14"/>
            </w:pPr>
            <w:r>
              <w:t>一般公共预算财政拨款</w:t>
            </w:r>
          </w:p>
        </w:tc>
        <w:tc>
          <w:tcPr>
            <w:tcW w:w="1389"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559" w:type="dxa"/>
            <w:vAlign w:val="center"/>
          </w:tcPr>
          <w:p>
            <w:pPr>
              <w:pStyle w:val="14"/>
            </w:pPr>
            <w:r>
              <w:t>5</w:t>
            </w:r>
          </w:p>
        </w:tc>
        <w:tc>
          <w:tcPr>
            <w:tcW w:w="1389"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lang w:eastAsia="zh-CN"/>
              </w:rPr>
              <w:t>652.36</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585.98</w:t>
            </w:r>
          </w:p>
        </w:tc>
        <w:tc>
          <w:tcPr>
            <w:tcW w:w="1559" w:type="dxa"/>
            <w:vAlign w:val="center"/>
          </w:tcPr>
          <w:p>
            <w:pPr>
              <w:pStyle w:val="15"/>
              <w:rPr>
                <w:lang w:eastAsia="zh-CN"/>
              </w:rPr>
            </w:pPr>
            <w:r>
              <w:rPr>
                <w:rFonts w:hint="eastAsia"/>
                <w:lang w:eastAsia="zh-CN"/>
              </w:rPr>
              <w:t>585.98</w:t>
            </w: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rPr>
                <w:rFonts w:hint="eastAsia"/>
                <w:lang w:eastAsia="zh-CN"/>
              </w:rPr>
              <w:t>47.46</w:t>
            </w:r>
          </w:p>
        </w:tc>
        <w:tc>
          <w:tcPr>
            <w:tcW w:w="1559" w:type="dxa"/>
            <w:vAlign w:val="center"/>
          </w:tcPr>
          <w:p>
            <w:pPr>
              <w:pStyle w:val="15"/>
            </w:pPr>
            <w:r>
              <w:rPr>
                <w:rFonts w:hint="eastAsia"/>
                <w:lang w:eastAsia="zh-CN"/>
              </w:rPr>
              <w:t>47.46</w:t>
            </w: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18.92</w:t>
            </w:r>
          </w:p>
        </w:tc>
        <w:tc>
          <w:tcPr>
            <w:tcW w:w="1559" w:type="dxa"/>
            <w:vAlign w:val="center"/>
          </w:tcPr>
          <w:p>
            <w:pPr>
              <w:pStyle w:val="15"/>
              <w:rPr>
                <w:lang w:eastAsia="zh-CN"/>
              </w:rPr>
            </w:pPr>
            <w:r>
              <w:rPr>
                <w:rFonts w:hint="eastAsia"/>
                <w:lang w:eastAsia="zh-CN"/>
              </w:rPr>
              <w:t>18.92</w:t>
            </w: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lang w:eastAsia="zh-CN"/>
              </w:rPr>
              <w:t>652.36</w:t>
            </w:r>
          </w:p>
        </w:tc>
        <w:tc>
          <w:tcPr>
            <w:tcW w:w="3402" w:type="dxa"/>
            <w:vAlign w:val="center"/>
          </w:tcPr>
          <w:p>
            <w:pPr>
              <w:pStyle w:val="18"/>
            </w:pPr>
            <w:r>
              <w:t>本年支出合计</w:t>
            </w:r>
          </w:p>
        </w:tc>
        <w:tc>
          <w:tcPr>
            <w:tcW w:w="1474" w:type="dxa"/>
            <w:vAlign w:val="center"/>
          </w:tcPr>
          <w:p>
            <w:pPr>
              <w:pStyle w:val="19"/>
            </w:pPr>
            <w:r>
              <w:rPr>
                <w:rFonts w:hint="eastAsia"/>
                <w:lang w:eastAsia="zh-CN"/>
              </w:rPr>
              <w:t>652.36</w:t>
            </w:r>
          </w:p>
        </w:tc>
        <w:tc>
          <w:tcPr>
            <w:tcW w:w="1559" w:type="dxa"/>
            <w:vAlign w:val="center"/>
          </w:tcPr>
          <w:p>
            <w:pPr>
              <w:pStyle w:val="19"/>
            </w:pPr>
            <w:r>
              <w:rPr>
                <w:rFonts w:hint="eastAsia"/>
                <w:lang w:eastAsia="zh-CN"/>
              </w:rPr>
              <w:t>652.36</w:t>
            </w:r>
          </w:p>
        </w:tc>
        <w:tc>
          <w:tcPr>
            <w:tcW w:w="1389"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rPr>
                <w:lang w:eastAsia="zh-CN"/>
              </w:rPr>
            </w:pPr>
          </w:p>
        </w:tc>
        <w:tc>
          <w:tcPr>
            <w:tcW w:w="3402" w:type="dxa"/>
            <w:vAlign w:val="center"/>
          </w:tcPr>
          <w:p>
            <w:pPr>
              <w:pStyle w:val="16"/>
            </w:pP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559" w:type="dxa"/>
            <w:vAlign w:val="center"/>
          </w:tcPr>
          <w:p>
            <w:pPr>
              <w:pStyle w:val="15"/>
            </w:pPr>
          </w:p>
        </w:tc>
        <w:tc>
          <w:tcPr>
            <w:tcW w:w="1389"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652.36</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652.36</w:t>
            </w:r>
          </w:p>
        </w:tc>
        <w:tc>
          <w:tcPr>
            <w:tcW w:w="1559" w:type="dxa"/>
            <w:vAlign w:val="center"/>
          </w:tcPr>
          <w:p>
            <w:pPr>
              <w:pStyle w:val="19"/>
              <w:rPr>
                <w:lang w:eastAsia="zh-CN"/>
              </w:rPr>
            </w:pPr>
            <w:r>
              <w:rPr>
                <w:rFonts w:hint="eastAsia"/>
                <w:lang w:eastAsia="zh-CN"/>
              </w:rPr>
              <w:t>652.36</w:t>
            </w:r>
          </w:p>
        </w:tc>
        <w:tc>
          <w:tcPr>
            <w:tcW w:w="1389"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652.36</w:t>
            </w:r>
          </w:p>
        </w:tc>
        <w:tc>
          <w:tcPr>
            <w:tcW w:w="2551" w:type="dxa"/>
            <w:vAlign w:val="center"/>
          </w:tcPr>
          <w:p>
            <w:pPr>
              <w:pStyle w:val="15"/>
              <w:rPr>
                <w:lang w:eastAsia="zh-CN"/>
              </w:rPr>
            </w:pPr>
            <w:r>
              <w:rPr>
                <w:rFonts w:hint="eastAsia"/>
                <w:lang w:eastAsia="zh-CN"/>
              </w:rPr>
              <w:t>511.69</w:t>
            </w:r>
          </w:p>
        </w:tc>
        <w:tc>
          <w:tcPr>
            <w:tcW w:w="2551" w:type="dxa"/>
            <w:vAlign w:val="center"/>
          </w:tcPr>
          <w:p>
            <w:pPr>
              <w:pStyle w:val="15"/>
              <w:rPr>
                <w:lang w:eastAsia="zh-CN"/>
              </w:rPr>
            </w:pPr>
            <w:r>
              <w:rPr>
                <w:rFonts w:hint="eastAsia"/>
                <w:lang w:eastAsia="zh-CN"/>
              </w:rP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rPr>
                <w:lang w:eastAsia="zh-CN"/>
              </w:rPr>
            </w:pPr>
            <w:r>
              <w:rPr>
                <w:rFonts w:hint="eastAsia"/>
                <w:lang w:eastAsia="zh-CN"/>
              </w:rPr>
              <w:t>652..36</w:t>
            </w:r>
          </w:p>
        </w:tc>
        <w:tc>
          <w:tcPr>
            <w:tcW w:w="2551" w:type="dxa"/>
            <w:vAlign w:val="center"/>
          </w:tcPr>
          <w:p>
            <w:pPr>
              <w:pStyle w:val="15"/>
              <w:rPr>
                <w:lang w:eastAsia="zh-CN"/>
              </w:rPr>
            </w:pPr>
            <w:r>
              <w:rPr>
                <w:rFonts w:hint="eastAsia"/>
                <w:lang w:eastAsia="zh-CN"/>
              </w:rPr>
              <w:t>511.69</w:t>
            </w:r>
          </w:p>
        </w:tc>
        <w:tc>
          <w:tcPr>
            <w:tcW w:w="2551" w:type="dxa"/>
            <w:vAlign w:val="center"/>
          </w:tcPr>
          <w:p>
            <w:pPr>
              <w:pStyle w:val="15"/>
              <w:rPr>
                <w:lang w:eastAsia="zh-CN"/>
              </w:rPr>
            </w:pPr>
            <w:r>
              <w:rPr>
                <w:rFonts w:hint="eastAsia"/>
                <w:lang w:eastAsia="zh-CN"/>
              </w:rP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rPr>
                <w:lang w:eastAsia="zh-CN"/>
              </w:rPr>
            </w:pPr>
            <w:r>
              <w:t>2010</w:t>
            </w:r>
            <w:r>
              <w:rPr>
                <w:rFonts w:hint="eastAsia"/>
                <w:lang w:eastAsia="zh-CN"/>
              </w:rPr>
              <w:t>01</w:t>
            </w:r>
          </w:p>
        </w:tc>
        <w:tc>
          <w:tcPr>
            <w:tcW w:w="4535" w:type="dxa"/>
            <w:vAlign w:val="center"/>
          </w:tcPr>
          <w:p>
            <w:pPr>
              <w:pStyle w:val="16"/>
              <w:rPr>
                <w:lang w:eastAsia="zh-CN"/>
              </w:rPr>
            </w:pPr>
            <w:r>
              <w:rPr>
                <w:rFonts w:hint="eastAsia"/>
                <w:lang w:eastAsia="zh-CN"/>
              </w:rPr>
              <w:t>人大事务</w:t>
            </w:r>
          </w:p>
        </w:tc>
        <w:tc>
          <w:tcPr>
            <w:tcW w:w="2551" w:type="dxa"/>
            <w:vAlign w:val="center"/>
          </w:tcPr>
          <w:p>
            <w:pPr>
              <w:pStyle w:val="15"/>
              <w:rPr>
                <w:lang w:eastAsia="zh-CN"/>
              </w:rPr>
            </w:pPr>
            <w:r>
              <w:rPr>
                <w:rFonts w:hint="eastAsia"/>
                <w:lang w:eastAsia="zh-CN"/>
              </w:rPr>
              <w:t>445.13</w:t>
            </w:r>
          </w:p>
        </w:tc>
        <w:tc>
          <w:tcPr>
            <w:tcW w:w="2551" w:type="dxa"/>
            <w:vAlign w:val="center"/>
          </w:tcPr>
          <w:p>
            <w:pPr>
              <w:pStyle w:val="15"/>
              <w:rPr>
                <w:lang w:eastAsia="zh-CN"/>
              </w:rPr>
            </w:pPr>
            <w:r>
              <w:rPr>
                <w:rFonts w:hint="eastAsia"/>
                <w:lang w:eastAsia="zh-CN"/>
              </w:rPr>
              <w:t>445.13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rPr>
                <w:lang w:eastAsia="zh-CN"/>
              </w:rPr>
            </w:pPr>
            <w:r>
              <w:rPr>
                <w:rFonts w:hint="eastAsia"/>
                <w:lang w:eastAsia="zh-CN"/>
              </w:rPr>
              <w:t>2010101</w:t>
            </w:r>
          </w:p>
        </w:tc>
        <w:tc>
          <w:tcPr>
            <w:tcW w:w="4535" w:type="dxa"/>
            <w:vAlign w:val="center"/>
          </w:tcPr>
          <w:p>
            <w:pPr>
              <w:pStyle w:val="16"/>
            </w:pPr>
            <w:r>
              <w:t>行政运行</w:t>
            </w:r>
          </w:p>
        </w:tc>
        <w:tc>
          <w:tcPr>
            <w:tcW w:w="2551" w:type="dxa"/>
            <w:vAlign w:val="center"/>
          </w:tcPr>
          <w:p>
            <w:pPr>
              <w:pStyle w:val="15"/>
              <w:rPr>
                <w:lang w:eastAsia="zh-CN"/>
              </w:rPr>
            </w:pPr>
            <w:r>
              <w:rPr>
                <w:rFonts w:hint="eastAsia"/>
                <w:lang w:eastAsia="zh-CN"/>
              </w:rPr>
              <w:t>445.13</w:t>
            </w:r>
          </w:p>
        </w:tc>
        <w:tc>
          <w:tcPr>
            <w:tcW w:w="2551" w:type="dxa"/>
            <w:vAlign w:val="center"/>
          </w:tcPr>
          <w:p>
            <w:pPr>
              <w:pStyle w:val="15"/>
              <w:rPr>
                <w:lang w:eastAsia="zh-CN"/>
              </w:rPr>
            </w:pPr>
            <w:r>
              <w:rPr>
                <w:rFonts w:hint="eastAsia"/>
                <w:lang w:eastAsia="zh-CN"/>
              </w:rPr>
              <w:t>445.13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rPr>
                <w:lang w:eastAsia="zh-CN"/>
              </w:rPr>
            </w:pPr>
            <w:r>
              <w:rPr>
                <w:rFonts w:hint="eastAsia"/>
                <w:lang w:eastAsia="zh-CN"/>
              </w:rPr>
              <w:t>2010104</w:t>
            </w:r>
          </w:p>
        </w:tc>
        <w:tc>
          <w:tcPr>
            <w:tcW w:w="4535" w:type="dxa"/>
            <w:vAlign w:val="center"/>
          </w:tcPr>
          <w:p>
            <w:pPr>
              <w:pStyle w:val="16"/>
              <w:rPr>
                <w:lang w:eastAsia="zh-CN"/>
              </w:rPr>
            </w:pPr>
            <w:r>
              <w:rPr>
                <w:rFonts w:hint="eastAsia"/>
                <w:lang w:eastAsia="zh-CN"/>
              </w:rPr>
              <w:t>人大会议</w:t>
            </w:r>
          </w:p>
        </w:tc>
        <w:tc>
          <w:tcPr>
            <w:tcW w:w="2551" w:type="dxa"/>
            <w:vAlign w:val="center"/>
          </w:tcPr>
          <w:p>
            <w:pPr>
              <w:pStyle w:val="15"/>
              <w:rPr>
                <w:lang w:eastAsia="zh-CN"/>
              </w:rPr>
            </w:pPr>
            <w:r>
              <w:rPr>
                <w:rFonts w:hint="eastAsia"/>
                <w:lang w:eastAsia="zh-CN"/>
              </w:rPr>
              <w:t>96.75</w:t>
            </w:r>
          </w:p>
        </w:tc>
        <w:tc>
          <w:tcPr>
            <w:tcW w:w="2551" w:type="dxa"/>
            <w:vAlign w:val="center"/>
          </w:tcPr>
          <w:p>
            <w:pPr>
              <w:pStyle w:val="15"/>
            </w:pPr>
          </w:p>
        </w:tc>
        <w:tc>
          <w:tcPr>
            <w:tcW w:w="2551" w:type="dxa"/>
            <w:vAlign w:val="center"/>
          </w:tcPr>
          <w:p>
            <w:pPr>
              <w:pStyle w:val="15"/>
              <w:rPr>
                <w:lang w:eastAsia="zh-CN"/>
              </w:rPr>
            </w:pPr>
            <w:r>
              <w:rPr>
                <w:rFonts w:hint="eastAsia"/>
                <w:lang w:eastAsia="zh-CN"/>
              </w:rP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rPr>
                <w:lang w:eastAsia="zh-CN"/>
              </w:rPr>
            </w:pPr>
            <w:r>
              <w:rPr>
                <w:rFonts w:hint="eastAsia"/>
                <w:lang w:eastAsia="zh-CN"/>
              </w:rPr>
              <w:t>2010108</w:t>
            </w:r>
          </w:p>
        </w:tc>
        <w:tc>
          <w:tcPr>
            <w:tcW w:w="4535" w:type="dxa"/>
            <w:vAlign w:val="center"/>
          </w:tcPr>
          <w:p>
            <w:pPr>
              <w:pStyle w:val="16"/>
              <w:rPr>
                <w:lang w:eastAsia="zh-CN"/>
              </w:rPr>
            </w:pPr>
            <w:r>
              <w:rPr>
                <w:rFonts w:hint="eastAsia"/>
                <w:lang w:eastAsia="zh-CN"/>
              </w:rPr>
              <w:t>代表工作</w:t>
            </w:r>
          </w:p>
        </w:tc>
        <w:tc>
          <w:tcPr>
            <w:tcW w:w="2551" w:type="dxa"/>
            <w:vAlign w:val="center"/>
          </w:tcPr>
          <w:p>
            <w:pPr>
              <w:pStyle w:val="15"/>
              <w:rPr>
                <w:lang w:eastAsia="zh-CN"/>
              </w:rPr>
            </w:pPr>
            <w:r>
              <w:rPr>
                <w:rFonts w:hint="eastAsia"/>
                <w:lang w:eastAsia="zh-CN"/>
              </w:rPr>
              <w:t>43.92</w:t>
            </w:r>
          </w:p>
        </w:tc>
        <w:tc>
          <w:tcPr>
            <w:tcW w:w="2551" w:type="dxa"/>
            <w:vAlign w:val="center"/>
          </w:tcPr>
          <w:p>
            <w:pPr>
              <w:pStyle w:val="15"/>
            </w:pPr>
          </w:p>
        </w:tc>
        <w:tc>
          <w:tcPr>
            <w:tcW w:w="2551" w:type="dxa"/>
            <w:vAlign w:val="center"/>
          </w:tcPr>
          <w:p>
            <w:pPr>
              <w:pStyle w:val="15"/>
              <w:rPr>
                <w:lang w:eastAsia="zh-CN"/>
              </w:rPr>
            </w:pPr>
            <w:r>
              <w:rPr>
                <w:rFonts w:hint="eastAsia"/>
                <w:lang w:eastAsia="zh-CN"/>
              </w:rPr>
              <w:t>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rPr>
                <w:lang w:eastAsia="zh-CN"/>
              </w:rPr>
            </w:pPr>
            <w:r>
              <w:rPr>
                <w:rFonts w:hint="eastAsia"/>
                <w:lang w:eastAsia="zh-CN"/>
              </w:rPr>
              <w:t>208</w:t>
            </w:r>
          </w:p>
        </w:tc>
        <w:tc>
          <w:tcPr>
            <w:tcW w:w="4535" w:type="dxa"/>
            <w:vAlign w:val="center"/>
          </w:tcPr>
          <w:p>
            <w:pPr>
              <w:pStyle w:val="16"/>
            </w:pPr>
            <w:r>
              <w:t>社会保障和就业支出</w:t>
            </w:r>
          </w:p>
        </w:tc>
        <w:tc>
          <w:tcPr>
            <w:tcW w:w="2551" w:type="dxa"/>
            <w:vAlign w:val="center"/>
          </w:tcPr>
          <w:p>
            <w:pPr>
              <w:pStyle w:val="15"/>
              <w:rPr>
                <w:lang w:eastAsia="zh-CN"/>
              </w:rPr>
            </w:pPr>
            <w:r>
              <w:rPr>
                <w:rFonts w:hint="eastAsia"/>
                <w:lang w:eastAsia="zh-CN"/>
              </w:rPr>
              <w:t>47.64</w:t>
            </w:r>
          </w:p>
        </w:tc>
        <w:tc>
          <w:tcPr>
            <w:tcW w:w="2551" w:type="dxa"/>
            <w:vAlign w:val="center"/>
          </w:tcPr>
          <w:p>
            <w:pPr>
              <w:pStyle w:val="15"/>
              <w:rPr>
                <w:lang w:eastAsia="zh-CN"/>
              </w:rPr>
            </w:pPr>
            <w:r>
              <w:rPr>
                <w:rFonts w:hint="eastAsia"/>
                <w:lang w:eastAsia="zh-CN"/>
              </w:rPr>
              <w:t>47.64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rPr>
                <w:lang w:eastAsia="zh-CN"/>
              </w:rPr>
            </w:pPr>
            <w:r>
              <w:rPr>
                <w:rFonts w:hint="eastAsia"/>
                <w:lang w:eastAsia="zh-CN"/>
              </w:rPr>
              <w:t>20805</w:t>
            </w:r>
          </w:p>
        </w:tc>
        <w:tc>
          <w:tcPr>
            <w:tcW w:w="4535" w:type="dxa"/>
            <w:vAlign w:val="center"/>
          </w:tcPr>
          <w:p>
            <w:pPr>
              <w:pStyle w:val="16"/>
            </w:pPr>
            <w:r>
              <w:t>行政事业单位养老支出</w:t>
            </w:r>
          </w:p>
        </w:tc>
        <w:tc>
          <w:tcPr>
            <w:tcW w:w="2551" w:type="dxa"/>
            <w:vAlign w:val="center"/>
          </w:tcPr>
          <w:p>
            <w:pPr>
              <w:pStyle w:val="15"/>
              <w:rPr>
                <w:lang w:eastAsia="zh-CN"/>
              </w:rPr>
            </w:pPr>
            <w:r>
              <w:rPr>
                <w:rFonts w:hint="eastAsia"/>
                <w:lang w:eastAsia="zh-CN"/>
              </w:rPr>
              <w:t>47.64</w:t>
            </w:r>
          </w:p>
        </w:tc>
        <w:tc>
          <w:tcPr>
            <w:tcW w:w="2551" w:type="dxa"/>
            <w:vAlign w:val="center"/>
          </w:tcPr>
          <w:p>
            <w:pPr>
              <w:pStyle w:val="15"/>
              <w:rPr>
                <w:lang w:eastAsia="zh-CN"/>
              </w:rPr>
            </w:pPr>
            <w:r>
              <w:rPr>
                <w:rFonts w:hint="eastAsia"/>
                <w:lang w:eastAsia="zh-CN"/>
              </w:rPr>
              <w:t>47.64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rPr>
                <w:lang w:eastAsia="zh-CN"/>
              </w:rPr>
            </w:pPr>
            <w:r>
              <w:rPr>
                <w:rFonts w:hint="eastAsia"/>
                <w:lang w:eastAsia="zh-CN"/>
              </w:rPr>
              <w:t>2080501</w:t>
            </w:r>
          </w:p>
        </w:tc>
        <w:tc>
          <w:tcPr>
            <w:tcW w:w="4535" w:type="dxa"/>
            <w:vAlign w:val="center"/>
          </w:tcPr>
          <w:p>
            <w:pPr>
              <w:pStyle w:val="16"/>
            </w:pPr>
            <w:r>
              <w:t>行政单位离退休</w:t>
            </w:r>
          </w:p>
        </w:tc>
        <w:tc>
          <w:tcPr>
            <w:tcW w:w="2551" w:type="dxa"/>
            <w:vAlign w:val="center"/>
          </w:tcPr>
          <w:p>
            <w:pPr>
              <w:pStyle w:val="15"/>
              <w:rPr>
                <w:lang w:eastAsia="zh-CN"/>
              </w:rPr>
            </w:pPr>
            <w:r>
              <w:rPr>
                <w:rFonts w:hint="eastAsia"/>
                <w:lang w:eastAsia="zh-CN"/>
              </w:rPr>
              <w:t>3.12</w:t>
            </w:r>
          </w:p>
        </w:tc>
        <w:tc>
          <w:tcPr>
            <w:tcW w:w="2551" w:type="dxa"/>
            <w:vAlign w:val="center"/>
          </w:tcPr>
          <w:p>
            <w:pPr>
              <w:pStyle w:val="15"/>
              <w:rPr>
                <w:lang w:eastAsia="zh-CN"/>
              </w:rPr>
            </w:pPr>
            <w:r>
              <w:rPr>
                <w:rFonts w:hint="eastAsia"/>
                <w:lang w:eastAsia="zh-CN"/>
              </w:rPr>
              <w:t>3.12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rPr>
                <w:lang w:eastAsia="zh-CN"/>
              </w:rPr>
            </w:pPr>
            <w:r>
              <w:rPr>
                <w:rFonts w:hint="eastAsia"/>
                <w:lang w:eastAsia="zh-CN"/>
              </w:rPr>
              <w:t>2080505</w:t>
            </w:r>
          </w:p>
        </w:tc>
        <w:tc>
          <w:tcPr>
            <w:tcW w:w="4535" w:type="dxa"/>
            <w:vAlign w:val="center"/>
          </w:tcPr>
          <w:p>
            <w:pPr>
              <w:pStyle w:val="16"/>
            </w:pPr>
            <w:r>
              <w:t>社会保障和就业支出</w:t>
            </w:r>
          </w:p>
        </w:tc>
        <w:tc>
          <w:tcPr>
            <w:tcW w:w="2551" w:type="dxa"/>
            <w:vAlign w:val="center"/>
          </w:tcPr>
          <w:p>
            <w:pPr>
              <w:pStyle w:val="15"/>
              <w:rPr>
                <w:lang w:eastAsia="zh-CN"/>
              </w:rPr>
            </w:pPr>
            <w:r>
              <w:rPr>
                <w:rFonts w:hint="eastAsia"/>
                <w:lang w:eastAsia="zh-CN"/>
              </w:rPr>
              <w:t>39.69</w:t>
            </w:r>
          </w:p>
        </w:tc>
        <w:tc>
          <w:tcPr>
            <w:tcW w:w="2551" w:type="dxa"/>
            <w:vAlign w:val="center"/>
          </w:tcPr>
          <w:p>
            <w:pPr>
              <w:pStyle w:val="15"/>
              <w:rPr>
                <w:lang w:eastAsia="zh-CN"/>
              </w:rPr>
            </w:pPr>
            <w:r>
              <w:rPr>
                <w:rFonts w:hint="eastAsia"/>
                <w:lang w:eastAsia="zh-CN"/>
              </w:rPr>
              <w:t>39.69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rPr>
                <w:lang w:eastAsia="zh-CN"/>
              </w:rPr>
            </w:pPr>
            <w:r>
              <w:rPr>
                <w:rFonts w:hint="eastAsia"/>
                <w:lang w:eastAsia="zh-CN"/>
              </w:rPr>
              <w:t>2080506</w:t>
            </w:r>
          </w:p>
        </w:tc>
        <w:tc>
          <w:tcPr>
            <w:tcW w:w="4535" w:type="dxa"/>
            <w:vAlign w:val="center"/>
          </w:tcPr>
          <w:p>
            <w:pPr>
              <w:pStyle w:val="16"/>
            </w:pPr>
            <w:r>
              <w:t>机关事业单位职业年金缴费支出</w:t>
            </w:r>
          </w:p>
        </w:tc>
        <w:tc>
          <w:tcPr>
            <w:tcW w:w="2551" w:type="dxa"/>
            <w:vAlign w:val="center"/>
          </w:tcPr>
          <w:p>
            <w:pPr>
              <w:pStyle w:val="15"/>
              <w:rPr>
                <w:lang w:eastAsia="zh-CN"/>
              </w:rPr>
            </w:pPr>
            <w:r>
              <w:rPr>
                <w:rFonts w:hint="eastAsia"/>
                <w:lang w:eastAsia="zh-CN"/>
              </w:rPr>
              <w:t>4.83</w:t>
            </w:r>
          </w:p>
        </w:tc>
        <w:tc>
          <w:tcPr>
            <w:tcW w:w="2551" w:type="dxa"/>
            <w:vAlign w:val="center"/>
          </w:tcPr>
          <w:p>
            <w:pPr>
              <w:pStyle w:val="15"/>
              <w:rPr>
                <w:lang w:eastAsia="zh-CN"/>
              </w:rPr>
            </w:pPr>
            <w:r>
              <w:rPr>
                <w:rFonts w:hint="eastAsia"/>
                <w:lang w:eastAsia="zh-CN"/>
              </w:rPr>
              <w:t>4.83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rPr>
                <w:lang w:eastAsia="zh-CN"/>
              </w:rPr>
            </w:pPr>
            <w:r>
              <w:rPr>
                <w:rFonts w:hint="eastAsia"/>
                <w:lang w:eastAsia="zh-CN"/>
              </w:rPr>
              <w:t>221</w:t>
            </w:r>
          </w:p>
        </w:tc>
        <w:tc>
          <w:tcPr>
            <w:tcW w:w="4535" w:type="dxa"/>
            <w:vAlign w:val="center"/>
          </w:tcPr>
          <w:p>
            <w:pPr>
              <w:pStyle w:val="16"/>
            </w:pPr>
            <w:r>
              <w:t>住房保障支出</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rPr>
                <w:lang w:eastAsia="zh-CN"/>
              </w:rPr>
            </w:pPr>
            <w:r>
              <w:rPr>
                <w:rFonts w:hint="eastAsia"/>
                <w:lang w:eastAsia="zh-CN"/>
              </w:rPr>
              <w:t>22102</w:t>
            </w:r>
          </w:p>
        </w:tc>
        <w:tc>
          <w:tcPr>
            <w:tcW w:w="4535" w:type="dxa"/>
            <w:vAlign w:val="center"/>
          </w:tcPr>
          <w:p>
            <w:pPr>
              <w:pStyle w:val="16"/>
            </w:pPr>
            <w:r>
              <w:t>住房改革支出</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rPr>
                <w:lang w:eastAsia="zh-CN"/>
              </w:rPr>
            </w:pPr>
            <w:r>
              <w:rPr>
                <w:rFonts w:hint="eastAsia"/>
                <w:lang w:eastAsia="zh-CN"/>
              </w:rPr>
              <w:t>2210201</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r>
              <w:rPr>
                <w:rFonts w:hint="eastAsia"/>
                <w:lang w:eastAsia="zh-CN"/>
              </w:rPr>
              <w:t>18.92</w:t>
            </w:r>
          </w:p>
        </w:tc>
        <w:tc>
          <w:tcPr>
            <w:tcW w:w="2551" w:type="dxa"/>
            <w:vAlign w:val="center"/>
          </w:tcPr>
          <w:p>
            <w:pPr>
              <w:pStyle w:val="15"/>
              <w:rPr>
                <w:lang w:eastAsia="zh-CN"/>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5"/>
              <w:rPr>
                <w:lang w:eastAsia="zh-CN"/>
              </w:rPr>
            </w:pPr>
            <w:r>
              <w:rPr>
                <w:rFonts w:hint="eastAsia"/>
                <w:lang w:eastAsia="zh-CN"/>
              </w:rPr>
              <w:t>511.69</w:t>
            </w:r>
          </w:p>
        </w:tc>
        <w:tc>
          <w:tcPr>
            <w:tcW w:w="2551" w:type="dxa"/>
            <w:vAlign w:val="center"/>
          </w:tcPr>
          <w:p>
            <w:pPr>
              <w:pStyle w:val="15"/>
              <w:rPr>
                <w:lang w:eastAsia="zh-CN"/>
              </w:rPr>
            </w:pPr>
            <w:r>
              <w:rPr>
                <w:rFonts w:hint="eastAsia"/>
                <w:lang w:eastAsia="zh-CN"/>
              </w:rPr>
              <w:t>428.03</w:t>
            </w:r>
          </w:p>
        </w:tc>
        <w:tc>
          <w:tcPr>
            <w:tcW w:w="2552" w:type="dxa"/>
            <w:vAlign w:val="center"/>
          </w:tcPr>
          <w:p>
            <w:pPr>
              <w:pStyle w:val="15"/>
              <w:rPr>
                <w:lang w:eastAsia="zh-CN"/>
              </w:rPr>
            </w:pPr>
            <w:r>
              <w:rPr>
                <w:rFonts w:hint="eastAsia"/>
                <w:lang w:eastAsia="zh-CN"/>
              </w:rP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346.66</w:t>
            </w:r>
          </w:p>
        </w:tc>
        <w:tc>
          <w:tcPr>
            <w:tcW w:w="2551" w:type="dxa"/>
            <w:vAlign w:val="center"/>
          </w:tcPr>
          <w:p>
            <w:pPr>
              <w:pStyle w:val="15"/>
            </w:pPr>
            <w:r>
              <w:t>346.66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158.52</w:t>
            </w:r>
          </w:p>
        </w:tc>
        <w:tc>
          <w:tcPr>
            <w:tcW w:w="2551" w:type="dxa"/>
            <w:vAlign w:val="center"/>
          </w:tcPr>
          <w:p>
            <w:pPr>
              <w:pStyle w:val="15"/>
            </w:pPr>
            <w:r>
              <w:t>158.52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77.93</w:t>
            </w:r>
          </w:p>
        </w:tc>
        <w:tc>
          <w:tcPr>
            <w:tcW w:w="2551" w:type="dxa"/>
            <w:vAlign w:val="center"/>
          </w:tcPr>
          <w:p>
            <w:pPr>
              <w:pStyle w:val="15"/>
            </w:pPr>
            <w:r>
              <w:t>77.93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11.60</w:t>
            </w:r>
          </w:p>
        </w:tc>
        <w:tc>
          <w:tcPr>
            <w:tcW w:w="2551" w:type="dxa"/>
            <w:vAlign w:val="center"/>
          </w:tcPr>
          <w:p>
            <w:pPr>
              <w:pStyle w:val="15"/>
            </w:pPr>
            <w:r>
              <w:t>11.60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21</w:t>
            </w:r>
          </w:p>
        </w:tc>
        <w:tc>
          <w:tcPr>
            <w:tcW w:w="2551" w:type="dxa"/>
            <w:vAlign w:val="center"/>
          </w:tcPr>
          <w:p>
            <w:pPr>
              <w:pStyle w:val="15"/>
              <w:rPr>
                <w:lang w:eastAsia="zh-CN"/>
              </w:rPr>
            </w:pPr>
            <w:r>
              <w:rPr>
                <w:rFonts w:hint="eastAsia"/>
                <w:lang w:eastAsia="zh-CN"/>
              </w:rPr>
              <w:t>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39.69</w:t>
            </w:r>
          </w:p>
        </w:tc>
        <w:tc>
          <w:tcPr>
            <w:tcW w:w="2551" w:type="dxa"/>
            <w:vAlign w:val="center"/>
          </w:tcPr>
          <w:p>
            <w:pPr>
              <w:pStyle w:val="15"/>
            </w:pPr>
            <w:r>
              <w:t>39.69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20.40</w:t>
            </w:r>
          </w:p>
        </w:tc>
        <w:tc>
          <w:tcPr>
            <w:tcW w:w="2551" w:type="dxa"/>
            <w:vAlign w:val="center"/>
          </w:tcPr>
          <w:p>
            <w:pPr>
              <w:pStyle w:val="15"/>
            </w:pPr>
            <w:r>
              <w:t>20.40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16.87</w:t>
            </w:r>
          </w:p>
        </w:tc>
        <w:tc>
          <w:tcPr>
            <w:tcW w:w="2551" w:type="dxa"/>
            <w:vAlign w:val="center"/>
          </w:tcPr>
          <w:p>
            <w:pPr>
              <w:pStyle w:val="15"/>
            </w:pPr>
            <w:r>
              <w:t>16.87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1.24</w:t>
            </w:r>
          </w:p>
        </w:tc>
        <w:tc>
          <w:tcPr>
            <w:tcW w:w="2551" w:type="dxa"/>
            <w:vAlign w:val="center"/>
          </w:tcPr>
          <w:p>
            <w:pPr>
              <w:pStyle w:val="15"/>
              <w:rPr>
                <w:lang w:eastAsia="zh-CN"/>
              </w:rPr>
            </w:pPr>
            <w:r>
              <w:rPr>
                <w:rFonts w:hint="eastAsia"/>
                <w:lang w:eastAsia="zh-CN"/>
              </w:rPr>
              <w:t>1.24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18.92</w:t>
            </w:r>
          </w:p>
        </w:tc>
        <w:tc>
          <w:tcPr>
            <w:tcW w:w="2551" w:type="dxa"/>
            <w:vAlign w:val="center"/>
          </w:tcPr>
          <w:p>
            <w:pPr>
              <w:pStyle w:val="15"/>
            </w:pPr>
            <w:r>
              <w:t>18.92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lang w:eastAsia="zh-CN"/>
              </w:rPr>
            </w:pPr>
            <w:r>
              <w:rPr>
                <w:rFonts w:hint="eastAsia"/>
                <w:lang w:eastAsia="zh-CN"/>
              </w:rPr>
              <w:t>24.07</w:t>
            </w:r>
          </w:p>
        </w:tc>
        <w:tc>
          <w:tcPr>
            <w:tcW w:w="2551" w:type="dxa"/>
            <w:vAlign w:val="center"/>
          </w:tcPr>
          <w:p>
            <w:pPr>
              <w:pStyle w:val="15"/>
              <w:rPr>
                <w:lang w:eastAsia="zh-CN"/>
              </w:rPr>
            </w:pPr>
            <w:r>
              <w:rPr>
                <w:rFonts w:hint="eastAsia"/>
                <w:lang w:eastAsia="zh-CN"/>
              </w:rPr>
              <w:t>24.07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83.66</w:t>
            </w:r>
          </w:p>
        </w:tc>
        <w:tc>
          <w:tcPr>
            <w:tcW w:w="2551" w:type="dxa"/>
            <w:vAlign w:val="center"/>
          </w:tcPr>
          <w:p>
            <w:pPr>
              <w:pStyle w:val="15"/>
            </w:pPr>
          </w:p>
        </w:tc>
        <w:tc>
          <w:tcPr>
            <w:tcW w:w="2552" w:type="dxa"/>
            <w:vAlign w:val="center"/>
          </w:tcPr>
          <w:p>
            <w:pPr>
              <w:pStyle w:val="15"/>
              <w:rPr>
                <w:lang w:eastAsia="zh-CN"/>
              </w:rPr>
            </w:pPr>
            <w:r>
              <w:rPr>
                <w:rFonts w:hint="eastAsia"/>
                <w:lang w:eastAsia="zh-CN"/>
              </w:rP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34.05</w:t>
            </w:r>
          </w:p>
        </w:tc>
        <w:tc>
          <w:tcPr>
            <w:tcW w:w="2551" w:type="dxa"/>
            <w:vAlign w:val="center"/>
          </w:tcPr>
          <w:p>
            <w:pPr>
              <w:pStyle w:val="15"/>
            </w:pPr>
          </w:p>
        </w:tc>
        <w:tc>
          <w:tcPr>
            <w:tcW w:w="2552" w:type="dxa"/>
            <w:vAlign w:val="center"/>
          </w:tcPr>
          <w:p>
            <w:pPr>
              <w:pStyle w:val="15"/>
            </w:pPr>
            <w:r>
              <w:t>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30204</w:t>
            </w:r>
          </w:p>
        </w:tc>
        <w:tc>
          <w:tcPr>
            <w:tcW w:w="4535" w:type="dxa"/>
            <w:vAlign w:val="center"/>
          </w:tcPr>
          <w:p>
            <w:pPr>
              <w:pStyle w:val="16"/>
            </w:pPr>
            <w:r>
              <w:t>手续费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lang w:eastAsia="zh-CN"/>
              </w:rPr>
            </w:pPr>
            <w:r>
              <w:rPr>
                <w:rFonts w:hint="eastAsia"/>
                <w:lang w:eastAsia="zh-CN"/>
              </w:rPr>
              <w:t>3.31</w:t>
            </w:r>
          </w:p>
        </w:tc>
        <w:tc>
          <w:tcPr>
            <w:tcW w:w="2551" w:type="dxa"/>
            <w:vAlign w:val="center"/>
          </w:tcPr>
          <w:p>
            <w:pPr>
              <w:pStyle w:val="15"/>
            </w:pPr>
          </w:p>
        </w:tc>
        <w:tc>
          <w:tcPr>
            <w:tcW w:w="2552" w:type="dxa"/>
            <w:vAlign w:val="center"/>
          </w:tcPr>
          <w:p>
            <w:pPr>
              <w:pStyle w:val="15"/>
              <w:rPr>
                <w:lang w:eastAsia="zh-CN"/>
              </w:rPr>
            </w:pPr>
            <w:r>
              <w:rPr>
                <w:rFonts w:hint="eastAsia"/>
                <w:lang w:eastAsia="zh-CN"/>
              </w:rP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rPr>
                <w:lang w:eastAsia="zh-CN"/>
              </w:rPr>
            </w:pPr>
            <w:r>
              <w:rPr>
                <w:rFonts w:hint="eastAsia"/>
                <w:lang w:eastAsia="zh-CN"/>
              </w:rPr>
              <w:t>9.30</w:t>
            </w:r>
          </w:p>
        </w:tc>
        <w:tc>
          <w:tcPr>
            <w:tcW w:w="2551" w:type="dxa"/>
            <w:vAlign w:val="center"/>
          </w:tcPr>
          <w:p>
            <w:pPr>
              <w:pStyle w:val="15"/>
            </w:pPr>
          </w:p>
        </w:tc>
        <w:tc>
          <w:tcPr>
            <w:tcW w:w="2552" w:type="dxa"/>
            <w:vAlign w:val="center"/>
          </w:tcPr>
          <w:p>
            <w:pPr>
              <w:pStyle w:val="15"/>
              <w:rPr>
                <w:lang w:eastAsia="zh-CN"/>
              </w:rPr>
            </w:pPr>
            <w:r>
              <w:rPr>
                <w:rFonts w:hint="eastAsia"/>
                <w:lang w:eastAsia="zh-CN"/>
              </w:rP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rPr>
                <w:lang w:eastAsia="zh-CN"/>
              </w:rPr>
            </w:pPr>
            <w:r>
              <w:rPr>
                <w:rFonts w:hint="eastAsia"/>
                <w:lang w:eastAsia="zh-CN"/>
              </w:rPr>
              <w:t>5</w:t>
            </w:r>
          </w:p>
        </w:tc>
        <w:tc>
          <w:tcPr>
            <w:tcW w:w="2551" w:type="dxa"/>
            <w:vAlign w:val="center"/>
          </w:tcPr>
          <w:p>
            <w:pPr>
              <w:pStyle w:val="15"/>
            </w:pPr>
          </w:p>
        </w:tc>
        <w:tc>
          <w:tcPr>
            <w:tcW w:w="2552" w:type="dxa"/>
            <w:vAlign w:val="center"/>
          </w:tcPr>
          <w:p>
            <w:pPr>
              <w:pStyle w:val="15"/>
              <w:rPr>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rPr>
                <w:lang w:eastAsia="zh-CN"/>
              </w:rPr>
            </w:pPr>
            <w:r>
              <w:rPr>
                <w:rFonts w:hint="eastAsia"/>
                <w:lang w:eastAsia="zh-CN"/>
              </w:rPr>
              <w:t>15</w:t>
            </w:r>
          </w:p>
        </w:tc>
        <w:tc>
          <w:tcPr>
            <w:tcW w:w="2551" w:type="dxa"/>
            <w:vAlign w:val="center"/>
          </w:tcPr>
          <w:p>
            <w:pPr>
              <w:pStyle w:val="15"/>
            </w:pPr>
          </w:p>
        </w:tc>
        <w:tc>
          <w:tcPr>
            <w:tcW w:w="2552" w:type="dxa"/>
            <w:vAlign w:val="center"/>
          </w:tcPr>
          <w:p>
            <w:pPr>
              <w:pStyle w:val="15"/>
              <w:rPr>
                <w:lang w:eastAsia="zh-CN"/>
              </w:rPr>
            </w:pPr>
            <w:r>
              <w:rPr>
                <w:rFonts w:hint="eastAsia"/>
                <w:lang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rPr>
                <w:lang w:eastAsia="zh-CN"/>
              </w:rPr>
            </w:pPr>
            <w:r>
              <w:rPr>
                <w:rFonts w:hint="eastAsia"/>
                <w:lang w:eastAsia="zh-CN"/>
              </w:rPr>
              <w:t>14</w:t>
            </w:r>
          </w:p>
        </w:tc>
        <w:tc>
          <w:tcPr>
            <w:tcW w:w="2551" w:type="dxa"/>
            <w:vAlign w:val="center"/>
          </w:tcPr>
          <w:p>
            <w:pPr>
              <w:pStyle w:val="15"/>
            </w:pPr>
          </w:p>
        </w:tc>
        <w:tc>
          <w:tcPr>
            <w:tcW w:w="2552" w:type="dxa"/>
            <w:vAlign w:val="center"/>
          </w:tcPr>
          <w:p>
            <w:pPr>
              <w:pStyle w:val="15"/>
              <w:rPr>
                <w:lang w:eastAsia="zh-CN"/>
              </w:rPr>
            </w:pPr>
            <w:r>
              <w:rPr>
                <w:rFonts w:hint="eastAsia"/>
                <w:lang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p>
        </w:tc>
        <w:tc>
          <w:tcPr>
            <w:tcW w:w="2551" w:type="dxa"/>
            <w:vAlign w:val="center"/>
          </w:tcPr>
          <w:p>
            <w:pPr>
              <w:pStyle w:val="15"/>
            </w:pP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101涞源县人民代表大会常务委员会办公室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29</w:t>
            </w:r>
          </w:p>
        </w:tc>
        <w:tc>
          <w:tcPr>
            <w:tcW w:w="2381" w:type="dxa"/>
            <w:vAlign w:val="center"/>
          </w:tcPr>
          <w:p>
            <w:pPr>
              <w:pStyle w:val="19"/>
              <w:rPr>
                <w:lang w:eastAsia="zh-CN"/>
              </w:rPr>
            </w:pPr>
            <w:r>
              <w:rPr>
                <w:rFonts w:hint="eastAsia"/>
                <w:lang w:eastAsia="zh-CN"/>
              </w:rPr>
              <w:t>29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rPr>
                <w:lang w:eastAsia="zh-CN"/>
              </w:rPr>
            </w:pPr>
            <w:r>
              <w:rPr>
                <w:rFonts w:hint="eastAsia"/>
                <w:lang w:eastAsia="zh-CN"/>
              </w:rPr>
              <w:t>14</w:t>
            </w:r>
          </w:p>
        </w:tc>
        <w:tc>
          <w:tcPr>
            <w:tcW w:w="2381" w:type="dxa"/>
            <w:vAlign w:val="center"/>
          </w:tcPr>
          <w:p>
            <w:pPr>
              <w:pStyle w:val="15"/>
              <w:rPr>
                <w:lang w:eastAsia="zh-CN"/>
              </w:rPr>
            </w:pPr>
            <w:r>
              <w:rPr>
                <w:rFonts w:hint="eastAsia"/>
                <w:lang w:eastAsia="zh-CN"/>
              </w:rPr>
              <w:t>14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rPr>
                <w:lang w:eastAsia="zh-CN"/>
              </w:rPr>
            </w:pPr>
            <w:r>
              <w:rPr>
                <w:rFonts w:hint="eastAsia"/>
                <w:lang w:eastAsia="zh-CN"/>
              </w:rPr>
              <w:t>14</w:t>
            </w:r>
          </w:p>
        </w:tc>
        <w:tc>
          <w:tcPr>
            <w:tcW w:w="2381" w:type="dxa"/>
            <w:vAlign w:val="center"/>
          </w:tcPr>
          <w:p>
            <w:pPr>
              <w:pStyle w:val="15"/>
              <w:rPr>
                <w:lang w:eastAsia="zh-CN"/>
              </w:rPr>
            </w:pPr>
            <w:r>
              <w:rPr>
                <w:rFonts w:hint="eastAsia"/>
                <w:lang w:eastAsia="zh-CN"/>
              </w:rPr>
              <w:t>14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15</w:t>
            </w:r>
          </w:p>
        </w:tc>
        <w:tc>
          <w:tcPr>
            <w:tcW w:w="2381" w:type="dxa"/>
            <w:vAlign w:val="center"/>
          </w:tcPr>
          <w:p>
            <w:pPr>
              <w:pStyle w:val="15"/>
              <w:rPr>
                <w:lang w:eastAsia="zh-CN"/>
              </w:rPr>
            </w:pPr>
            <w:r>
              <w:rPr>
                <w:rFonts w:hint="eastAsia"/>
                <w:lang w:eastAsia="zh-CN"/>
              </w:rPr>
              <w:t>15</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涞源县人民代表大会常务委员会办公室2022年部门预算信息公开情况说明</w:t>
      </w:r>
    </w:p>
    <w:p>
      <w:pPr>
        <w:jc w:val="center"/>
      </w:pPr>
      <w:r>
        <w:rPr>
          <w:rFonts w:hint="eastAsia" w:ascii="方正小标宋_GBK" w:hAnsi="方正小标宋_GBK" w:eastAsia="方正小标宋_GBK" w:cs="方正小标宋_GBK"/>
          <w:color w:val="000000"/>
          <w:sz w:val="44"/>
          <w:lang w:eastAsia="zh-CN"/>
        </w:rPr>
        <w:t>涞源县人民代表大会常务委员会办公室</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、《地方预决算公开操作规程》和《关于进一步推进预算公开工作的实施意见》规定，现将涞源县人民代表大会常务委员会办公室2022年部门预算公开如下：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根据《涞源县人民代表大会常务委员会办公室职能配置、内设机构和人员编制规定》，涞源县人民代表大会常务委员会办公室的主要职责是：</w:t>
      </w:r>
    </w:p>
    <w:p>
      <w:pPr>
        <w:pStyle w:val="21"/>
      </w:pPr>
      <w:r>
        <w:t>涞源县人民代表大会常务委员会为行政机关单位，经费保障形式为财政性资金基本保证，下设1室5委6个科室，分别为办公室、财经工委、代表工委、法制工委、教科文卫工委、社会建设工委，主要职责有：</w:t>
      </w:r>
    </w:p>
    <w:p>
      <w:pPr>
        <w:pStyle w:val="21"/>
      </w:pPr>
      <w:r>
        <w:t>（一）根据有关法律法规和县人大常委会年度工作要点，制定本工作委员会的年度工作计划并组织实施，做好年度工作总结。</w:t>
      </w:r>
    </w:p>
    <w:p>
      <w:pPr>
        <w:pStyle w:val="21"/>
      </w:pPr>
      <w:r>
        <w:t>（二）按照县人大常委会的部署和主任会议的安排，组织视察、调查和执法检查。</w:t>
      </w:r>
    </w:p>
    <w:p>
      <w:pPr>
        <w:pStyle w:val="21"/>
      </w:pPr>
      <w:r>
        <w:t>（三）对县人大常委会组成人员和县人民政府、县监察委员会、县人民法院、县人民检察院提请县人大常委会会议审议的属本工作委员会职责范围内的议案或报告进行调查研究。</w:t>
      </w:r>
    </w:p>
    <w:p>
      <w:pPr>
        <w:pStyle w:val="21"/>
      </w:pPr>
      <w:r>
        <w:t>（四）对相关工作情况和相关法律法规在本行政区域内的贯彻实施情况进行调查研究。</w:t>
      </w:r>
    </w:p>
    <w:p>
      <w:pPr>
        <w:pStyle w:val="21"/>
      </w:pPr>
      <w:r>
        <w:t>（五）负责对有关规范性文件进行研究，并提出意见。（六）加强与对口联系单位的工作联系，沟通思想，了解情况，督促其认真落实县人大及其常委会的决议、决定，办理好意见和建议。</w:t>
      </w:r>
    </w:p>
    <w:p>
      <w:pPr>
        <w:pStyle w:val="21"/>
      </w:pPr>
      <w:r>
        <w:t>（七）加强同乡（镇）人大主席团的工作联系，按照职责范围，对乡（镇）人大主席团工作进行指导。</w:t>
      </w:r>
    </w:p>
    <w:p>
      <w:pPr>
        <w:pStyle w:val="21"/>
      </w:pPr>
      <w:r>
        <w:t>（八）办理好县人大代表提出的有关本工作委员会职权范围内的议案、建议（批评和意见）。</w:t>
      </w:r>
    </w:p>
    <w:p>
      <w:pPr>
        <w:pStyle w:val="21"/>
      </w:pPr>
      <w:r>
        <w:t>（九）广泛联系县人大代表和人民群众，及时反映人大代表与人民群众的意见和要求。</w:t>
      </w:r>
    </w:p>
    <w:p>
      <w:pPr>
        <w:pStyle w:val="21"/>
      </w:pPr>
      <w:r>
        <w:t>（十）办理县人大常委会会议、主任会议、分管副主任和上级人大常委会对口部门交办的其他工作事项。</w:t>
      </w:r>
    </w:p>
    <w:p>
      <w:pPr>
        <w:pStyle w:val="21"/>
      </w:pPr>
      <w:r>
        <w:t>（十一）在本行政区域内，保证宪法、法律、行政法规和上级人民代表大会及其常务委员会决议决定的遵守和执行。</w:t>
      </w:r>
    </w:p>
    <w:p>
      <w:pPr>
        <w:pStyle w:val="21"/>
      </w:pPr>
      <w:r>
        <w:t>（十二）领导或者主持本级人民代表大会代表的选举。</w:t>
      </w:r>
    </w:p>
    <w:p>
      <w:pPr>
        <w:pStyle w:val="21"/>
      </w:pPr>
      <w:r>
        <w:t>（十三）召集本级人民代表大会会议。</w:t>
      </w:r>
    </w:p>
    <w:p>
      <w:pPr>
        <w:pStyle w:val="21"/>
      </w:pPr>
      <w:r>
        <w:t>（十四）讨论、决定本行政区域内政治、经济、教育、科学、文化、卫生、环境和资源保护、民政、民族等工作的重大事项。</w:t>
      </w:r>
    </w:p>
    <w:p>
      <w:pPr>
        <w:pStyle w:val="21"/>
      </w:pPr>
      <w:r>
        <w:t>（十五）根据本级人民政府的建议，决定对本行政区域内的国民经济和社会发展计划、预算的部分变更。</w:t>
      </w:r>
    </w:p>
    <w:p>
      <w:pPr>
        <w:pStyle w:val="21"/>
      </w:pPr>
      <w:r>
        <w:t>（十六）监督本级人民政府、监察委员会、人民法院和人民检察院的工作，联系本级人民代表大会代表，受理人民群众对上述机关和国家工作人员的申诉和意见。</w:t>
      </w:r>
    </w:p>
    <w:p>
      <w:pPr>
        <w:pStyle w:val="21"/>
      </w:pPr>
      <w:r>
        <w:t>（十七）撤销下一级人民代表大会的不适当的决议。</w:t>
      </w:r>
    </w:p>
    <w:p>
      <w:pPr>
        <w:pStyle w:val="21"/>
      </w:pPr>
      <w:r>
        <w:t>（十八）撤销本级人民政府的不适当的决定和命令。</w:t>
      </w:r>
    </w:p>
    <w:p>
      <w:pPr>
        <w:pStyle w:val="21"/>
      </w:pPr>
      <w:r>
        <w:t>（十九）在县人民代表大会闭会期间，决定副县长的个别任免；在县长、监察委员会主任、人民法院院长、人民检察院检察长因故不能担任职务的时候，从本级人民政府、监察委员会、人民法院、人民检察院副职领导人员中决定代理的人选；决定代理检察长，须报上一级人民检察院和人民代表大会常务委员会备案。</w:t>
      </w:r>
    </w:p>
    <w:p>
      <w:pPr>
        <w:pStyle w:val="21"/>
      </w:pPr>
      <w:r>
        <w:t>（二十）根据主任会议的提请，任免县人大常委会办公室和各工作委员会主任、副主任；根据县长的提名，决定县人民政府办公室主任、局长的任免。</w:t>
      </w:r>
    </w:p>
    <w:p>
      <w:pPr>
        <w:pStyle w:val="21"/>
      </w:pPr>
      <w:r>
        <w:t>（二十一）按照监察委员会组织法、人民法院组织法和人民检察院组织法的规定，任免监察委员会副主任、委员，任免人民法院副院长、庭长、副庭长、审判委员会委员、审判员，任免人民检察院副检察长、检察委员会委员、检察员。</w:t>
      </w:r>
    </w:p>
    <w:p>
      <w:pPr>
        <w:pStyle w:val="21"/>
      </w:pPr>
      <w:r>
        <w:t>（二十二）在县人民代表大会闭会期间，决定是否接受县人民代表大会常务委员会组成人员和县人民政府领导人员、监察委员会主任、人民法院院长、人民检察院检察长提出的辞职，常务委员会决定接受辞职后，报县人民代表大会备案，其中接受县人民检察院检察长辞职，应报上一级人民检察院检察长提请该级人民代表大会常务委员会批准。</w:t>
      </w:r>
    </w:p>
    <w:p>
      <w:pPr>
        <w:pStyle w:val="21"/>
      </w:pPr>
      <w:r>
        <w:t>（二十三）在县人民代表大会闭会期间，补选上一级人民代表大会出缺的代表和罢免个别代表。</w:t>
      </w:r>
    </w:p>
    <w:p>
      <w:pPr>
        <w:pStyle w:val="21"/>
        <w:rPr>
          <w:lang w:eastAsia="zh-CN"/>
        </w:rPr>
        <w:sectPr>
          <w:pgSz w:w="16840" w:h="11900" w:orient="landscape"/>
          <w:pgMar w:top="1020" w:right="1361" w:bottom="1020" w:left="1361" w:header="720" w:footer="720" w:gutter="0"/>
          <w:pgNumType w:start="1"/>
          <w:cols w:space="720" w:num="1"/>
          <w:docGrid w:linePitch="326" w:charSpace="0"/>
        </w:sectPr>
      </w:pPr>
      <w:r>
        <w:t>（二十四）决定授予地方的荣誉称号</w:t>
      </w:r>
    </w:p>
    <w:p>
      <w:pPr>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涞源县人民代表大会常务委员会办公室本级</w:t>
            </w:r>
          </w:p>
        </w:tc>
        <w:tc>
          <w:tcPr>
            <w:tcW w:w="1843" w:type="dxa"/>
            <w:vAlign w:val="center"/>
          </w:tcPr>
          <w:p>
            <w:pPr>
              <w:pStyle w:val="17"/>
            </w:pPr>
            <w:r>
              <w:t>行政</w:t>
            </w:r>
          </w:p>
        </w:tc>
        <w:tc>
          <w:tcPr>
            <w:tcW w:w="2126" w:type="dxa"/>
            <w:vAlign w:val="center"/>
          </w:tcPr>
          <w:p>
            <w:pPr>
              <w:pStyle w:val="17"/>
              <w:rPr>
                <w:lang w:eastAsia="zh-CN"/>
              </w:rPr>
            </w:pPr>
            <w:r>
              <w:rPr>
                <w:rFonts w:hint="eastAsia"/>
                <w:lang w:eastAsia="zh-CN"/>
              </w:rPr>
              <w:t>正科</w:t>
            </w:r>
          </w:p>
        </w:tc>
        <w:tc>
          <w:tcPr>
            <w:tcW w:w="3827" w:type="dxa"/>
            <w:vAlign w:val="center"/>
          </w:tcPr>
          <w:p>
            <w:pPr>
              <w:pStyle w:val="17"/>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部门预算的编制实行综合预算管理，即全部收入和支出都反映在预算中。涞源县人民代表大会常务委员会办公室机关收支包含在部门预算中。</w:t>
      </w:r>
    </w:p>
    <w:p>
      <w:pPr>
        <w:pStyle w:val="22"/>
      </w:pPr>
      <w:r>
        <w:t>1、收入说明</w:t>
      </w:r>
    </w:p>
    <w:p>
      <w:pPr>
        <w:pStyle w:val="22"/>
      </w:pPr>
      <w:r>
        <w:t>反映本部门当年全部收入。2022年预算收入</w:t>
      </w:r>
      <w:r>
        <w:rPr>
          <w:rFonts w:hint="eastAsia"/>
          <w:lang w:eastAsia="zh-CN"/>
        </w:rPr>
        <w:t>6</w:t>
      </w:r>
      <w:r>
        <w:rPr>
          <w:lang w:eastAsia="zh-CN"/>
        </w:rPr>
        <w:t>52.36</w:t>
      </w:r>
      <w:r>
        <w:t>万元，其中：一般公共预算收入</w:t>
      </w:r>
      <w:r>
        <w:rPr>
          <w:rFonts w:hint="eastAsia"/>
          <w:lang w:eastAsia="zh-CN"/>
        </w:rPr>
        <w:t>6</w:t>
      </w:r>
      <w:r>
        <w:rPr>
          <w:lang w:eastAsia="zh-CN"/>
        </w:rPr>
        <w:t>52.36</w:t>
      </w:r>
      <w:r>
        <w:t>万元，基金预算收入0万元，国有资本经营预算收入0万元，财政专户核拨收入0万元。</w:t>
      </w:r>
    </w:p>
    <w:p>
      <w:pPr>
        <w:pStyle w:val="22"/>
      </w:pPr>
      <w:r>
        <w:t>2、支出说明</w:t>
      </w:r>
    </w:p>
    <w:p>
      <w:pPr>
        <w:pStyle w:val="22"/>
      </w:pPr>
      <w:r>
        <w:t>收支预算总表支出栏、基本支出表、项目支出表按经济分类和支出功能分类科目编制，反映涞源县人民代表大会常务委员会办公室年度部门预算中支出预算的总体情况。2022年支出预算</w:t>
      </w:r>
      <w:r>
        <w:rPr>
          <w:rFonts w:hint="eastAsia"/>
          <w:lang w:eastAsia="zh-CN"/>
        </w:rPr>
        <w:t>6</w:t>
      </w:r>
      <w:r>
        <w:rPr>
          <w:lang w:eastAsia="zh-CN"/>
        </w:rPr>
        <w:t>52.36</w:t>
      </w:r>
      <w:r>
        <w:t>万元，其中基本支出</w:t>
      </w:r>
      <w:r>
        <w:rPr>
          <w:rFonts w:hint="eastAsia"/>
          <w:lang w:eastAsia="zh-CN"/>
        </w:rPr>
        <w:t>511.69</w:t>
      </w:r>
      <w:r>
        <w:t>万元，包括人员经费</w:t>
      </w:r>
      <w:r>
        <w:rPr>
          <w:rFonts w:hint="eastAsia"/>
          <w:lang w:eastAsia="zh-CN"/>
        </w:rPr>
        <w:t>428.03</w:t>
      </w:r>
      <w:r>
        <w:t>万元和日常公用经费</w:t>
      </w:r>
      <w:r>
        <w:rPr>
          <w:rFonts w:hint="eastAsia"/>
          <w:lang w:eastAsia="zh-CN"/>
        </w:rPr>
        <w:t>83.66</w:t>
      </w:r>
      <w:r>
        <w:t>万元；项目支出</w:t>
      </w:r>
      <w:r>
        <w:rPr>
          <w:rFonts w:hint="eastAsia"/>
          <w:lang w:eastAsia="zh-CN"/>
        </w:rPr>
        <w:t>140.67</w:t>
      </w:r>
      <w:r>
        <w:t>万元。</w:t>
      </w:r>
    </w:p>
    <w:p>
      <w:pPr>
        <w:pStyle w:val="22"/>
      </w:pPr>
      <w:r>
        <w:t>3、比上年增减情况</w:t>
      </w:r>
    </w:p>
    <w:p>
      <w:pPr>
        <w:pStyle w:val="22"/>
      </w:pPr>
      <w:r>
        <w:t>2022年预算收支安排</w:t>
      </w:r>
      <w:r>
        <w:rPr>
          <w:rFonts w:hint="eastAsia"/>
          <w:lang w:eastAsia="zh-CN"/>
        </w:rPr>
        <w:t>6</w:t>
      </w:r>
      <w:r>
        <w:rPr>
          <w:lang w:eastAsia="zh-CN"/>
        </w:rPr>
        <w:t>52.36</w:t>
      </w:r>
      <w:r>
        <w:t>万元，较2021年预算增加</w:t>
      </w:r>
      <w:r>
        <w:rPr>
          <w:rFonts w:hint="eastAsia"/>
          <w:lang w:eastAsia="zh-CN"/>
        </w:rPr>
        <w:t>107.37</w:t>
      </w:r>
      <w:r>
        <w:t>万元</w:t>
      </w:r>
      <w:r>
        <w:rPr>
          <w:rFonts w:hint="eastAsia"/>
          <w:lang w:eastAsia="zh-CN"/>
        </w:rPr>
        <w:t>，</w:t>
      </w:r>
      <w:r>
        <w:t>主要为增加人员经费支出</w:t>
      </w:r>
      <w:r>
        <w:rPr>
          <w:rFonts w:hint="eastAsia"/>
          <w:lang w:eastAsia="zh-CN"/>
        </w:rPr>
        <w:t>和2021年度人代会费用</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w:t>
      </w:r>
      <w:r>
        <w:rPr>
          <w:rFonts w:hint="eastAsia"/>
          <w:lang w:eastAsia="zh-CN"/>
        </w:rPr>
        <w:t>83.66</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w:t>
      </w:r>
      <w:r>
        <w:rPr>
          <w:rFonts w:hint="eastAsia"/>
          <w:lang w:eastAsia="zh-CN"/>
        </w:rPr>
        <w:t>29</w:t>
      </w:r>
      <w:r>
        <w:t>万元，其中因公出国（境）费</w:t>
      </w:r>
      <w:r>
        <w:rPr>
          <w:rFonts w:hint="eastAsia"/>
          <w:lang w:eastAsia="zh-CN"/>
        </w:rPr>
        <w:t>0</w:t>
      </w:r>
      <w:r>
        <w:t>万元；公务用车购置及运维费</w:t>
      </w:r>
      <w:r>
        <w:rPr>
          <w:rFonts w:hint="eastAsia"/>
          <w:lang w:eastAsia="zh-CN"/>
        </w:rPr>
        <w:t>14</w:t>
      </w:r>
      <w:r>
        <w:t>万元（其中：公务用车购置费为0万元，公务用车运维费</w:t>
      </w:r>
      <w:r>
        <w:rPr>
          <w:rFonts w:hint="eastAsia"/>
          <w:lang w:eastAsia="zh-CN"/>
        </w:rPr>
        <w:t>14</w:t>
      </w:r>
      <w:r>
        <w:t>万元)；公务接待费</w:t>
      </w:r>
      <w:r>
        <w:rPr>
          <w:rFonts w:hint="eastAsia"/>
          <w:lang w:eastAsia="zh-CN"/>
        </w:rPr>
        <w:t>15</w:t>
      </w:r>
      <w:r>
        <w:t>万元。与2021年</w:t>
      </w:r>
      <w:r>
        <w:rPr>
          <w:rFonts w:hint="eastAsia"/>
          <w:lang w:eastAsia="zh-CN"/>
        </w:rPr>
        <w:t>持平</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坚持以习近平新时代中国特色社会主义思想为指导，深入贯彻党的十九届六中全会和</w:t>
      </w:r>
      <w:r>
        <w:rPr>
          <w:rFonts w:hint="eastAsia"/>
          <w:lang w:eastAsia="zh-CN"/>
        </w:rPr>
        <w:t>省第十次党代会</w:t>
      </w:r>
      <w:r>
        <w:t>精神，紧紧围绕党中央决策部署，认真落实省委省政府工作要求，坚持稳中求进工作总基调，完整、准确、全面贯彻新发展理念，积极融入和服务新发展格局，以推动全省财政高质量发展为主题，聚焦“政治引领、守正创新、科学高效、竞进有为”要求，统筹疫情防控和经济社会发展，统筹发展和安全，落实落细积极的财政政策，有效发挥财政调控保障作用，推动全省财政收入规模进一步壮大，保障能力进一步增强，财政资源配置更加科学，财政资金使用更加高效，财政政策体系更加完备，财政体制机制更加完善，依法理财水平得到提升，全省财政运行总体平稳，为建设现代化经济强省美丽河北提供有力财政支撑，以优异成绩迎接党的二十大胜利召开。</w:t>
      </w:r>
    </w:p>
    <w:p>
      <w:pPr>
        <w:spacing w:line="500" w:lineRule="exact"/>
        <w:ind w:firstLine="560"/>
      </w:pPr>
      <w:r>
        <w:rPr>
          <w:rFonts w:eastAsia="方正仿宋_GBK"/>
          <w:color w:val="000000"/>
          <w:sz w:val="28"/>
        </w:rPr>
        <w:t>（二）分项绩效目标</w:t>
      </w:r>
    </w:p>
    <w:p>
      <w:pPr>
        <w:pStyle w:val="26"/>
        <w:rPr>
          <w:lang w:eastAsia="zh-CN"/>
        </w:rPr>
      </w:pPr>
      <w:r>
        <w:rPr>
          <w:rFonts w:hint="eastAsia"/>
          <w:lang w:eastAsia="zh-CN"/>
        </w:rPr>
        <w:t>1、</w:t>
      </w:r>
      <w:r>
        <w:t>财政支撑保障能力明显增强</w:t>
      </w:r>
    </w:p>
    <w:p>
      <w:pPr>
        <w:pStyle w:val="26"/>
      </w:pPr>
      <w:r>
        <w:t>绩效目标：全省财政收入规模进一步提升，收入结构持续优化，可用财力稳步增长；争取中央支持有力有效，对我省的支持力度进一步加大；财政投入方式得到改进，筹融资手段更加丰富，对市场资源的引导撬动作用更加明显；财政资源配置更加科学合理，推动中央和省委省政府重大决策部署在我省落地落实。</w:t>
      </w:r>
    </w:p>
    <w:p>
      <w:pPr>
        <w:pStyle w:val="26"/>
      </w:pPr>
      <w:r>
        <w:t>绩效指标：全省财政收入增幅与经济增长相匹配，财政统筹范围进一步扩大；获得中央一般性转移支付增幅超过全国地方平均水平；财政支出结构进一步优化，支持全省重大决策部署得到有效保障。</w:t>
      </w:r>
    </w:p>
    <w:p>
      <w:pPr>
        <w:pStyle w:val="26"/>
        <w:rPr>
          <w:lang w:eastAsia="zh-CN"/>
        </w:rPr>
      </w:pPr>
      <w:r>
        <w:rPr>
          <w:rFonts w:hint="eastAsia"/>
          <w:lang w:eastAsia="zh-CN"/>
        </w:rPr>
        <w:t>2、</w:t>
      </w:r>
      <w:r>
        <w:t>积极财政政策得到有效落实</w:t>
      </w:r>
    </w:p>
    <w:p>
      <w:pPr>
        <w:pStyle w:val="26"/>
      </w:pPr>
      <w:r>
        <w:t>绩效目标：围绕助推全省经济高质量发展目标，按照“积极的财政政策要提升政策效能”要求，找准切入点，抓准发力点，更好发挥政策效能，坚持用好中央和我省预内基建资金，管好用好政府债券，直达资金实现严管快用，促进县域经济高质量发展及产业发展的财政政策更加完善，减税降费政策全面落实，全省创新能力不断提升，减轻企业负担的成效更加明显。</w:t>
      </w:r>
    </w:p>
    <w:p>
      <w:pPr>
        <w:pStyle w:val="26"/>
      </w:pPr>
      <w:r>
        <w:t>绩效指标：落实好《财政引导金融支持实体经济发展十条措施》，进一步规范政府投资引导基金运作，全方位、多角度支持市场主体融资发展；加快研究新一轮促进县域经济高质量发展十条财政政策，不断增强县域经济发展内生动力；管好用好政府债券，将专项债监控支出延伸为工作量形成情况，督促尽早形成实物工作量；继续落实好直达机制，进一步扩大监控系统使用范围，督促市县加快支出，更好发挥政策效能；支持科技创新、战略性新兴产业等财政专项资金持续增加，优化科研经费管理流程，加大简政放权和激励力度，激发全省创新活力。</w:t>
      </w:r>
    </w:p>
    <w:p>
      <w:pPr>
        <w:pStyle w:val="26"/>
        <w:rPr>
          <w:lang w:eastAsia="zh-CN"/>
        </w:rPr>
      </w:pPr>
      <w:r>
        <w:rPr>
          <w:rFonts w:hint="eastAsia"/>
          <w:lang w:eastAsia="zh-CN"/>
        </w:rPr>
        <w:t>3、</w:t>
      </w:r>
      <w:r>
        <w:t>保障改善民生力度进一步加大</w:t>
      </w:r>
    </w:p>
    <w:p>
      <w:pPr>
        <w:pStyle w:val="26"/>
      </w:pPr>
      <w:r>
        <w:t>绩效目标：认真践行以人民为中心的发展思想，就业、教育、医疗、养老、低保等普惠性、基础性、兜底性民生保障水平持续提高，推动</w:t>
      </w:r>
      <w:r>
        <w:rPr>
          <w:rFonts w:hint="eastAsia"/>
          <w:lang w:eastAsia="zh-CN"/>
        </w:rPr>
        <w:t>巩固拓展脱贫攻坚成果同乡村振兴有效衔接</w:t>
      </w:r>
      <w:r>
        <w:t>，财政支持生态环境治理取得积极成效，支持民心工程保障有力。</w:t>
      </w:r>
    </w:p>
    <w:p>
      <w:pPr>
        <w:pStyle w:val="26"/>
      </w:pPr>
      <w:r>
        <w:t>绩效指标：全省民生支出占比保持在80%以上，保障20项民心工程实施，稳定和扩大就业，确保财政教育支出、生均教育支出“两个只增不减”；国家提标政策全面落实，及时出台贯彻国家应对人口老龄化和三孩生育政策配套支持措施，做好困难群众、退役军人等重点人群保障工作；健全推动巩固拓展脱贫攻坚成果和乡村振兴有效衔接机制，重点探索支持一批农业现代化示范区建设，实施红色美丽乡村建设试点，集中支持打造一批水平较高、宜居宜业的美丽乡村；继续加大生态环保投入，出台落实碳达峰、碳中和省级层面实施意见，加快推进中央试点项目，推动市县健全完善清洁取暖可持续机制，支持全省生态环境持续优化。</w:t>
      </w:r>
    </w:p>
    <w:p>
      <w:pPr>
        <w:pStyle w:val="26"/>
        <w:rPr>
          <w:lang w:eastAsia="zh-CN"/>
        </w:rPr>
      </w:pPr>
      <w:r>
        <w:rPr>
          <w:rFonts w:hint="eastAsia"/>
          <w:lang w:eastAsia="zh-CN"/>
        </w:rPr>
        <w:t>4、</w:t>
      </w:r>
      <w:r>
        <w:t>全省财政运行进一步健康平稳</w:t>
      </w:r>
    </w:p>
    <w:p>
      <w:pPr>
        <w:pStyle w:val="26"/>
      </w:pPr>
      <w:r>
        <w:t>绩效目标：政府债务保持合理规模，债务风险水平总体平稳可控；加大财力下沉力度，市县财政运行平稳。</w:t>
      </w:r>
    </w:p>
    <w:p>
      <w:pPr>
        <w:pStyle w:val="26"/>
      </w:pPr>
      <w:r>
        <w:t>绩效指标：政府债务不发生违约事件，全年不发生政府债券还本付息风险事件，债券发行在规定时间内完成；坚持“三保”支出在财政支出中的优先地位，建立完善财力保障、预算审查、动态监控、库款调度、应急处置等机制，确保基层运转平稳、公教人员工资及时足额发放。</w:t>
      </w:r>
    </w:p>
    <w:p>
      <w:pPr>
        <w:pStyle w:val="26"/>
        <w:rPr>
          <w:lang w:eastAsia="zh-CN"/>
        </w:rPr>
      </w:pPr>
      <w:r>
        <w:rPr>
          <w:rFonts w:hint="eastAsia"/>
          <w:lang w:eastAsia="zh-CN"/>
        </w:rPr>
        <w:t>5、</w:t>
      </w:r>
      <w:r>
        <w:t>地方现代财政制度进一步健全</w:t>
      </w:r>
    </w:p>
    <w:p>
      <w:pPr>
        <w:pStyle w:val="26"/>
      </w:pPr>
      <w:r>
        <w:t>绩效目标：预算绩效管理提质增效；省以下财政事权与支出责任划分改革深入推进；政府财务报告制度管理持续深化；做好消费税中条件成熟品目改革衔接等工作，按照中央部署落地落实；国有金融资本管理、国有资产报告制度、政府购买服务、政府采购制度改革持续深化。</w:t>
      </w:r>
    </w:p>
    <w:p>
      <w:pPr>
        <w:pStyle w:val="26"/>
      </w:pPr>
      <w:r>
        <w:t>绩效指标：预算绩效管理制度体系和绩效指标体系进一步完善；按照中央改革部署，完成相关领域省以下财政事权与支出责任划分改革；按时完成全省政府财务报告编制；推动高档手表、贵重首饰和珠宝玉石等条件成熟品目改革衔接转换工作，探索健全完善我省地方税体系；督促国有金融资本出资人职责划转市县改革落地，助推2022年实现剥离国有企业办社会职能解决历史遗留问题全面收官，探索开展部分国有资本充实社保基金划入股权收益增值运作；积极推进《财政总会计制度》改革工作试点，进一步发挥财政总会计职能作用。</w:t>
      </w:r>
    </w:p>
    <w:p>
      <w:pPr>
        <w:pStyle w:val="26"/>
        <w:rPr>
          <w:lang w:eastAsia="zh-CN"/>
        </w:rPr>
      </w:pPr>
      <w:r>
        <w:rPr>
          <w:rFonts w:hint="eastAsia"/>
          <w:lang w:eastAsia="zh-CN"/>
        </w:rPr>
        <w:t>6、</w:t>
      </w:r>
      <w:r>
        <w:t>财政财务管理工作进一步规范</w:t>
      </w:r>
    </w:p>
    <w:p>
      <w:pPr>
        <w:pStyle w:val="26"/>
      </w:pPr>
      <w:r>
        <w:t>绩效目标：预算编制更加细化实化，财政预决算公开内容完备、时间及时、科学规范，资金分配使用更加高效透明；财政资金支出机制得到健全，资金支出更加及时高效、均衡有序，效益进一步发挥；财政监督更加有力，绩效评价工作质量进一步提高；加大高端会计人才培养力度，强化会计资格考试考务工作管理，加强注册会计师和资产评估等行业管理，科学理财依法理财能力得到提高。</w:t>
      </w:r>
    </w:p>
    <w:p>
      <w:pPr>
        <w:pStyle w:val="26"/>
      </w:pPr>
      <w:r>
        <w:t>绩效指标：加强预算执行动态监控，进一步提高预决算公开水平，加快实现单位决算公开省市县三级全覆盖；完善制度、健全机制、硬化举措，充分发挥财会监督作用，加强与审计、纪检、巡视、督查等有效衔接，推动各级各部门严管快用，确保财政资金安全；做好绩效评价工作，探索实施部门整体支出绩效评价，强化评价结果公开。</w:t>
      </w:r>
    </w:p>
    <w:p>
      <w:pPr>
        <w:spacing w:line="500" w:lineRule="exact"/>
        <w:ind w:firstLine="560"/>
      </w:pPr>
      <w:r>
        <w:rPr>
          <w:rFonts w:eastAsia="方正仿宋_GBK"/>
          <w:color w:val="000000"/>
          <w:sz w:val="28"/>
        </w:rPr>
        <w:t>（三）工作保障措施</w:t>
      </w:r>
    </w:p>
    <w:p>
      <w:pPr>
        <w:pStyle w:val="27"/>
        <w:rPr>
          <w:lang w:eastAsia="zh-CN"/>
        </w:rPr>
      </w:pPr>
      <w:r>
        <w:rPr>
          <w:rFonts w:hint="eastAsia"/>
          <w:lang w:eastAsia="zh-CN"/>
        </w:rPr>
        <w:t>1、</w:t>
      </w:r>
      <w:r>
        <w:t>加强组织领导。建立健全财政厅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pStyle w:val="27"/>
        <w:rPr>
          <w:lang w:eastAsia="zh-CN"/>
        </w:rPr>
      </w:pPr>
      <w:r>
        <w:rPr>
          <w:rFonts w:hint="eastAsia"/>
          <w:lang w:eastAsia="zh-CN"/>
        </w:rPr>
        <w:t>2、</w:t>
      </w:r>
      <w:r>
        <w:t>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pStyle w:val="27"/>
        <w:rPr>
          <w:lang w:eastAsia="zh-CN"/>
        </w:rPr>
      </w:pPr>
      <w:r>
        <w:rPr>
          <w:rFonts w:hint="eastAsia"/>
          <w:lang w:eastAsia="zh-CN"/>
        </w:rPr>
        <w:t>3、</w:t>
      </w:r>
      <w:r>
        <w:t>强化预算执行。强化财政预算执行的刚性约束，及时启动项目和支付资金，加快履行政府采购程序，优化部门预算支出结构，创新财政资金支出思路，合理改进支出方式，做到按照时间节点完成支出任务。进一步加快转移支付资金下达进度，督促有关单位加快执行进度。规范财政资金使用和管理，强化内部控制制度建设，更好地发挥财政资金的使用效益。</w:t>
      </w:r>
    </w:p>
    <w:p>
      <w:pPr>
        <w:pStyle w:val="27"/>
        <w:rPr>
          <w:lang w:eastAsia="zh-CN"/>
        </w:rPr>
      </w:pPr>
      <w:r>
        <w:rPr>
          <w:rFonts w:hint="eastAsia"/>
          <w:lang w:eastAsia="zh-CN"/>
        </w:rPr>
        <w:t>4、</w:t>
      </w:r>
      <w:r>
        <w:t>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7"/>
        <w:rPr>
          <w:lang w:eastAsia="zh-CN"/>
        </w:rPr>
      </w:pPr>
      <w:r>
        <w:rPr>
          <w:rFonts w:hint="eastAsia"/>
          <w:lang w:eastAsia="zh-CN"/>
        </w:rPr>
        <w:t>5、</w:t>
      </w:r>
      <w:r>
        <w:t>用好行政绩效。依托行政绩效管理系统，按照预算绩效目标和绩效指标，对专项资金管理设定明确的内部绩效管理目标指标，明确责任分工，细化支出节点，量化评价标准，强化过程监控，切实提高财政资金使用效益。同时，建设覆盖全面、高度集成的业务管理系统，全程管理、协作高效的行政管理系统，并完善预算绩效编制管理、预算执行管理、财政风险防控管理等系统，着力提升技术引领、支撑和保障作用。</w:t>
      </w:r>
    </w:p>
    <w:p>
      <w:pPr>
        <w:ind w:firstLine="560"/>
      </w:pPr>
      <w:r>
        <w:rPr>
          <w:rFonts w:ascii="方正仿宋_GBK" w:hAnsi="方正仿宋_GBK" w:eastAsia="方正仿宋_GBK" w:cs="方正仿宋_GBK"/>
          <w:b/>
          <w:color w:val="000000"/>
          <w:sz w:val="28"/>
        </w:rPr>
        <w:t>1、报刊款绩效目标表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1.报刊款</w:t>
            </w:r>
            <w:r>
              <w:tab/>
            </w:r>
            <w:r>
              <w:tab/>
            </w:r>
          </w:p>
          <w:p>
            <w:pPr>
              <w:pStyle w:val="16"/>
            </w:pPr>
            <w:r>
              <w:t>2.报刊款</w:t>
            </w:r>
            <w:r>
              <w:tab/>
            </w:r>
            <w:r>
              <w:tab/>
            </w:r>
          </w:p>
          <w:p>
            <w:pPr>
              <w:pStyle w:val="16"/>
            </w:pPr>
            <w:r>
              <w:t>3.报刊款</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2、常委会会议费用绩效目标表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1.常委会会议费</w:t>
            </w:r>
          </w:p>
          <w:p>
            <w:pPr>
              <w:pStyle w:val="16"/>
            </w:pPr>
            <w:r>
              <w:t>2.常委会会议费</w:t>
            </w:r>
          </w:p>
          <w:p>
            <w:pPr>
              <w:pStyle w:val="16"/>
            </w:pPr>
            <w:r>
              <w:t>3.常委会会议费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3、临时工工资及养老保险绩效目标表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1.临时工工资及养老保险</w:t>
            </w:r>
            <w:r>
              <w:tab/>
            </w:r>
          </w:p>
          <w:p>
            <w:pPr>
              <w:pStyle w:val="16"/>
            </w:pPr>
            <w:r>
              <w:t>2.临时工工资及养老保险</w:t>
            </w:r>
            <w:r>
              <w:tab/>
            </w:r>
          </w:p>
          <w:p>
            <w:pPr>
              <w:pStyle w:val="16"/>
            </w:pPr>
            <w:r>
              <w:t>3.临时工工资及养老保险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4、人大办公大院公厕清洁员劳务费绩效目标表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1.人大办公大院公厕清洁员劳务费</w:t>
            </w:r>
            <w:r>
              <w:tab/>
            </w:r>
          </w:p>
          <w:p>
            <w:pPr>
              <w:pStyle w:val="16"/>
            </w:pPr>
            <w:r>
              <w:t>2.人大办公大院公厕清洁员劳务费</w:t>
            </w:r>
            <w:r>
              <w:tab/>
            </w:r>
          </w:p>
          <w:p>
            <w:pPr>
              <w:pStyle w:val="16"/>
            </w:pPr>
            <w:r>
              <w:t>3.人大办公大院公厕清洁员劳务费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1.代表活动经费</w:t>
            </w:r>
          </w:p>
          <w:p>
            <w:pPr>
              <w:pStyle w:val="16"/>
            </w:pPr>
            <w:r>
              <w:t>2.代表活动经费</w:t>
            </w:r>
          </w:p>
          <w:p>
            <w:pPr>
              <w:pStyle w:val="16"/>
            </w:pPr>
            <w:r>
              <w:t>3.代表活动经费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6、人大代表联络站建设经费绩效目标表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1.代表联络站建设费用</w:t>
            </w:r>
          </w:p>
          <w:p>
            <w:pPr>
              <w:pStyle w:val="16"/>
            </w:pPr>
            <w:r>
              <w:t>2.代表联络站建设费用</w:t>
            </w:r>
          </w:p>
          <w:p>
            <w:pPr>
              <w:pStyle w:val="16"/>
            </w:pPr>
            <w:r>
              <w:t>3.代表联络站建设费用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7、人大代表培训绩效目标表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1.人大代表培训</w:t>
            </w:r>
            <w:r>
              <w:tab/>
            </w:r>
          </w:p>
          <w:p>
            <w:pPr>
              <w:pStyle w:val="16"/>
            </w:pPr>
            <w:r>
              <w:t>2.人大代表培训</w:t>
            </w:r>
            <w:r>
              <w:tab/>
            </w:r>
          </w:p>
          <w:p>
            <w:pPr>
              <w:pStyle w:val="16"/>
            </w:pPr>
            <w:r>
              <w:t>3.人大代表培训</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8、人大代表委员调研视察经费绩效目标表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1.代表视察调研</w:t>
            </w:r>
          </w:p>
          <w:p>
            <w:pPr>
              <w:pStyle w:val="16"/>
            </w:pPr>
            <w:r>
              <w:t>2.代表视察调研</w:t>
            </w:r>
          </w:p>
          <w:p>
            <w:pPr>
              <w:pStyle w:val="16"/>
            </w:pPr>
            <w:r>
              <w:t>3.代表视察调研</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9、人大换届经费绩效目标表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1.人大换届经费</w:t>
            </w:r>
          </w:p>
          <w:p>
            <w:pPr>
              <w:pStyle w:val="16"/>
            </w:pPr>
            <w:r>
              <w:t>2.人大换届经费</w:t>
            </w:r>
          </w:p>
          <w:p>
            <w:pPr>
              <w:pStyle w:val="16"/>
            </w:pPr>
            <w:r>
              <w:t>3.人大换届经费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10、人大两节慰问费绩效目标表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1.两节慰问费</w:t>
            </w:r>
          </w:p>
          <w:p>
            <w:pPr>
              <w:pStyle w:val="16"/>
            </w:pPr>
            <w:r>
              <w:t>2.两节慰问费</w:t>
            </w:r>
          </w:p>
          <w:p>
            <w:pPr>
              <w:pStyle w:val="16"/>
            </w:pPr>
            <w:r>
              <w:t>3.两节慰问费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11、人大志编撰、刊印费用绩效目标表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1.人大志编撰</w:t>
            </w:r>
          </w:p>
          <w:p>
            <w:pPr>
              <w:pStyle w:val="16"/>
            </w:pPr>
            <w:r>
              <w:t>2.人大志编撰</w:t>
            </w:r>
          </w:p>
          <w:p>
            <w:pPr>
              <w:pStyle w:val="16"/>
            </w:pPr>
            <w:r>
              <w:t>3.人大志编撰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12、人代会十七届二次会议费用绩效目标表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1.人代会十七届二次会议费用</w:t>
            </w:r>
          </w:p>
          <w:p>
            <w:pPr>
              <w:pStyle w:val="16"/>
            </w:pPr>
            <w:r>
              <w:t>2.人代会十七届二次会议费用</w:t>
            </w:r>
          </w:p>
          <w:p>
            <w:pPr>
              <w:pStyle w:val="16"/>
            </w:pPr>
            <w:r>
              <w:t>3.人代会十七届二次会议费用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13、十七届一次会议费用绩效目标表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1.十七届一次会议费用</w:t>
            </w:r>
          </w:p>
          <w:p>
            <w:pPr>
              <w:pStyle w:val="16"/>
            </w:pPr>
            <w:r>
              <w:t>2.十七届一次会议费用</w:t>
            </w:r>
          </w:p>
          <w:p>
            <w:pPr>
              <w:pStyle w:val="16"/>
            </w:pPr>
            <w:r>
              <w:t>3.十七届一次会议费用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lang w:eastAsia="zh-CN"/>
        </w:rPr>
        <w:t>市人民代表大会</w:t>
      </w:r>
      <w:r>
        <w:rPr>
          <w:rFonts w:ascii="方正仿宋_GBK" w:hAnsi="方正仿宋_GBK" w:eastAsia="方正仿宋_GBK" w:cs="方正仿宋_GBK"/>
          <w:b/>
          <w:color w:val="000000"/>
          <w:sz w:val="28"/>
        </w:rPr>
        <w:t>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w:t>
            </w:r>
            <w:r>
              <w:rPr>
                <w:rFonts w:hint="eastAsia"/>
                <w:lang w:eastAsia="zh-CN"/>
              </w:rPr>
              <w:t>市人民代表大会</w:t>
            </w:r>
            <w:r>
              <w:t>专项</w:t>
            </w:r>
            <w:r>
              <w:tab/>
            </w:r>
          </w:p>
          <w:p>
            <w:pPr>
              <w:pStyle w:val="16"/>
            </w:pPr>
            <w:r>
              <w:t>2.</w:t>
            </w:r>
            <w:r>
              <w:rPr>
                <w:rFonts w:hint="eastAsia"/>
                <w:lang w:eastAsia="zh-CN"/>
              </w:rPr>
              <w:t>市人民代表大会</w:t>
            </w:r>
            <w:r>
              <w:t>专项</w:t>
            </w:r>
            <w:r>
              <w:tab/>
            </w:r>
          </w:p>
          <w:p>
            <w:pPr>
              <w:pStyle w:val="16"/>
            </w:pPr>
            <w:r>
              <w:t>3.</w:t>
            </w:r>
            <w:r>
              <w:rPr>
                <w:rFonts w:hint="eastAsia"/>
                <w:lang w:eastAsia="zh-CN"/>
              </w:rPr>
              <w:t>市人民代表大会</w:t>
            </w:r>
            <w:r>
              <w:t>专项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≥90公用经费使用次数</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≥90资金到位率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公用经费拨付使用率</w:t>
            </w:r>
          </w:p>
        </w:tc>
        <w:tc>
          <w:tcPr>
            <w:tcW w:w="2835" w:type="dxa"/>
            <w:vAlign w:val="center"/>
          </w:tcPr>
          <w:p>
            <w:pPr>
              <w:pStyle w:val="16"/>
            </w:pPr>
            <w:r>
              <w:t>公用经费拨付使用率</w:t>
            </w:r>
          </w:p>
        </w:tc>
        <w:tc>
          <w:tcPr>
            <w:tcW w:w="2551" w:type="dxa"/>
            <w:vAlign w:val="center"/>
          </w:tcPr>
          <w:p>
            <w:pPr>
              <w:pStyle w:val="16"/>
            </w:pPr>
            <w:r>
              <w:t>≥90资金发放准时率</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≥90资金成本</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公用经费使用次数</w:t>
            </w:r>
          </w:p>
        </w:tc>
        <w:tc>
          <w:tcPr>
            <w:tcW w:w="2835" w:type="dxa"/>
            <w:vAlign w:val="center"/>
          </w:tcPr>
          <w:p>
            <w:pPr>
              <w:pStyle w:val="16"/>
            </w:pPr>
            <w:r>
              <w:t>公用经费使用次数</w:t>
            </w:r>
          </w:p>
        </w:tc>
        <w:tc>
          <w:tcPr>
            <w:tcW w:w="2551" w:type="dxa"/>
            <w:vAlign w:val="center"/>
          </w:tcPr>
          <w:p>
            <w:pPr>
              <w:pStyle w:val="16"/>
            </w:pPr>
            <w:r>
              <w:t>≥90人员生活水平保持稳定</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提升人员职业技能水平</w:t>
            </w:r>
          </w:p>
        </w:tc>
        <w:tc>
          <w:tcPr>
            <w:tcW w:w="2835" w:type="dxa"/>
            <w:vAlign w:val="center"/>
          </w:tcPr>
          <w:p>
            <w:pPr>
              <w:pStyle w:val="16"/>
            </w:pPr>
            <w:r>
              <w:t>提升人员职业技能水平</w:t>
            </w:r>
          </w:p>
        </w:tc>
        <w:tc>
          <w:tcPr>
            <w:tcW w:w="2551" w:type="dxa"/>
            <w:vAlign w:val="center"/>
          </w:tcPr>
          <w:p>
            <w:pPr>
              <w:pStyle w:val="16"/>
            </w:pPr>
            <w:r>
              <w:t>≥90提升人员职业技能水平</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≥90促进地区生态和谐发展情况</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创造性转化，创新性发展</w:t>
            </w:r>
          </w:p>
        </w:tc>
        <w:tc>
          <w:tcPr>
            <w:tcW w:w="2835" w:type="dxa"/>
            <w:vAlign w:val="center"/>
          </w:tcPr>
          <w:p>
            <w:pPr>
              <w:pStyle w:val="16"/>
            </w:pPr>
            <w:r>
              <w:t>创造性转化，创新性发展</w:t>
            </w:r>
          </w:p>
        </w:tc>
        <w:tc>
          <w:tcPr>
            <w:tcW w:w="2551" w:type="dxa"/>
            <w:vAlign w:val="center"/>
          </w:tcPr>
          <w:p>
            <w:pPr>
              <w:pStyle w:val="16"/>
            </w:pPr>
            <w:r>
              <w:t>≥90创造性转化，创新性发展</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≥90服务满意度</w:t>
            </w:r>
          </w:p>
        </w:tc>
        <w:tc>
          <w:tcPr>
            <w:tcW w:w="2268" w:type="dxa"/>
            <w:vAlign w:val="center"/>
          </w:tcPr>
          <w:p>
            <w:pPr>
              <w:pStyle w:val="16"/>
            </w:pPr>
            <w:r>
              <w:t>依照年出工作安排预算安排</w:t>
            </w:r>
          </w:p>
        </w:tc>
      </w:tr>
    </w:tbl>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第二部分  专项资金绩效目标</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eastAsia="方正仿宋_GBK"/>
          <w:color w:val="000000"/>
          <w:sz w:val="28"/>
          <w:lang w:val="uk-UA"/>
        </w:rPr>
      </w:pPr>
      <w:r>
        <w:rPr>
          <w:rFonts w:eastAsia="方正仿宋_GBK"/>
          <w:color w:val="000000"/>
          <w:sz w:val="28"/>
        </w:rPr>
        <w:t>2022年，涞源县人民代表大会常务委员会办公室</w:t>
      </w:r>
      <w:r>
        <w:rPr>
          <w:rFonts w:hint="eastAsia" w:eastAsia="方正仿宋_GBK"/>
          <w:color w:val="000000"/>
          <w:sz w:val="28"/>
          <w:lang w:eastAsia="zh-CN"/>
        </w:rPr>
        <w:t>无</w:t>
      </w:r>
      <w:r>
        <w:rPr>
          <w:rFonts w:eastAsia="方正仿宋_GBK"/>
          <w:color w:val="000000"/>
          <w:sz w:val="28"/>
        </w:rPr>
        <w:t>政府采购预算。</w:t>
      </w:r>
      <w:r>
        <w:rPr>
          <w:rFonts w:hint="eastAsia" w:eastAsia="方正仿宋_GBK"/>
          <w:color w:val="000000"/>
          <w:sz w:val="28"/>
        </w:rPr>
        <w:t>空表列示</w:t>
      </w:r>
      <w:r>
        <w:rPr>
          <w:rFonts w:hint="eastAsia" w:asciiTheme="minorEastAsia" w:hAnsiTheme="minorEastAsia" w:eastAsiaTheme="minorEastAsia"/>
          <w:color w:val="000000"/>
          <w:sz w:val="28"/>
          <w:lang w:eastAsia="zh-CN"/>
        </w:rPr>
        <w:t>。</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101涞源县人民代表大会常务委员会办公室本级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涞源县人民代表大会常务委员会办公室（含所属单位）上年末固定资产金额为</w:t>
      </w:r>
      <w:r>
        <w:rPr>
          <w:rFonts w:hint="eastAsia" w:eastAsia="方正仿宋_GBK"/>
          <w:color w:val="000000"/>
          <w:sz w:val="28"/>
          <w:lang w:eastAsia="zh-CN"/>
        </w:rPr>
        <w:t>146.51</w:t>
      </w:r>
      <w:r>
        <w:rPr>
          <w:rFonts w:eastAsia="方正仿宋_GBK"/>
          <w:color w:val="000000"/>
          <w:sz w:val="28"/>
        </w:rPr>
        <w:t>万元（详见下表）。本年度</w:t>
      </w:r>
      <w:r>
        <w:rPr>
          <w:rFonts w:hint="eastAsia" w:asciiTheme="minorEastAsia" w:hAnsiTheme="minorEastAsia" w:eastAsiaTheme="minorEastAsia"/>
          <w:color w:val="000000"/>
          <w:sz w:val="28"/>
          <w:lang w:eastAsia="zh-CN"/>
        </w:rPr>
        <w:t>无</w:t>
      </w:r>
      <w:r>
        <w:rPr>
          <w:rFonts w:eastAsia="方正仿宋_GBK"/>
          <w:color w:val="000000"/>
          <w:sz w:val="28"/>
        </w:rPr>
        <w:t>拟购置固定资产。</w:t>
      </w: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318涞源县人民代表大会常务委员会办公室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4</w:t>
            </w:r>
          </w:p>
        </w:tc>
        <w:tc>
          <w:tcPr>
            <w:tcW w:w="2835" w:type="dxa"/>
            <w:vAlign w:val="center"/>
          </w:tcPr>
          <w:p>
            <w:pPr>
              <w:pStyle w:val="15"/>
              <w:rPr>
                <w:lang w:eastAsia="zh-CN"/>
              </w:rPr>
            </w:pPr>
            <w:r>
              <w:rPr>
                <w:rFonts w:hint="eastAsia"/>
                <w:lang w:eastAsia="zh-CN"/>
              </w:rPr>
              <w:t>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80.21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3NGFiNmMwYTY4NTM3MTE0ZDQ3MTdhZjZjMzgzMGYifQ=="/>
  </w:docVars>
  <w:rsids>
    <w:rsidRoot w:val="00BB3BBC"/>
    <w:rsid w:val="000171DA"/>
    <w:rsid w:val="00060805"/>
    <w:rsid w:val="00093291"/>
    <w:rsid w:val="000A1D33"/>
    <w:rsid w:val="000B38CA"/>
    <w:rsid w:val="00105CC8"/>
    <w:rsid w:val="00123CEC"/>
    <w:rsid w:val="001263C6"/>
    <w:rsid w:val="0013151E"/>
    <w:rsid w:val="0015442F"/>
    <w:rsid w:val="001B1F4F"/>
    <w:rsid w:val="001C3D5C"/>
    <w:rsid w:val="001E7527"/>
    <w:rsid w:val="002170A0"/>
    <w:rsid w:val="003478F2"/>
    <w:rsid w:val="003C355A"/>
    <w:rsid w:val="003E0B8A"/>
    <w:rsid w:val="003F2778"/>
    <w:rsid w:val="004500E5"/>
    <w:rsid w:val="004F02A7"/>
    <w:rsid w:val="00573ED8"/>
    <w:rsid w:val="005A7E3B"/>
    <w:rsid w:val="005F669C"/>
    <w:rsid w:val="0065072B"/>
    <w:rsid w:val="006A4E09"/>
    <w:rsid w:val="006D4535"/>
    <w:rsid w:val="00702004"/>
    <w:rsid w:val="00722DCB"/>
    <w:rsid w:val="00744606"/>
    <w:rsid w:val="007D0569"/>
    <w:rsid w:val="008537D2"/>
    <w:rsid w:val="00866985"/>
    <w:rsid w:val="00910A80"/>
    <w:rsid w:val="00924B29"/>
    <w:rsid w:val="00956851"/>
    <w:rsid w:val="00A04BBB"/>
    <w:rsid w:val="00A9017F"/>
    <w:rsid w:val="00A97111"/>
    <w:rsid w:val="00AA73BB"/>
    <w:rsid w:val="00B0057F"/>
    <w:rsid w:val="00BB3BBC"/>
    <w:rsid w:val="00BF3B18"/>
    <w:rsid w:val="00C309C2"/>
    <w:rsid w:val="00C50A3D"/>
    <w:rsid w:val="00C553F8"/>
    <w:rsid w:val="00CB039B"/>
    <w:rsid w:val="00CD6578"/>
    <w:rsid w:val="00CE7E3F"/>
    <w:rsid w:val="00CF7B32"/>
    <w:rsid w:val="00D0667A"/>
    <w:rsid w:val="00D40AC8"/>
    <w:rsid w:val="00D931DB"/>
    <w:rsid w:val="00E5312D"/>
    <w:rsid w:val="00E77EFD"/>
    <w:rsid w:val="00ED6E27"/>
    <w:rsid w:val="00EE0592"/>
    <w:rsid w:val="00EE41C5"/>
    <w:rsid w:val="00EF1B82"/>
    <w:rsid w:val="00EF55F6"/>
    <w:rsid w:val="00F1247F"/>
    <w:rsid w:val="00F23EFD"/>
    <w:rsid w:val="106075E4"/>
    <w:rsid w:val="29B017CF"/>
    <w:rsid w:val="2C853E52"/>
    <w:rsid w:val="7D68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字符"/>
    <w:basedOn w:val="10"/>
    <w:link w:val="4"/>
    <w:uiPriority w:val="99"/>
    <w:rPr>
      <w:rFonts w:ascii="Times New Roman" w:hAnsi="Times New Roman" w:eastAsia="Times New Roman" w:cs="Times New Roman"/>
      <w:kern w:val="0"/>
      <w:sz w:val="18"/>
      <w:szCs w:val="18"/>
      <w:lang w:eastAsia="uk-UA"/>
    </w:rPr>
  </w:style>
  <w:style w:type="character" w:customStyle="1" w:styleId="38">
    <w:name w:val="页脚 字符"/>
    <w:basedOn w:val="10"/>
    <w:link w:val="3"/>
    <w:uiPriority w:val="99"/>
    <w:rPr>
      <w:rFonts w:ascii="Times New Roman" w:hAnsi="Times New Roman" w:eastAsia="Times New Roman" w:cs="Times New Roman"/>
      <w:kern w:val="0"/>
      <w:sz w:val="18"/>
      <w:szCs w:val="18"/>
      <w:lang w:eastAsia="uk-UA"/>
    </w:rPr>
  </w:style>
  <w:style w:type="paragraph" w:customStyle="1" w:styleId="39">
    <w:name w:val="目录 21"/>
    <w:basedOn w:val="1"/>
    <w:qFormat/>
    <w:uiPriority w:val="0"/>
    <w:pPr>
      <w:ind w:left="240"/>
    </w:pPr>
  </w:style>
  <w:style w:type="paragraph" w:customStyle="1" w:styleId="40">
    <w:name w:val="目录 31"/>
    <w:basedOn w:val="1"/>
    <w:qFormat/>
    <w:uiPriority w:val="0"/>
    <w:pPr>
      <w:ind w:left="480"/>
    </w:pPr>
  </w:style>
  <w:style w:type="paragraph" w:customStyle="1" w:styleId="41">
    <w:name w:val="目录 41"/>
    <w:basedOn w:val="1"/>
    <w:qFormat/>
    <w:uiPriority w:val="0"/>
    <w:pPr>
      <w:ind w:left="720"/>
    </w:pPr>
  </w:style>
  <w:style w:type="paragraph" w:customStyle="1" w:styleId="42">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3447</Words>
  <Characters>19649</Characters>
  <Lines>163</Lines>
  <Paragraphs>46</Paragraphs>
  <TotalTime>139</TotalTime>
  <ScaleCrop>false</ScaleCrop>
  <LinksUpToDate>false</LinksUpToDate>
  <CharactersWithSpaces>23050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餘誌偉</cp:lastModifiedBy>
  <dcterms:modified xsi:type="dcterms:W3CDTF">2024-07-24T08:57:08Z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34BD444A62D4403684085E9123ABD9C3_12</vt:lpwstr>
  </property>
</Properties>
</file>