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/>
          <w:b/>
          <w:sz w:val="44"/>
          <w:szCs w:val="44"/>
        </w:rPr>
        <w:t>涞源县交通运输局</w:t>
      </w:r>
    </w:p>
    <w:p>
      <w:pPr>
        <w:jc w:val="center"/>
      </w:pPr>
      <w:r>
        <w:rPr>
          <w:rFonts w:ascii="宋体" w:hAnsi="宋体"/>
          <w:b/>
          <w:sz w:val="44"/>
          <w:szCs w:val="44"/>
        </w:rPr>
        <w:t>2016年度部门预算公开</w:t>
      </w:r>
      <w:r>
        <w:rPr>
          <w:rFonts w:ascii="方正楷体_GBK"/>
          <w:b/>
          <w:sz w:val="52"/>
        </w:rPr>
        <w:t xml:space="preserve">                                          </w:t>
      </w:r>
    </w:p>
    <w:p>
      <w:pPr>
        <w:jc w:val="center"/>
      </w:pPr>
      <w:r>
        <w:rPr>
          <w:rFonts w:ascii="宋体" w:hAnsi="宋体"/>
        </w:rPr>
        <w:t xml:space="preserve"> </w:t>
      </w:r>
    </w:p>
    <w:p>
      <w:pPr>
        <w:numPr>
          <w:ilvl w:val="0"/>
          <w:numId w:val="1"/>
        </w:numPr>
        <w:jc w:val="left"/>
      </w:pPr>
      <w:r>
        <w:rPr>
          <w:rFonts w:ascii="方正小标宋_GBK"/>
          <w:sz w:val="32"/>
          <w:szCs w:val="32"/>
        </w:rPr>
        <w:t>本部门职责、机构设置情况</w:t>
      </w:r>
    </w:p>
    <w:p>
      <w:r>
        <w:rPr>
          <w:sz w:val="30"/>
          <w:szCs w:val="30"/>
        </w:rPr>
        <w:t>（一)、部门职责</w:t>
      </w:r>
    </w:p>
    <w:p>
      <w:pPr>
        <w:ind w:firstLine="640"/>
      </w:pPr>
      <w:r>
        <w:rPr>
          <w:sz w:val="30"/>
          <w:szCs w:val="30"/>
        </w:rPr>
        <w:t>1、贯彻国家有关交通行业的方针、政策、法规、并负责监督实施。</w:t>
      </w:r>
    </w:p>
    <w:p>
      <w:r>
        <w:rPr>
          <w:sz w:val="30"/>
          <w:szCs w:val="30"/>
        </w:rPr>
        <w:t xml:space="preserve">    2、拟定全县公路交通行业发展战略及规章制度，提出全县公路交通行业方针、政策、经批准后，负责组织实施协调和监督执行。</w:t>
      </w:r>
    </w:p>
    <w:p>
      <w:r>
        <w:rPr>
          <w:sz w:val="30"/>
          <w:szCs w:val="30"/>
        </w:rPr>
        <w:t xml:space="preserve">    3、组织编制全县公路交通行业发展规划、中长期和年度计划，并监督实施。组织全县重点和中型交通基础设施建设项目的前期工作；并对项目审批提出行业初审意见。负责行业统计管理和信息引导。</w:t>
      </w:r>
    </w:p>
    <w:p>
      <w:r>
        <w:rPr>
          <w:sz w:val="30"/>
          <w:szCs w:val="30"/>
        </w:rPr>
        <w:t xml:space="preserve">    4、管理全县交通基础设施建设市场。</w:t>
      </w:r>
    </w:p>
    <w:p>
      <w:r>
        <w:rPr>
          <w:sz w:val="30"/>
          <w:szCs w:val="30"/>
        </w:rPr>
        <w:t xml:space="preserve">    5、负责全县农村公路路政管理工作。</w:t>
      </w:r>
    </w:p>
    <w:p>
      <w:r>
        <w:rPr>
          <w:sz w:val="30"/>
          <w:szCs w:val="30"/>
        </w:rPr>
        <w:t xml:space="preserve">    6、主管全县道路交通运输市场，指导城市客运。</w:t>
      </w:r>
    </w:p>
    <w:p>
      <w:r>
        <w:rPr>
          <w:sz w:val="30"/>
          <w:szCs w:val="30"/>
        </w:rPr>
        <w:t xml:space="preserve">    7、主管交通系统安全生产监督管理工作。监督和指导局属事业单位的安全、保卫工作。</w:t>
      </w:r>
    </w:p>
    <w:p>
      <w:r>
        <w:rPr>
          <w:sz w:val="30"/>
          <w:szCs w:val="30"/>
        </w:rPr>
        <w:t xml:space="preserve">    8、指导交通行业体制改革、企业改革及其管理工作。</w:t>
      </w:r>
    </w:p>
    <w:p>
      <w:r>
        <w:rPr>
          <w:sz w:val="30"/>
          <w:szCs w:val="30"/>
        </w:rPr>
        <w:t xml:space="preserve">    9、拟定科技发展项目中长期规划和年度计划，组织推广交通行业的技术标准和科技成果。</w:t>
      </w:r>
    </w:p>
    <w:p>
      <w:r>
        <w:rPr>
          <w:sz w:val="30"/>
          <w:szCs w:val="30"/>
        </w:rPr>
        <w:t xml:space="preserve">    10、规划本县交通战备网络布局，拟定和组织交通战备项目建设、物资的储备和调用计划，组织国防交通保障队伍，配合军事部门做好运输运力动员和使用。</w:t>
      </w:r>
    </w:p>
    <w:p>
      <w:r>
        <w:rPr>
          <w:sz w:val="30"/>
          <w:szCs w:val="30"/>
        </w:rPr>
        <w:t xml:space="preserve">    11、指导交通行业精神文明建设和职工队伍建设。</w:t>
      </w:r>
    </w:p>
    <w:p>
      <w:pPr>
        <w:numPr>
          <w:ilvl w:val="0"/>
          <w:numId w:val="2"/>
        </w:numPr>
        <w:ind w:firstLine="640"/>
      </w:pPr>
      <w:r>
        <w:rPr>
          <w:sz w:val="30"/>
          <w:szCs w:val="30"/>
        </w:rPr>
        <w:t>承办县政府交办的其他事项。</w:t>
      </w:r>
    </w:p>
    <w:p>
      <w:r>
        <w:rPr>
          <w:sz w:val="30"/>
          <w:szCs w:val="30"/>
        </w:rPr>
        <w:t>（二）机构设置</w:t>
      </w:r>
    </w:p>
    <w:p>
      <w:pPr>
        <w:ind w:firstLine="640"/>
      </w:pPr>
      <w:r>
        <w:rPr>
          <w:sz w:val="30"/>
          <w:szCs w:val="30"/>
        </w:rPr>
        <w:t>涞源县交通运输局包括局机关和局属事业单位两部分，局机关共99人，局机关设有办公室、财务股、人事股、党委办、灾后重建办公室、工程管理股、招标办、计统股、法制股、监察室、高速办、安全生产股、综合执法大队、工会、审计股、路政大队共16个股室。</w:t>
      </w:r>
    </w:p>
    <w:p>
      <w:pPr>
        <w:ind w:firstLine="600"/>
      </w:pPr>
      <w:r>
        <w:rPr>
          <w:sz w:val="30"/>
          <w:szCs w:val="30"/>
        </w:rPr>
        <w:t>局属事业单位有九个，共414人，包括：</w:t>
      </w:r>
    </w:p>
    <w:p>
      <w:pPr>
        <w:ind w:firstLine="600"/>
      </w:pPr>
      <w:r>
        <w:rPr>
          <w:sz w:val="30"/>
          <w:szCs w:val="30"/>
        </w:rPr>
        <w:t>出租汽车和城市公交管理站，共16人；</w:t>
      </w:r>
    </w:p>
    <w:p>
      <w:pPr>
        <w:ind w:firstLine="600"/>
      </w:pPr>
      <w:r>
        <w:rPr>
          <w:sz w:val="30"/>
          <w:szCs w:val="30"/>
        </w:rPr>
        <w:t>运输管理站，共56人</w:t>
      </w:r>
    </w:p>
    <w:p>
      <w:pPr>
        <w:ind w:firstLine="600"/>
      </w:pPr>
      <w:r>
        <w:rPr>
          <w:sz w:val="30"/>
          <w:szCs w:val="30"/>
        </w:rPr>
        <w:t>公路养护中心，共40人</w:t>
      </w:r>
    </w:p>
    <w:p>
      <w:pPr>
        <w:ind w:firstLine="600"/>
      </w:pPr>
      <w:r>
        <w:rPr>
          <w:sz w:val="30"/>
          <w:szCs w:val="30"/>
        </w:rPr>
        <w:t>公路管理站， 共43人</w:t>
      </w:r>
    </w:p>
    <w:p>
      <w:pPr>
        <w:ind w:firstLine="600"/>
      </w:pPr>
      <w:r>
        <w:rPr>
          <w:sz w:val="30"/>
          <w:szCs w:val="30"/>
        </w:rPr>
        <w:t>原稽征站，共44人</w:t>
      </w:r>
    </w:p>
    <w:p>
      <w:pPr>
        <w:ind w:firstLine="600"/>
      </w:pPr>
      <w:r>
        <w:rPr>
          <w:sz w:val="30"/>
          <w:szCs w:val="30"/>
        </w:rPr>
        <w:t>原108国道收费站，共171人</w:t>
      </w:r>
    </w:p>
    <w:p>
      <w:pPr>
        <w:ind w:firstLine="600"/>
      </w:pPr>
      <w:r>
        <w:rPr>
          <w:sz w:val="30"/>
          <w:szCs w:val="30"/>
        </w:rPr>
        <w:t>培训基地，共9人</w:t>
      </w:r>
    </w:p>
    <w:p>
      <w:pPr>
        <w:ind w:firstLine="600"/>
      </w:pPr>
      <w:r>
        <w:rPr>
          <w:sz w:val="30"/>
          <w:szCs w:val="30"/>
        </w:rPr>
        <w:t>汽校，共20人</w:t>
      </w:r>
    </w:p>
    <w:p>
      <w:pPr>
        <w:ind w:firstLine="600"/>
      </w:pPr>
      <w:r>
        <w:rPr>
          <w:sz w:val="30"/>
          <w:szCs w:val="30"/>
        </w:rPr>
        <w:t>检测站，共15人</w:t>
      </w:r>
    </w:p>
    <w:p>
      <w:pPr>
        <w:numPr>
          <w:ilvl w:val="0"/>
          <w:numId w:val="1"/>
        </w:numPr>
        <w:jc w:val="left"/>
      </w:pPr>
      <w:r>
        <w:rPr>
          <w:rFonts w:ascii="方正小标宋_GBK"/>
          <w:sz w:val="32"/>
          <w:szCs w:val="32"/>
        </w:rPr>
        <w:t>收支总体情况</w:t>
      </w:r>
    </w:p>
    <w:p>
      <w:pPr>
        <w:ind w:firstLine="600"/>
        <w:jc w:val="left"/>
      </w:pPr>
      <w:r>
        <w:rPr>
          <w:rFonts w:ascii="方正小标宋_GBK"/>
          <w:sz w:val="30"/>
        </w:rPr>
        <w:t>附表3-1部门预算收支总表</w:t>
      </w:r>
    </w:p>
    <w:p>
      <w:pPr>
        <w:ind w:firstLine="600"/>
        <w:jc w:val="left"/>
      </w:pPr>
      <w:r>
        <w:rPr>
          <w:rFonts w:ascii="方正小标宋_GBK"/>
          <w:sz w:val="30"/>
        </w:rPr>
        <w:t>附表3-2部门预算收入总表</w:t>
      </w:r>
    </w:p>
    <w:p>
      <w:pPr>
        <w:ind w:firstLine="600"/>
        <w:jc w:val="left"/>
      </w:pPr>
      <w:r>
        <w:rPr>
          <w:rFonts w:ascii="方正小标宋_GBK"/>
          <w:sz w:val="30"/>
        </w:rPr>
        <w:t>附表3-3部门预算支出总表</w:t>
      </w:r>
    </w:p>
    <w:p>
      <w:pPr>
        <w:numPr>
          <w:ilvl w:val="0"/>
          <w:numId w:val="1"/>
        </w:numPr>
        <w:jc w:val="left"/>
      </w:pPr>
      <w:r>
        <w:rPr>
          <w:rFonts w:ascii="方正小标宋_GBK"/>
          <w:sz w:val="32"/>
          <w:szCs w:val="32"/>
        </w:rPr>
        <w:t>财政拨款收支情况</w:t>
      </w:r>
    </w:p>
    <w:p>
      <w:pPr>
        <w:ind w:firstLine="600"/>
        <w:jc w:val="left"/>
      </w:pPr>
      <w:r>
        <w:rPr>
          <w:rFonts w:ascii="方正小标宋_GBK"/>
          <w:sz w:val="30"/>
        </w:rPr>
        <w:t>附表3-4部门预算财政拨款收支总表</w:t>
      </w:r>
    </w:p>
    <w:p>
      <w:pPr>
        <w:ind w:firstLine="600"/>
        <w:jc w:val="left"/>
      </w:pPr>
      <w:r>
        <w:rPr>
          <w:rFonts w:ascii="方正小标宋_GBK"/>
          <w:sz w:val="30"/>
        </w:rPr>
        <w:t>附表3-5部门预算一般公共预算财政拨款支出表</w:t>
      </w:r>
    </w:p>
    <w:p>
      <w:pPr>
        <w:ind w:firstLine="600"/>
        <w:jc w:val="left"/>
      </w:pPr>
      <w:r>
        <w:rPr>
          <w:rFonts w:ascii="方正小标宋_GBK"/>
          <w:sz w:val="30"/>
        </w:rPr>
        <w:t>附表3-6部门预算一般公共预算财政拨款基本支出表</w:t>
      </w:r>
    </w:p>
    <w:p>
      <w:pPr>
        <w:ind w:firstLine="600"/>
        <w:jc w:val="left"/>
      </w:pPr>
      <w:r>
        <w:rPr>
          <w:rFonts w:ascii="方正小标宋_GBK"/>
          <w:sz w:val="30"/>
        </w:rPr>
        <w:t>附表3-7部门预算政府性基金预算财政拨款支出表</w:t>
      </w:r>
    </w:p>
    <w:p>
      <w:pPr>
        <w:ind w:firstLine="600"/>
        <w:jc w:val="left"/>
      </w:pPr>
      <w:r>
        <w:rPr>
          <w:rFonts w:ascii="方正小标宋_GBK"/>
          <w:sz w:val="30"/>
        </w:rPr>
        <w:t>附表3-8部门预算国有资本经营预算财政拨款支出表</w:t>
      </w:r>
    </w:p>
    <w:p>
      <w:pPr>
        <w:ind w:firstLine="600"/>
        <w:jc w:val="left"/>
      </w:pPr>
      <w:r>
        <w:rPr>
          <w:rFonts w:ascii="方正小标宋_GBK"/>
          <w:sz w:val="30"/>
        </w:rPr>
        <w:t>附表3-9部门预算财政拨款“三公”经费支出表</w:t>
      </w: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ascii="方正小标宋_GBK"/>
          <w:sz w:val="30"/>
        </w:rPr>
        <w:t>四</w:t>
      </w:r>
      <w:r>
        <w:rPr>
          <w:rFonts w:ascii="方正小标宋_GBK"/>
          <w:sz w:val="32"/>
          <w:szCs w:val="32"/>
        </w:rPr>
        <w:t xml:space="preserve">、绩效预算信息 </w:t>
      </w:r>
    </w:p>
    <w:p>
      <w:pPr>
        <w:jc w:val="left"/>
      </w:pPr>
      <w:r>
        <w:rPr>
          <w:rFonts w:ascii="宋体" w:hAnsi="宋体"/>
        </w:rPr>
        <w:t xml:space="preserve"> </w:t>
      </w:r>
    </w:p>
    <w:p>
      <w:pPr>
        <w:jc w:val="left"/>
        <w:rPr>
          <w:rFonts w:ascii="方正仿宋_GBK"/>
          <w:b/>
          <w:sz w:val="28"/>
        </w:rPr>
      </w:pPr>
      <w:r>
        <w:rPr>
          <w:rFonts w:ascii="方正黑体_GBK"/>
          <w:sz w:val="28"/>
        </w:rPr>
        <w:t xml:space="preserve">   </w:t>
      </w:r>
      <w:r>
        <w:rPr>
          <w:rFonts w:ascii="方正黑体_GBK"/>
          <w:b/>
          <w:sz w:val="28"/>
        </w:rPr>
        <w:t>（一）、年度发展规划目标</w:t>
      </w:r>
    </w:p>
    <w:p>
      <w:pPr>
        <w:ind w:firstLine="560"/>
      </w:pPr>
      <w:r>
        <w:rPr>
          <w:rFonts w:ascii="方正仿宋_GBK"/>
          <w:sz w:val="28"/>
        </w:rPr>
        <w:t xml:space="preserve">    加快环城路网建设，完成张石高速涞源南收费站扩建；启动108国道改线、207国道绕城、鼻子岭隧道改造、白银线安保工程等重点项目建设，全力做好荣乌高速、涞曲高速建设保障工作，全力争取太行山沿线县乡干线公路改建项目，完成农村公路建设项目50公里，加快打通涞源发展的“断头路”、“瓶颈路”；做好全系统职工的工资发放、</w:t>
      </w:r>
      <w:bookmarkStart w:id="0" w:name="_GoBack"/>
      <w:bookmarkEnd w:id="0"/>
      <w:r>
        <w:rPr>
          <w:rFonts w:ascii="方正仿宋_GBK"/>
          <w:sz w:val="28"/>
        </w:rPr>
        <w:t>养老保险、住房公积金、职业年金的缴纳工作。</w:t>
      </w:r>
    </w:p>
    <w:p>
      <w:pPr>
        <w:jc w:val="left"/>
      </w:pPr>
      <w:r>
        <w:rPr>
          <w:rFonts w:ascii="方正楷体_GBK"/>
          <w:b/>
          <w:sz w:val="28"/>
        </w:rPr>
        <w:t xml:space="preserve">   （二）、职责分类绩效目标：</w:t>
      </w:r>
    </w:p>
    <w:p>
      <w:pPr>
        <w:jc w:val="left"/>
        <w:rPr>
          <w:rFonts w:ascii="方正仿宋_GBK"/>
          <w:sz w:val="28"/>
        </w:rPr>
      </w:pPr>
      <w:r>
        <w:rPr>
          <w:rFonts w:ascii="方正楷体_GBK"/>
          <w:b/>
          <w:sz w:val="28"/>
        </w:rPr>
        <w:t xml:space="preserve">    </w:t>
      </w:r>
      <w:r>
        <w:rPr>
          <w:rFonts w:ascii="方正仿宋_GBK" w:hAnsi="宋体"/>
          <w:sz w:val="28"/>
        </w:rPr>
        <w:t>1、部门职责分类，绩效目标情况说明</w:t>
      </w:r>
    </w:p>
    <w:p>
      <w:pPr>
        <w:ind w:firstLine="560"/>
      </w:pPr>
      <w:r>
        <w:rPr>
          <w:rFonts w:ascii="方正仿宋_GBK"/>
          <w:sz w:val="28"/>
        </w:rPr>
        <w:t> 组织实施四条旅游路建设，完成投资任务。组织实施农村公路建设、客运站点建设，组织公路养护工作。监督和管理全县公路工程质量和安全生产及行业招标活动，做好建设过程中的协调管理工作，全力做好职工工资发放工作，通过以奖代补等形式对农村公路保养与维护进行资金补助。通过公路各项指标地理信息、数据采集及桥梁隧道检测、交通量调查等方式，适时采集相关数据并及时更新；管理维护数据采集信息系统。对公路建设、养护、运营及路政进行管理，依法行使公路方面行政处罚权。对全县道路旅客运输、货物运输、从业人员、道路运输相关业务进行行业管理、市场监管及安全检查，依法行使道路运输行政许可、行政处罚强制权，监督检查有关道路运输法律法规的执行情况。</w:t>
      </w:r>
    </w:p>
    <w:p>
      <w:pPr>
        <w:jc w:val="left"/>
      </w:pPr>
      <w:r>
        <w:rPr>
          <w:rFonts w:ascii="方正黑体_GBK"/>
          <w:sz w:val="28"/>
        </w:rPr>
        <w:t xml:space="preserve">    2、实现年度发展规划目标的保障措施</w:t>
      </w:r>
    </w:p>
    <w:p>
      <w:pPr>
        <w:ind w:firstLine="560"/>
      </w:pPr>
      <w:r>
        <w:rPr>
          <w:rFonts w:ascii="方正仿宋_GBK"/>
          <w:sz w:val="28"/>
        </w:rPr>
        <w:t>（一）合理编制部门预算，统筹安排，节约使用各项资金，保障交通运输局正常运作的需要；</w:t>
      </w:r>
    </w:p>
    <w:p>
      <w:pPr>
        <w:ind w:firstLine="560"/>
      </w:pPr>
      <w:r>
        <w:rPr>
          <w:rFonts w:ascii="方正仿宋_GBK"/>
          <w:sz w:val="28"/>
        </w:rPr>
        <w:t>（二）定期编制财务报告，如实反映本局的财务收支情况，进行财务活动分析；</w:t>
      </w:r>
    </w:p>
    <w:p>
      <w:pPr>
        <w:ind w:firstLine="560"/>
      </w:pPr>
      <w:r>
        <w:rPr>
          <w:rFonts w:ascii="方正仿宋_GBK"/>
          <w:sz w:val="28"/>
        </w:rPr>
        <w:t>（三）建立、健全内部财务管理制度，对交通部门的财务活动进行指导和监督；</w:t>
      </w:r>
    </w:p>
    <w:p>
      <w:pPr>
        <w:ind w:firstLine="560"/>
      </w:pPr>
      <w:r>
        <w:rPr>
          <w:rFonts w:ascii="方正仿宋_GBK"/>
          <w:sz w:val="28"/>
        </w:rPr>
        <w:t>（四）加强国有资产管理，防止国有资产流失。</w:t>
      </w:r>
    </w:p>
    <w:p>
      <w:pPr>
        <w:ind w:firstLine="560"/>
      </w:pPr>
      <w:r>
        <w:rPr>
          <w:rFonts w:ascii="方正仿宋_GBK"/>
          <w:sz w:val="28"/>
        </w:rPr>
        <w:t>（五）实行国库电子集中收付制度，各项财政资金实行国库电子集中收缴和支付。</w:t>
      </w:r>
    </w:p>
    <w:p>
      <w:pPr>
        <w:jc w:val="left"/>
        <w:sectPr>
          <w:footerReference r:id="rId3" w:type="default"/>
          <w:pgSz w:w="11849" w:h="16781"/>
          <w:pgMar w:top="1531" w:right="1134" w:bottom="1474" w:left="1134" w:header="720" w:footer="720" w:gutter="0"/>
          <w:cols w:space="720" w:num="1"/>
        </w:sectPr>
      </w:pPr>
    </w:p>
    <w:p>
      <w:pPr>
        <w:jc w:val="center"/>
      </w:pPr>
      <w:r>
        <w:rPr>
          <w:rFonts w:ascii="方正小标宋_GBK"/>
          <w:sz w:val="32"/>
        </w:rPr>
        <w:t>部门工作职责-工作活动绩效目标</w:t>
      </w:r>
    </w:p>
    <w:tbl>
      <w:tblPr>
        <w:tblStyle w:val="11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46"/>
        <w:gridCol w:w="764"/>
        <w:gridCol w:w="737"/>
        <w:gridCol w:w="7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93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小标宋_GBK"/>
                <w:sz w:val="24"/>
              </w:rPr>
              <w:t xml:space="preserve">348交通局                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  <w:b/>
              </w:rPr>
              <w:t>优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交通运输基础设施建设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27.00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提出全县交通运输行业固定资产投资规模和方向,按县政府规定权限审批、核准县规划内和年度计划规模内的固定资产投资项目，完成交通基础设施投资；对重点工程建设、工程质量和安全生产进行监管，对招投标活动进行监督管理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高速公路投资总额XX亿元、在建里程XX公里；普通干线公路投资总额XX亿元，在建里程XX公里；农村公路投资总额XX亿元，新增里程XX公里；场站建设投资总额XX亿元，建设项目XX个；物流园区(中心)项目总投资XX亿元,建设项目XX个；农村客运站点总投资XX亿元,建设四级站XX个，五级站XX个，简易站XX个，候车亭XXX个，招呼站牌XX个；新建出租车汽车综合服务区XX个；保障交通基础设施建设项目质量；按时偿还到期公路建设贷款，无贷款违约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　　普通国省干线公路建设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安排补助资金，组织实施各项普通国省干线公路建设，完成投资任务。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完成全年普通干线公路投资 亿元，在建里程达到 公里；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年度普通干线建设工程量完成率90%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95%-100%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85%-95%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70%-85%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年度普通干线公路建设项目投资完成率90%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95%-100%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85%-95%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70%-85%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年度普通干线公路建设项目工程质量合格率95%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85%-99%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70%-85%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　　公路客货运站（场）及城乡客运基础设施建设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组织实施全县汽车客、货运站场新改（扩）建工程（含综合客货运枢纽、等级客运站、简易站、候车亭、招呼牌等）建设。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全年完成农村客运站点总投资 亿元,建设四级站 个，五级站 个，简易站 个，候车亭 个，招呼站牌 个。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年度客货运场站建设工程量完成率95%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90%以上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65%-80%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65%以下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年度客货运场站建设投资完成率95%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90%以上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65%-80%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65%以下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年度客货运场站建设项目工程质量合格率95%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85%-99%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70%-85%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　　交通基础设施建设的协调、监督和管理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监管全县公路、水路市场，对公路、水路重点工程建设、工程质量和安全生产及行业招投标活动进行监督和管理，做好建设过程中的协调管理工作。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公路、水路建设市场运转有序，各项业务顺利开展，工作按时完成。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交通基础设施建设重点项目监督检查率95%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80%-89%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65%-79%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65%以下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　　交通配套设施建设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27.00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其他与县级建设任务紧密相关的交通基础设施建设。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新建出租车汽车综合服务区 个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交通配套设施工程量完成率95%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95%以上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85%-95%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70%-85%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交通配套设施建设投资完成率95%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95%以上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85%-95%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70%-85%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年度交通配套设施项目工程质量合格率95%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合格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不合格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交通运输基础设施养护、维护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514.70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组织交通运输基础设施养护、维护，对招投标活动进行监督管理。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高速公路日常养护XX公里，路基路面大中修XX公里；普通国省干线公路大中修里程XX公里，加固桥梁XXXX延米，治理隐患里程XXXX公里；高速绿色廊道建设XXXX公里，普通国省干线绿化里程XXXX公里，节点面积XXX万平方米；提升普通国省干线日常养护作业效率；对农村公路养护实施“以奖代补”；完善更新公路建设管理养护基础数据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　　县乡公路的日常养护及小修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整理路肩、边坡；疏通边沟；清除路面泥土杂物；处理路面病害、桥涵隧道的日常巡查和养护；标志、标牌的埋置和维护；行道树的修剪刷白；清理零星塌方、填补路基缺口、轻微沉陷翻浆的处理、局部加固路肩；小段开挖边沟、截水沟或分期铺砌边沟；截水沟或分期铺砌边沟；局部处理路面翻浆、变形和路面修补坑槽、沉降、桥头涵洞路车处理；涵洞进出口的铺砌的加固处理；清除隧道口碎落岩石；标志标牌的修理、添置、更换和路面标线的局部补画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完成全年普通干线公路大中修里程 公里,加固桥梁 延米,治理隐患里程 公里,绿化里程 公里，节点面积 万平方米。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公路技术状况指数95%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80-100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70-80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60-70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60以下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年度县乡公路养护工程量完成率95%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95%以上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85%-95%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70%-85%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县乡公路养护投资完成率95%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95%以上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85%-95%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70%-85%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85%-95%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70%-85%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　　农村公路养护以奖代补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514.70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通过以奖代补等形式对农村公路保养与维护进行资金补助，引导带动各地加强农村公路养护。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 xml:space="preserve">恢复、提升农村公路原有技术指标，维护、完善交通工程、安全设施、服务管理等附属设施，保持良好的技术状况. 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年度农村公路养护工程量完成率95%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95%以上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85%-95%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70%-85%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年度农村公路养护投资完成率95%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95%以上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85%-95%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70%-85%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　　公路建设管理养护基础数据采集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通过公路各项指标地理信息、数据采集及桥梁隧道检测、交通量调查等方式，适时采集相关数据并及时更新；管理维护设备及数据采集信息系统。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按时、保质、保量完成数据采集分析，为公路管理提供依据和支持。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公路基础信息数据使用率95%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95%以上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85%-95%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70%-85%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公路基础信息数据更新率95%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95%以上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85%-95%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70%-85%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交通运输管理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40.00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承担全县综合运输体系的规划协调，会同有关部门组织编制全县综合运输体系规划，参与交通运输枢纽规划和管理。指导城乡客运及有关设施规划和管理，对全县公路及其设施的建设和养护进行管理，指导出租汽车行业管理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保障道路通畅，完成运输生产任务，确保安全生产，提高服务保障水平。旅客周转量260亿人公里，公路货物周转量7200亿吨公里；水运客运周转量完成2500万人公里，货物周转量完成1220亿吨公里，港口吞吐量完成9.5亿吨；地方铁路货运周转量完成200亿吨公里；民航发展和管理组织协调顺利开展；交通运输统计、调查业务顺利开展，按时完成2015年全国公路水路统计抽样调查工作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　　公路管理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30.00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对公路建设、养护、运营及路政、治理超限超载进行管理。审批公路建设项目施工图并进行现场管理，审查国省一般干线公路建设的立项、可研，大中修，一般干线公路大中修项目。依法行使公路方面行政处罚权，对全县公路超限治理进行监督管理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提高公路等级水平，缓解繁忙路段交通压力；维护路产路权，治理超限运输，保障通行能力，提高服务水平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超限超载率95%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2.5%以下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2.5%-3%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3%-3.5%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3.5%以上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审批完成率95%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95%-100%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80%-95%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65%-80%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65%以下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安全生产维稳控制目标95%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实现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未实现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　　道路运输管理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对全县道路旅客运输、货物运输、从业人员、道路运输相关业务进行行业管理、市场监管及安全检查，依法行使道路运输行政许可、行政处罚强制权，监督检查有关道路运输法律法规的执行情况，对全县货运源头治超工作进行监督检查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旅客周转量 亿人公里，公路货物周转量 亿吨公里。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安全生产控制目标95%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实现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未实现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超限超载率95%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2.5%以下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2.5%-3%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3%-3.5%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3.5%以上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年营业性客货运周转量目标完成率95%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95%以上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80%-95%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65%-80%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65%以下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　　城市客运管理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10.00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对全县客运（含公共汽电车、出租汽车、汽车租赁）进行行业管理。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客运管理业务顺利开展，按时完成工作。并保障行业安全稳与稳定。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乘客满意率95%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75%-90%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60%-75%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60%以下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安全生产维稳控制目标95%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实现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未实现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　　水路运输管理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管辖水域水上安全进行监管；对相关水上设施检验、船舶设施保安等进行监督管理。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水运客运周转量完成 万人公里，货物周转量完成 亿吨公里，港口吞吐量完成 亿吨。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安全生产控制目标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实现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未实现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船舶受理申请检验办理率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60%-80%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60%以下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基层海事机构督查覆盖面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80%-100%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60-80%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40%-60%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40%以下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　　交通运输统计及调查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开展全县综合交通运输统计专项调查和研究，组织业务培训，统计、分析、评估、检测交通运输有关数据，发布相关信息。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交通运输统计、调查业务顺利开展，按时完成工作，数据科学准确。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工作完成率95%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低于100%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交通政务管理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462.00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负责交通运输综合交通运输体系建设，综合业务管理和综合事物管理。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信息管理系统正常运行，修订公路定额，应急事项处理及时，各项事务运行正常。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　　综合业务管理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28.00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组织拟订全县综合交通运输发展战略和政策；组织起草地方性法规和规章草案，开展行业政策研究，拟定行业标准，指导交通信息化建设，制订全县交通运输行业科技政策、组织科技开发。指导交通运输行业继续教育和中等专业技术教育，开展行业干部教育培训。指导行业体制改革、安全生产和应急管理等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保障各项业务工作畅通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综合业务保障率95%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0.8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0.7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  <w:b/>
              </w:rPr>
              <w:t>　　综合事务管理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434.00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管理交通国有资产，筹措、管理、监督交通建设专项资金，开展基本建设项目绩效监督管理工作和行业内部审计工作，承担国防交通战备工作，指导行业交通公安工作及行业精神文明建设，组织开展宣传工作和行业工会工作；负责行业涉外事宜，开展国际交通运输经济技术合作与交流，保障交通建设后勤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保障机关正常工作高效运转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ascii="方正书宋_GBK"/>
              </w:rPr>
              <w:t>综合事务保障率95%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0.8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0.7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方正书宋_GBK"/>
              </w:rPr>
              <w:t>70%以下</w:t>
            </w: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020" w:right="1361" w:bottom="1020" w:left="1361" w:header="720" w:footer="720" w:gutter="0"/>
          <w:cols w:space="720" w:num="1"/>
        </w:sectPr>
      </w:pPr>
    </w:p>
    <w:p>
      <w:pPr>
        <w:numPr>
          <w:ilvl w:val="0"/>
          <w:numId w:val="3"/>
        </w:numPr>
        <w:jc w:val="left"/>
      </w:pPr>
      <w:r>
        <w:rPr>
          <w:rFonts w:ascii="方正小标宋_GBK"/>
          <w:sz w:val="32"/>
          <w:szCs w:val="32"/>
        </w:rPr>
        <w:t>政府采购预算情况</w:t>
      </w:r>
    </w:p>
    <w:p>
      <w:pPr>
        <w:jc w:val="left"/>
        <w:rPr>
          <w:rFonts w:ascii="方正小标宋_GBK"/>
          <w:sz w:val="32"/>
          <w:szCs w:val="32"/>
        </w:rPr>
      </w:pPr>
      <w:r>
        <w:rPr>
          <w:rFonts w:ascii="方正小标宋_GBK"/>
          <w:sz w:val="32"/>
          <w:szCs w:val="32"/>
        </w:rPr>
        <w:t xml:space="preserve">    </w:t>
      </w:r>
      <w:r>
        <w:rPr>
          <w:rFonts w:ascii="仿宋_GB2312" w:hAnsi="宋体"/>
          <w:sz w:val="32"/>
          <w:szCs w:val="28"/>
        </w:rPr>
        <w:t>2016年度，我单位没有政府采购项目。</w:t>
      </w:r>
    </w:p>
    <w:p>
      <w:pPr>
        <w:numPr>
          <w:ilvl w:val="0"/>
          <w:numId w:val="3"/>
        </w:numPr>
        <w:jc w:val="left"/>
        <w:rPr>
          <w:rFonts w:ascii="楷体" w:hAnsi="楷体"/>
          <w:b/>
          <w:sz w:val="32"/>
        </w:rPr>
      </w:pPr>
      <w:r>
        <w:rPr>
          <w:rFonts w:ascii="方正小标宋_GBK"/>
          <w:sz w:val="32"/>
          <w:szCs w:val="32"/>
        </w:rPr>
        <w:t>国有资产信息</w:t>
      </w:r>
    </w:p>
    <w:p>
      <w:pPr>
        <w:jc w:val="left"/>
        <w:rPr>
          <w:rFonts w:ascii="楷体" w:hAnsi="楷体"/>
          <w:b/>
          <w:sz w:val="32"/>
        </w:rPr>
      </w:pPr>
      <w:r>
        <w:rPr>
          <w:rFonts w:ascii="方正小标宋_GBK"/>
          <w:sz w:val="32"/>
          <w:szCs w:val="32"/>
        </w:rPr>
        <w:t xml:space="preserve">     </w:t>
      </w:r>
      <w:r>
        <w:rPr>
          <w:rFonts w:ascii="仿宋_GB2312" w:hAnsi="仿宋"/>
          <w:sz w:val="32"/>
          <w:szCs w:val="32"/>
        </w:rPr>
        <w:t>2015年12月31日，年末固定资产总额</w:t>
      </w:r>
      <w:r>
        <w:rPr>
          <w:rFonts w:ascii="宋体" w:hAnsi="宋体"/>
          <w:color w:val="000000"/>
          <w:sz w:val="30"/>
          <w:szCs w:val="30"/>
        </w:rPr>
        <w:t>8,673,588.71</w:t>
      </w:r>
      <w:r>
        <w:rPr>
          <w:rFonts w:ascii="仿宋" w:hAnsi="仿宋"/>
          <w:sz w:val="30"/>
        </w:rPr>
        <w:t>元，主要资产为局机关办公用房，公务用车，网络设备及办公设备。</w:t>
      </w:r>
    </w:p>
    <w:p>
      <w:pPr>
        <w:rPr>
          <w:rFonts w:ascii="仿宋_GB2312"/>
          <w:sz w:val="32"/>
        </w:rPr>
      </w:pPr>
      <w:r>
        <w:rPr>
          <w:rFonts w:ascii="仿宋_GB2312"/>
          <w:sz w:val="32"/>
        </w:rPr>
        <w:t xml:space="preserve">    涞源县交通局在用公务用车4辆，由局办公室集中管理，统一调度和安排使用，主要用于局机关正常公务活动，以及公务下乡等。</w:t>
      </w:r>
    </w:p>
    <w:p>
      <w:pPr>
        <w:rPr>
          <w:rFonts w:ascii="仿宋_GB2312"/>
          <w:sz w:val="40"/>
        </w:rPr>
      </w:pPr>
      <w:r>
        <w:rPr>
          <w:rFonts w:ascii="仿宋_GB2312"/>
          <w:sz w:val="32"/>
        </w:rPr>
        <w:t xml:space="preserve">    无价值200万元以上的大型设备。</w:t>
      </w:r>
    </w:p>
    <w:p>
      <w:pPr>
        <w:jc w:val="left"/>
      </w:pPr>
      <w:r>
        <w:rPr>
          <w:rFonts w:ascii="方正小标宋_GBK"/>
          <w:sz w:val="30"/>
        </w:rPr>
        <w:t>七、</w:t>
      </w:r>
      <w:r>
        <w:rPr>
          <w:rFonts w:ascii="方正小标宋_GBK"/>
          <w:sz w:val="32"/>
          <w:szCs w:val="32"/>
        </w:rPr>
        <w:t>有关事项说明</w:t>
      </w:r>
    </w:p>
    <w:p>
      <w:pPr>
        <w:ind w:firstLine="600"/>
        <w:jc w:val="left"/>
      </w:pPr>
      <w:r>
        <w:rPr>
          <w:rFonts w:ascii="方正小标宋_GBK"/>
          <w:sz w:val="30"/>
        </w:rPr>
        <w:t>（1）部门预算安排的总体情况</w:t>
      </w:r>
    </w:p>
    <w:p>
      <w:pPr>
        <w:ind w:firstLine="640"/>
        <w:jc w:val="left"/>
      </w:pPr>
      <w:r>
        <w:rPr>
          <w:sz w:val="32"/>
          <w:szCs w:val="32"/>
        </w:rPr>
        <w:t>2016年度预算收入总计</w:t>
      </w:r>
      <w:r>
        <w:rPr>
          <w:rFonts w:ascii="宋体" w:hAnsi="宋体"/>
          <w:sz w:val="32"/>
          <w:szCs w:val="32"/>
        </w:rPr>
        <w:t>1951.75万元，其中一般公共预算拨款收入1951.75万元。</w:t>
      </w:r>
    </w:p>
    <w:p>
      <w:pPr>
        <w:ind w:firstLine="640"/>
        <w:jc w:val="left"/>
        <w:rPr>
          <w:rFonts w:ascii="方正小标宋_GBK"/>
          <w:sz w:val="30"/>
        </w:rPr>
      </w:pPr>
      <w:r>
        <w:rPr>
          <w:rFonts w:ascii="宋体" w:hAnsi="宋体"/>
          <w:sz w:val="32"/>
          <w:szCs w:val="32"/>
        </w:rPr>
        <w:t>2016年度预算支出1951.75万元，其中一般公共预算支出1951.75万元。</w:t>
      </w:r>
    </w:p>
    <w:p>
      <w:pPr>
        <w:ind w:firstLine="600"/>
        <w:jc w:val="left"/>
      </w:pPr>
      <w:r>
        <w:rPr>
          <w:rFonts w:ascii="方正小标宋_GBK"/>
          <w:sz w:val="30"/>
        </w:rPr>
        <w:t>（2）机关运行经费安排情况</w:t>
      </w:r>
    </w:p>
    <w:p>
      <w:pPr>
        <w:pStyle w:val="16"/>
        <w:ind w:firstLine="0"/>
        <w:rPr>
          <w:rFonts w:ascii="方正小标宋_GBK"/>
          <w:sz w:val="30"/>
          <w:szCs w:val="30"/>
        </w:rPr>
      </w:pPr>
      <w:r>
        <w:rPr>
          <w:rFonts w:ascii="仿宋_GB2312" w:hAnsi="楷体"/>
          <w:sz w:val="32"/>
          <w:szCs w:val="32"/>
        </w:rPr>
        <w:t xml:space="preserve">    </w:t>
      </w:r>
      <w:r>
        <w:rPr>
          <w:rFonts w:ascii="仿宋_GB2312" w:hAnsi="楷体"/>
          <w:sz w:val="30"/>
          <w:szCs w:val="30"/>
        </w:rPr>
        <w:t>2016年度，涞源县交通运输局机关运行经费支出预算23.10万元，其中：办公费0.20万元、电费0.20万元、邮电费1.80万元、公务用车运行维护费2.50万元、差旅费0.40万元、公务接待费8.00万元、取暖费10.00万元。</w:t>
      </w:r>
    </w:p>
    <w:p>
      <w:pPr>
        <w:numPr>
          <w:ilvl w:val="0"/>
          <w:numId w:val="4"/>
        </w:numPr>
        <w:ind w:firstLine="600"/>
        <w:jc w:val="left"/>
        <w:rPr>
          <w:rFonts w:ascii="仿宋_GB2312" w:hAnsi="宋体"/>
          <w:sz w:val="32"/>
        </w:rPr>
      </w:pPr>
      <w:r>
        <w:rPr>
          <w:rFonts w:ascii="方正小标宋_GBK"/>
          <w:sz w:val="30"/>
        </w:rPr>
        <w:t>财政拨款“三公”经费预算情况</w:t>
      </w:r>
    </w:p>
    <w:p>
      <w:pPr>
        <w:jc w:val="left"/>
      </w:pPr>
      <w:r>
        <w:rPr>
          <w:rFonts w:ascii="方正小标宋_GBK"/>
          <w:sz w:val="30"/>
        </w:rPr>
        <w:t xml:space="preserve">     </w:t>
      </w:r>
      <w:r>
        <w:rPr>
          <w:rFonts w:ascii="仿宋_GB2312" w:hAnsi="宋体"/>
          <w:sz w:val="30"/>
          <w:szCs w:val="30"/>
        </w:rPr>
        <w:t>严格落实中央八项规定，厉行节约，继续压减“三公经费”支出，强化预算管理。2016年安排“三公经费”预算支出10.50万元 ，其中：公务接待费8.00万元，公务用车运行维护费2.50万元，无</w:t>
      </w:r>
      <w:r>
        <w:rPr>
          <w:rFonts w:ascii="仿宋_GB2312"/>
          <w:sz w:val="30"/>
          <w:szCs w:val="30"/>
        </w:rPr>
        <w:t>因公出国（境）及</w:t>
      </w:r>
      <w:r>
        <w:rPr>
          <w:rFonts w:ascii="仿宋_GB2312" w:hAnsi="宋体"/>
          <w:sz w:val="30"/>
          <w:szCs w:val="30"/>
        </w:rPr>
        <w:t>公务用车购置预算支出。</w:t>
      </w:r>
    </w:p>
    <w:p>
      <w:pPr>
        <w:jc w:val="left"/>
      </w:pPr>
      <w:r>
        <w:rPr>
          <w:rFonts w:ascii="方正小标宋_GBK"/>
          <w:sz w:val="30"/>
        </w:rPr>
        <w:t xml:space="preserve">    （4）其他需说明的事项</w:t>
      </w:r>
    </w:p>
    <w:p>
      <w:pPr>
        <w:pStyle w:val="16"/>
        <w:ind w:firstLine="640"/>
      </w:pPr>
      <w:r>
        <w:rPr>
          <w:rFonts w:ascii="仿宋_GB2312" w:hAnsi="宋体"/>
          <w:sz w:val="32"/>
          <w:szCs w:val="28"/>
        </w:rPr>
        <w:t>2016年我单位没有政府性基金预算财政拨款、国有资本经营性预算财政拨款等项目的预算收支。</w:t>
      </w:r>
    </w:p>
    <w:p>
      <w:pPr>
        <w:spacing w:line="300" w:lineRule="exact"/>
        <w:jc w:val="left"/>
        <w:sectPr>
          <w:pgSz w:w="16839" w:h="11907" w:orient="landscape"/>
          <w:pgMar w:top="1361" w:right="1020" w:bottom="850" w:left="1020" w:header="720" w:footer="720" w:gutter="0"/>
          <w:cols w:space="720" w:num="1"/>
        </w:sectPr>
      </w:pPr>
    </w:p>
    <w:p>
      <w:pPr>
        <w:ind w:firstLine="600"/>
        <w:jc w:val="left"/>
        <w:rPr>
          <w:rFonts w:ascii="方正小标宋_GBK"/>
          <w:sz w:val="30"/>
        </w:rPr>
      </w:pPr>
    </w:p>
    <w:p>
      <w:pPr>
        <w:jc w:val="center"/>
      </w:pPr>
      <w:r>
        <w:rPr>
          <w:rFonts w:ascii="方正小标宋_GBK"/>
          <w:sz w:val="30"/>
        </w:rPr>
        <w:t xml:space="preserve"> </w:t>
      </w:r>
    </w:p>
    <w:p>
      <w:pPr>
        <w:jc w:val="left"/>
        <w:rPr>
          <w:rFonts w:ascii="方正小标宋_GBK"/>
          <w:sz w:val="32"/>
        </w:rPr>
      </w:pPr>
    </w:p>
    <w:p>
      <w:pPr>
        <w:jc w:val="left"/>
        <w:rPr>
          <w:rFonts w:ascii="方正小标宋_GBK"/>
          <w:sz w:val="32"/>
        </w:rPr>
      </w:pPr>
    </w:p>
    <w:p>
      <w:pPr>
        <w:jc w:val="left"/>
        <w:rPr>
          <w:rFonts w:ascii="方正小标宋_GBK"/>
          <w:sz w:val="32"/>
        </w:rPr>
      </w:pPr>
    </w:p>
    <w:p>
      <w:pPr>
        <w:jc w:val="left"/>
        <w:rPr>
          <w:rFonts w:ascii="方正小标宋_GBK"/>
          <w:sz w:val="32"/>
        </w:rPr>
      </w:pPr>
    </w:p>
    <w:p>
      <w:pPr>
        <w:jc w:val="left"/>
        <w:rPr>
          <w:rFonts w:ascii="方正小标宋_GBK"/>
          <w:sz w:val="32"/>
        </w:rPr>
      </w:pPr>
    </w:p>
    <w:p>
      <w:pPr>
        <w:jc w:val="left"/>
        <w:rPr>
          <w:rFonts w:ascii="方正小标宋_GBK"/>
          <w:sz w:val="32"/>
        </w:rPr>
      </w:pPr>
    </w:p>
    <w:p>
      <w:pPr>
        <w:jc w:val="left"/>
        <w:rPr>
          <w:rFonts w:ascii="方正小标宋_GBK"/>
          <w:sz w:val="32"/>
        </w:rPr>
      </w:pPr>
    </w:p>
    <w:p>
      <w:pPr>
        <w:jc w:val="left"/>
        <w:rPr>
          <w:rFonts w:ascii="方正小标宋_GBK"/>
          <w:sz w:val="32"/>
        </w:rPr>
      </w:pPr>
    </w:p>
    <w:p>
      <w:pPr>
        <w:jc w:val="left"/>
        <w:rPr>
          <w:rFonts w:ascii="方正小标宋_GBK"/>
          <w:sz w:val="32"/>
        </w:rPr>
      </w:pPr>
    </w:p>
    <w:p>
      <w:pPr>
        <w:jc w:val="left"/>
        <w:rPr>
          <w:rFonts w:ascii="方正小标宋_GBK"/>
          <w:sz w:val="32"/>
        </w:rPr>
      </w:pPr>
    </w:p>
    <w:p>
      <w:pPr>
        <w:jc w:val="left"/>
        <w:rPr>
          <w:rFonts w:ascii="方正小标宋_GBK"/>
          <w:sz w:val="32"/>
        </w:rPr>
      </w:pPr>
    </w:p>
    <w:p>
      <w:pPr>
        <w:jc w:val="left"/>
        <w:rPr>
          <w:rFonts w:ascii="方正小标宋_GBK"/>
          <w:sz w:val="32"/>
        </w:rPr>
      </w:pPr>
    </w:p>
    <w:p>
      <w:pPr>
        <w:jc w:val="left"/>
        <w:rPr>
          <w:rFonts w:ascii="方正小标宋_GBK"/>
          <w:sz w:val="32"/>
        </w:rPr>
      </w:pPr>
    </w:p>
    <w:p>
      <w:pPr>
        <w:jc w:val="left"/>
        <w:rPr>
          <w:rFonts w:ascii="方正小标宋_GBK"/>
          <w:sz w:val="32"/>
        </w:rPr>
      </w:pPr>
    </w:p>
    <w:p>
      <w:pPr>
        <w:jc w:val="left"/>
        <w:rPr>
          <w:rFonts w:ascii="方正小标宋_GBK"/>
          <w:sz w:val="32"/>
        </w:rPr>
      </w:pPr>
    </w:p>
    <w:p>
      <w:pPr>
        <w:jc w:val="left"/>
        <w:rPr>
          <w:rFonts w:ascii="方正小标宋_GBK"/>
          <w:sz w:val="32"/>
        </w:rPr>
      </w:pPr>
    </w:p>
    <w:p>
      <w:pPr>
        <w:jc w:val="left"/>
        <w:rPr>
          <w:rFonts w:ascii="方正小标宋_GBK"/>
          <w:sz w:val="32"/>
        </w:rPr>
      </w:pPr>
    </w:p>
    <w:p>
      <w:pPr>
        <w:jc w:val="center"/>
        <w:rPr>
          <w:rFonts w:ascii="方正小标宋_GBK"/>
          <w:sz w:val="32"/>
        </w:rPr>
      </w:pPr>
    </w:p>
    <w:p>
      <w:pPr>
        <w:spacing w:line="300" w:lineRule="exact"/>
        <w:jc w:val="left"/>
      </w:pPr>
    </w:p>
    <w:p>
      <w:pPr>
        <w:spacing w:line="300" w:lineRule="exact"/>
        <w:jc w:val="left"/>
      </w:pPr>
    </w:p>
    <w:p>
      <w:pPr>
        <w:jc w:val="center"/>
      </w:pPr>
    </w:p>
    <w:p>
      <w:pPr>
        <w:jc w:val="center"/>
      </w:pPr>
    </w:p>
    <w:p>
      <w:pPr>
        <w:spacing w:line="300" w:lineRule="exact"/>
        <w:jc w:val="left"/>
        <w:sectPr>
          <w:pgSz w:w="16839" w:h="11907" w:orient="landscape"/>
          <w:pgMar w:top="1361" w:right="1020" w:bottom="1361" w:left="1020" w:header="720" w:footer="720" w:gutter="0"/>
          <w:cols w:space="720" w:num="1"/>
        </w:sectPr>
      </w:pPr>
    </w:p>
    <w:p/>
    <w:p>
      <w:pPr>
        <w:sectPr>
          <w:pgSz w:w="11907" w:h="16839"/>
          <w:pgMar w:top="1020" w:right="1134" w:bottom="1020" w:left="1134" w:header="720" w:footer="720" w:gutter="0"/>
          <w:cols w:space="720" w:num="1"/>
        </w:sectPr>
      </w:pPr>
    </w:p>
    <w:p/>
    <w:p/>
    <w:sectPr>
      <w:pgSz w:w="11907" w:h="16839"/>
      <w:pgMar w:top="1020" w:right="1134" w:bottom="1020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singleLevel"/>
    <w:tmpl w:val="BF205925"/>
    <w:lvl w:ilvl="0" w:tentative="0">
      <w:start w:val="3"/>
      <w:numFmt w:val="decimal"/>
      <w:lvlText w:val="（%1）"/>
      <w:lvlJc w:val="left"/>
    </w:lvl>
  </w:abstractNum>
  <w:abstractNum w:abstractNumId="1">
    <w:nsid w:val="CF092B84"/>
    <w:multiLevelType w:val="singleLevel"/>
    <w:tmpl w:val="CF092B84"/>
    <w:lvl w:ilvl="0" w:tentative="0">
      <w:start w:val="12"/>
      <w:numFmt w:val="decimal"/>
      <w:lvlText w:val="%1、"/>
      <w:lvlJc w:val="left"/>
    </w:lvl>
  </w:abstractNum>
  <w:abstractNum w:abstractNumId="2">
    <w:nsid w:val="0053208E"/>
    <w:multiLevelType w:val="singleLevel"/>
    <w:tmpl w:val="0053208E"/>
    <w:lvl w:ilvl="0" w:tentative="0">
      <w:start w:val="1"/>
      <w:numFmt w:val="chineseCounting"/>
      <w:lvlText w:val="%1、"/>
      <w:lvlJc w:val="left"/>
    </w:lvl>
  </w:abstractNum>
  <w:abstractNum w:abstractNumId="3">
    <w:nsid w:val="59ADCABA"/>
    <w:multiLevelType w:val="singleLevel"/>
    <w:tmpl w:val="59ADCABA"/>
    <w:lvl w:ilvl="0" w:tentative="0">
      <w:start w:val="5"/>
      <w:numFmt w:val="chineseCount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OTBkZjdmZWNmYTE4ZGQ1NmUyODIyM2FhNGY4MmE0MzUifQ=="/>
  </w:docVars>
  <w:rsids>
    <w:rsidRoot w:val="00000000"/>
    <w:rsid w:val="0D852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tblPr/>
  </w:style>
  <w:style w:type="paragraph" w:customStyle="1" w:styleId="12">
    <w:name w:val="目录 11"/>
    <w:basedOn w:val="9"/>
    <w:qFormat/>
    <w:uiPriority w:val="0"/>
  </w:style>
  <w:style w:type="paragraph" w:customStyle="1" w:styleId="13">
    <w:name w:val="页眉1"/>
    <w:basedOn w:val="9"/>
    <w:qFormat/>
    <w:uiPriority w:val="0"/>
    <w:pPr>
      <w:spacing w:line="240" w:lineRule="auto"/>
      <w:jc w:val="both"/>
    </w:pPr>
    <w:rPr>
      <w:sz w:val="18"/>
    </w:rPr>
  </w:style>
  <w:style w:type="paragraph" w:customStyle="1" w:styleId="14">
    <w:name w:val="页脚1"/>
    <w:basedOn w:val="9"/>
    <w:qFormat/>
    <w:uiPriority w:val="0"/>
    <w:pPr>
      <w:jc w:val="left"/>
    </w:pPr>
    <w:rPr>
      <w:sz w:val="18"/>
    </w:rPr>
  </w:style>
  <w:style w:type="paragraph" w:customStyle="1" w:styleId="15">
    <w:name w:val="目录 21"/>
    <w:basedOn w:val="9"/>
    <w:qFormat/>
    <w:uiPriority w:val="0"/>
    <w:pPr>
      <w:ind w:left="420"/>
    </w:pPr>
  </w:style>
  <w:style w:type="paragraph" w:customStyle="1" w:styleId="16">
    <w:name w:val="_Style 1"/>
    <w:basedOn w:val="9"/>
    <w:qFormat/>
    <w:uiPriority w:val="0"/>
    <w:pPr>
      <w:ind w:firstLine="4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Administrator</dc:creator>
  <cp:lastModifiedBy>Administrator</cp:lastModifiedBy>
  <dcterms:modified xsi:type="dcterms:W3CDTF">2023-12-31T10:23:41Z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A6258A2AA43C47028D0BCB9FDAAA0470_12</vt:lpwstr>
  </property>
</Properties>
</file>