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4"/>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4"/>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4"/>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4"/>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4"/>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4"/>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4"/>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4"/>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4"/>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4"/>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4"/>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4"/>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pPr>
        <w:pStyle w:val="4"/>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19</w:t>
      </w:r>
      <w:r>
        <w:fldChar w:fldCharType="end"/>
      </w:r>
      <w:r>
        <w:fldChar w:fldCharType="end"/>
      </w:r>
    </w:p>
    <w:p>
      <w:pPr>
        <w:pStyle w:val="4"/>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20</w:t>
      </w:r>
      <w:r>
        <w:fldChar w:fldCharType="end"/>
      </w:r>
      <w:r>
        <w:fldChar w:fldCharType="end"/>
      </w:r>
    </w:p>
    <w:p>
      <w:pPr>
        <w:pStyle w:val="4"/>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22</w:t>
      </w:r>
      <w:r>
        <w:fldChar w:fldCharType="end"/>
      </w:r>
      <w:r>
        <w:fldChar w:fldCharType="end"/>
      </w:r>
    </w:p>
    <w:p>
      <w:pPr>
        <w:pStyle w:val="4"/>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22</w:t>
      </w:r>
      <w:r>
        <w:fldChar w:fldCharType="end"/>
      </w:r>
      <w:r>
        <w:fldChar w:fldCharType="end"/>
      </w:r>
    </w:p>
    <w:p>
      <w:pPr>
        <w:pStyle w:val="4"/>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22</w:t>
      </w:r>
      <w:r>
        <w:fldChar w:fldCharType="end"/>
      </w:r>
      <w:r>
        <w:fldChar w:fldCharType="end"/>
      </w:r>
    </w:p>
    <w:p>
      <w:pPr>
        <w:pStyle w:val="4"/>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23</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766河北省涞源县工商业联合会</w:t>
            </w:r>
          </w:p>
        </w:tc>
        <w:tc>
          <w:tcPr>
            <w:tcW w:w="2126" w:type="dxa"/>
            <w:tcBorders>
              <w:top w:val="single" w:color="FFFFFF" w:sz="6" w:space="0"/>
              <w:left w:val="single" w:color="FFFFFF" w:sz="6" w:space="0"/>
              <w:right w:val="single" w:color="FFFFFF" w:sz="6" w:space="0"/>
            </w:tcBorders>
            <w:vAlign w:val="center"/>
          </w:tcPr>
          <w:p>
            <w:pPr>
              <w:pStyle w:val="10"/>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87.02</w:t>
            </w:r>
          </w:p>
        </w:tc>
        <w:tc>
          <w:tcPr>
            <w:tcW w:w="4535" w:type="dxa"/>
            <w:vAlign w:val="center"/>
          </w:tcPr>
          <w:p>
            <w:pPr>
              <w:pStyle w:val="14"/>
            </w:pPr>
            <w:r>
              <w:t>一、一般公共服务支出</w:t>
            </w:r>
          </w:p>
        </w:tc>
        <w:tc>
          <w:tcPr>
            <w:tcW w:w="2126" w:type="dxa"/>
            <w:vAlign w:val="center"/>
          </w:tcPr>
          <w:p>
            <w:pPr>
              <w:pStyle w:val="13"/>
            </w:pPr>
            <w:r>
              <w:t>67.76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五、单位资金</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16.34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2.92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87.02</w:t>
            </w:r>
          </w:p>
        </w:tc>
        <w:tc>
          <w:tcPr>
            <w:tcW w:w="4535" w:type="dxa"/>
            <w:vAlign w:val="center"/>
          </w:tcPr>
          <w:p>
            <w:pPr>
              <w:pStyle w:val="16"/>
            </w:pPr>
            <w:r>
              <w:t>本年支出合计</w:t>
            </w:r>
          </w:p>
        </w:tc>
        <w:tc>
          <w:tcPr>
            <w:tcW w:w="2126" w:type="dxa"/>
            <w:vAlign w:val="center"/>
          </w:tcPr>
          <w:p>
            <w:pPr>
              <w:pStyle w:val="17"/>
            </w:pPr>
            <w:r>
              <w:t>87.02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87.02</w:t>
            </w:r>
          </w:p>
        </w:tc>
        <w:tc>
          <w:tcPr>
            <w:tcW w:w="4535" w:type="dxa"/>
            <w:vAlign w:val="center"/>
          </w:tcPr>
          <w:p>
            <w:pPr>
              <w:pStyle w:val="16"/>
            </w:pPr>
            <w:r>
              <w:t>支出总计</w:t>
            </w:r>
          </w:p>
        </w:tc>
        <w:tc>
          <w:tcPr>
            <w:tcW w:w="2126" w:type="dxa"/>
            <w:vAlign w:val="center"/>
          </w:tcPr>
          <w:p>
            <w:pPr>
              <w:pStyle w:val="17"/>
            </w:pPr>
            <w:r>
              <w:t>87.02</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766河北省涞源县工商业联合会</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87.02</w:t>
            </w:r>
          </w:p>
        </w:tc>
        <w:tc>
          <w:tcPr>
            <w:tcW w:w="1134" w:type="dxa"/>
            <w:vAlign w:val="center"/>
          </w:tcPr>
          <w:p>
            <w:pPr>
              <w:pStyle w:val="17"/>
            </w:pPr>
            <w:r>
              <w:t>87.02</w:t>
            </w:r>
          </w:p>
        </w:tc>
        <w:tc>
          <w:tcPr>
            <w:tcW w:w="1134" w:type="dxa"/>
            <w:vAlign w:val="center"/>
          </w:tcPr>
          <w:p>
            <w:pPr>
              <w:pStyle w:val="17"/>
            </w:pPr>
            <w:r>
              <w:t>87.02</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67.76</w:t>
            </w:r>
          </w:p>
        </w:tc>
        <w:tc>
          <w:tcPr>
            <w:tcW w:w="1134" w:type="dxa"/>
            <w:vAlign w:val="center"/>
          </w:tcPr>
          <w:p>
            <w:pPr>
              <w:pStyle w:val="13"/>
            </w:pPr>
            <w:r>
              <w:t>67.76</w:t>
            </w:r>
          </w:p>
        </w:tc>
        <w:tc>
          <w:tcPr>
            <w:tcW w:w="1134" w:type="dxa"/>
            <w:vAlign w:val="center"/>
          </w:tcPr>
          <w:p>
            <w:pPr>
              <w:pStyle w:val="13"/>
            </w:pPr>
            <w:r>
              <w:t>67.76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20128</w:t>
            </w:r>
          </w:p>
        </w:tc>
        <w:tc>
          <w:tcPr>
            <w:tcW w:w="1559" w:type="dxa"/>
            <w:vAlign w:val="center"/>
          </w:tcPr>
          <w:p>
            <w:pPr>
              <w:pStyle w:val="14"/>
            </w:pPr>
            <w:r>
              <w:t>民主党派及工商联事务</w:t>
            </w:r>
          </w:p>
        </w:tc>
        <w:tc>
          <w:tcPr>
            <w:tcW w:w="1134" w:type="dxa"/>
            <w:vAlign w:val="center"/>
          </w:tcPr>
          <w:p>
            <w:pPr>
              <w:pStyle w:val="13"/>
            </w:pPr>
            <w:r>
              <w:t>67.76</w:t>
            </w:r>
          </w:p>
        </w:tc>
        <w:tc>
          <w:tcPr>
            <w:tcW w:w="1134" w:type="dxa"/>
            <w:vAlign w:val="center"/>
          </w:tcPr>
          <w:p>
            <w:pPr>
              <w:pStyle w:val="13"/>
            </w:pPr>
            <w:r>
              <w:t>67.76</w:t>
            </w:r>
          </w:p>
        </w:tc>
        <w:tc>
          <w:tcPr>
            <w:tcW w:w="1134" w:type="dxa"/>
            <w:vAlign w:val="center"/>
          </w:tcPr>
          <w:p>
            <w:pPr>
              <w:pStyle w:val="13"/>
            </w:pPr>
            <w:r>
              <w:t>67.76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2012801</w:t>
            </w:r>
          </w:p>
        </w:tc>
        <w:tc>
          <w:tcPr>
            <w:tcW w:w="1559" w:type="dxa"/>
            <w:vAlign w:val="center"/>
          </w:tcPr>
          <w:p>
            <w:pPr>
              <w:pStyle w:val="14"/>
            </w:pPr>
            <w:r>
              <w:t>行政运行</w:t>
            </w:r>
          </w:p>
        </w:tc>
        <w:tc>
          <w:tcPr>
            <w:tcW w:w="1134" w:type="dxa"/>
            <w:vAlign w:val="center"/>
          </w:tcPr>
          <w:p>
            <w:pPr>
              <w:pStyle w:val="13"/>
            </w:pPr>
            <w:r>
              <w:t>67.76</w:t>
            </w:r>
          </w:p>
        </w:tc>
        <w:tc>
          <w:tcPr>
            <w:tcW w:w="1134" w:type="dxa"/>
            <w:vAlign w:val="center"/>
          </w:tcPr>
          <w:p>
            <w:pPr>
              <w:pStyle w:val="13"/>
            </w:pPr>
            <w:r>
              <w:t>67.76</w:t>
            </w:r>
          </w:p>
        </w:tc>
        <w:tc>
          <w:tcPr>
            <w:tcW w:w="1134" w:type="dxa"/>
            <w:vAlign w:val="center"/>
          </w:tcPr>
          <w:p>
            <w:pPr>
              <w:pStyle w:val="13"/>
            </w:pPr>
            <w:r>
              <w:t>67.76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16.34</w:t>
            </w:r>
          </w:p>
        </w:tc>
        <w:tc>
          <w:tcPr>
            <w:tcW w:w="1134" w:type="dxa"/>
            <w:vAlign w:val="center"/>
          </w:tcPr>
          <w:p>
            <w:pPr>
              <w:pStyle w:val="13"/>
            </w:pPr>
            <w:r>
              <w:t>16.34</w:t>
            </w:r>
          </w:p>
        </w:tc>
        <w:tc>
          <w:tcPr>
            <w:tcW w:w="1134" w:type="dxa"/>
            <w:vAlign w:val="center"/>
          </w:tcPr>
          <w:p>
            <w:pPr>
              <w:pStyle w:val="13"/>
            </w:pPr>
            <w:r>
              <w:t>16.34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16.34</w:t>
            </w:r>
          </w:p>
        </w:tc>
        <w:tc>
          <w:tcPr>
            <w:tcW w:w="1134" w:type="dxa"/>
            <w:vAlign w:val="center"/>
          </w:tcPr>
          <w:p>
            <w:pPr>
              <w:pStyle w:val="13"/>
            </w:pPr>
            <w:r>
              <w:t>16.34</w:t>
            </w:r>
          </w:p>
        </w:tc>
        <w:tc>
          <w:tcPr>
            <w:tcW w:w="1134" w:type="dxa"/>
            <w:vAlign w:val="center"/>
          </w:tcPr>
          <w:p>
            <w:pPr>
              <w:pStyle w:val="13"/>
            </w:pPr>
            <w:r>
              <w:t>16.34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7.59</w:t>
            </w:r>
          </w:p>
        </w:tc>
        <w:tc>
          <w:tcPr>
            <w:tcW w:w="1134" w:type="dxa"/>
            <w:vAlign w:val="center"/>
          </w:tcPr>
          <w:p>
            <w:pPr>
              <w:pStyle w:val="13"/>
            </w:pPr>
            <w:r>
              <w:t>7.59</w:t>
            </w:r>
          </w:p>
        </w:tc>
        <w:tc>
          <w:tcPr>
            <w:tcW w:w="1134" w:type="dxa"/>
            <w:vAlign w:val="center"/>
          </w:tcPr>
          <w:p>
            <w:pPr>
              <w:pStyle w:val="13"/>
            </w:pPr>
            <w:r>
              <w:t>7.59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5.83</w:t>
            </w:r>
          </w:p>
        </w:tc>
        <w:tc>
          <w:tcPr>
            <w:tcW w:w="1134" w:type="dxa"/>
            <w:vAlign w:val="center"/>
          </w:tcPr>
          <w:p>
            <w:pPr>
              <w:pStyle w:val="13"/>
            </w:pPr>
            <w:r>
              <w:t>5.83</w:t>
            </w:r>
          </w:p>
        </w:tc>
        <w:tc>
          <w:tcPr>
            <w:tcW w:w="1134" w:type="dxa"/>
            <w:vAlign w:val="center"/>
          </w:tcPr>
          <w:p>
            <w:pPr>
              <w:pStyle w:val="13"/>
            </w:pPr>
            <w:r>
              <w:t>5.83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2.92</w:t>
            </w:r>
          </w:p>
        </w:tc>
        <w:tc>
          <w:tcPr>
            <w:tcW w:w="1134" w:type="dxa"/>
            <w:vAlign w:val="center"/>
          </w:tcPr>
          <w:p>
            <w:pPr>
              <w:pStyle w:val="13"/>
            </w:pPr>
            <w:r>
              <w:t>2.92</w:t>
            </w:r>
          </w:p>
        </w:tc>
        <w:tc>
          <w:tcPr>
            <w:tcW w:w="1134" w:type="dxa"/>
            <w:vAlign w:val="center"/>
          </w:tcPr>
          <w:p>
            <w:pPr>
              <w:pStyle w:val="13"/>
            </w:pPr>
            <w:r>
              <w:t>2.92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2.92</w:t>
            </w:r>
          </w:p>
        </w:tc>
        <w:tc>
          <w:tcPr>
            <w:tcW w:w="1134" w:type="dxa"/>
            <w:vAlign w:val="center"/>
          </w:tcPr>
          <w:p>
            <w:pPr>
              <w:pStyle w:val="13"/>
            </w:pPr>
            <w:r>
              <w:t>2.92</w:t>
            </w:r>
          </w:p>
        </w:tc>
        <w:tc>
          <w:tcPr>
            <w:tcW w:w="1134" w:type="dxa"/>
            <w:vAlign w:val="center"/>
          </w:tcPr>
          <w:p>
            <w:pPr>
              <w:pStyle w:val="13"/>
            </w:pPr>
            <w:r>
              <w:t>2.92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2.92</w:t>
            </w:r>
          </w:p>
        </w:tc>
        <w:tc>
          <w:tcPr>
            <w:tcW w:w="1134" w:type="dxa"/>
            <w:vAlign w:val="center"/>
          </w:tcPr>
          <w:p>
            <w:pPr>
              <w:pStyle w:val="13"/>
            </w:pPr>
            <w:r>
              <w:t>2.92</w:t>
            </w:r>
          </w:p>
        </w:tc>
        <w:tc>
          <w:tcPr>
            <w:tcW w:w="1134" w:type="dxa"/>
            <w:vAlign w:val="center"/>
          </w:tcPr>
          <w:p>
            <w:pPr>
              <w:pStyle w:val="13"/>
            </w:pPr>
            <w:r>
              <w:t>2.92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2.92</w:t>
            </w:r>
          </w:p>
        </w:tc>
        <w:tc>
          <w:tcPr>
            <w:tcW w:w="1134" w:type="dxa"/>
            <w:vAlign w:val="center"/>
          </w:tcPr>
          <w:p>
            <w:pPr>
              <w:pStyle w:val="13"/>
            </w:pPr>
            <w:r>
              <w:t>2.92</w:t>
            </w:r>
          </w:p>
        </w:tc>
        <w:tc>
          <w:tcPr>
            <w:tcW w:w="1134" w:type="dxa"/>
            <w:vAlign w:val="center"/>
          </w:tcPr>
          <w:p>
            <w:pPr>
              <w:pStyle w:val="13"/>
            </w:pPr>
            <w:r>
              <w:t>2.92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766河北省涞源县工商业联合会</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87.02</w:t>
            </w:r>
          </w:p>
        </w:tc>
        <w:tc>
          <w:tcPr>
            <w:tcW w:w="1361" w:type="dxa"/>
            <w:vAlign w:val="center"/>
          </w:tcPr>
          <w:p>
            <w:pPr>
              <w:pStyle w:val="17"/>
            </w:pPr>
            <w:r>
              <w:t>81.23</w:t>
            </w:r>
          </w:p>
        </w:tc>
        <w:tc>
          <w:tcPr>
            <w:tcW w:w="1361" w:type="dxa"/>
            <w:vAlign w:val="center"/>
          </w:tcPr>
          <w:p>
            <w:pPr>
              <w:pStyle w:val="17"/>
            </w:pPr>
            <w:r>
              <w:t>5.79</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67.76</w:t>
            </w:r>
          </w:p>
        </w:tc>
        <w:tc>
          <w:tcPr>
            <w:tcW w:w="1361" w:type="dxa"/>
            <w:vAlign w:val="center"/>
          </w:tcPr>
          <w:p>
            <w:pPr>
              <w:pStyle w:val="13"/>
            </w:pPr>
            <w:r>
              <w:t>61.97</w:t>
            </w:r>
          </w:p>
        </w:tc>
        <w:tc>
          <w:tcPr>
            <w:tcW w:w="1361" w:type="dxa"/>
            <w:vAlign w:val="center"/>
          </w:tcPr>
          <w:p>
            <w:pPr>
              <w:pStyle w:val="13"/>
            </w:pPr>
            <w:r>
              <w:t>5.79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20128</w:t>
            </w:r>
          </w:p>
        </w:tc>
        <w:tc>
          <w:tcPr>
            <w:tcW w:w="4535" w:type="dxa"/>
            <w:vAlign w:val="center"/>
          </w:tcPr>
          <w:p>
            <w:pPr>
              <w:pStyle w:val="14"/>
            </w:pPr>
            <w:r>
              <w:t>民主党派及工商联事务</w:t>
            </w:r>
          </w:p>
        </w:tc>
        <w:tc>
          <w:tcPr>
            <w:tcW w:w="1361" w:type="dxa"/>
            <w:vAlign w:val="center"/>
          </w:tcPr>
          <w:p>
            <w:pPr>
              <w:pStyle w:val="13"/>
            </w:pPr>
            <w:r>
              <w:t>67.76</w:t>
            </w:r>
          </w:p>
        </w:tc>
        <w:tc>
          <w:tcPr>
            <w:tcW w:w="1361" w:type="dxa"/>
            <w:vAlign w:val="center"/>
          </w:tcPr>
          <w:p>
            <w:pPr>
              <w:pStyle w:val="13"/>
            </w:pPr>
            <w:r>
              <w:t>61.97</w:t>
            </w:r>
          </w:p>
        </w:tc>
        <w:tc>
          <w:tcPr>
            <w:tcW w:w="1361" w:type="dxa"/>
            <w:vAlign w:val="center"/>
          </w:tcPr>
          <w:p>
            <w:pPr>
              <w:pStyle w:val="13"/>
            </w:pPr>
            <w:r>
              <w:t>5.79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2012801</w:t>
            </w:r>
          </w:p>
        </w:tc>
        <w:tc>
          <w:tcPr>
            <w:tcW w:w="4535" w:type="dxa"/>
            <w:vAlign w:val="center"/>
          </w:tcPr>
          <w:p>
            <w:pPr>
              <w:pStyle w:val="14"/>
            </w:pPr>
            <w:r>
              <w:t>行政运行</w:t>
            </w:r>
          </w:p>
        </w:tc>
        <w:tc>
          <w:tcPr>
            <w:tcW w:w="1361" w:type="dxa"/>
            <w:vAlign w:val="center"/>
          </w:tcPr>
          <w:p>
            <w:pPr>
              <w:pStyle w:val="13"/>
            </w:pPr>
            <w:r>
              <w:t>67.76</w:t>
            </w:r>
          </w:p>
        </w:tc>
        <w:tc>
          <w:tcPr>
            <w:tcW w:w="1361" w:type="dxa"/>
            <w:vAlign w:val="center"/>
          </w:tcPr>
          <w:p>
            <w:pPr>
              <w:pStyle w:val="13"/>
            </w:pPr>
            <w:r>
              <w:t>61.97</w:t>
            </w:r>
          </w:p>
        </w:tc>
        <w:tc>
          <w:tcPr>
            <w:tcW w:w="1361" w:type="dxa"/>
            <w:vAlign w:val="center"/>
          </w:tcPr>
          <w:p>
            <w:pPr>
              <w:pStyle w:val="13"/>
            </w:pPr>
            <w:r>
              <w:t>5.79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16.34</w:t>
            </w:r>
          </w:p>
        </w:tc>
        <w:tc>
          <w:tcPr>
            <w:tcW w:w="1361" w:type="dxa"/>
            <w:vAlign w:val="center"/>
          </w:tcPr>
          <w:p>
            <w:pPr>
              <w:pStyle w:val="13"/>
            </w:pPr>
            <w:r>
              <w:t>16.34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16.34</w:t>
            </w:r>
          </w:p>
        </w:tc>
        <w:tc>
          <w:tcPr>
            <w:tcW w:w="1361" w:type="dxa"/>
            <w:vAlign w:val="center"/>
          </w:tcPr>
          <w:p>
            <w:pPr>
              <w:pStyle w:val="13"/>
            </w:pPr>
            <w:r>
              <w:t>16.34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7.59</w:t>
            </w:r>
          </w:p>
        </w:tc>
        <w:tc>
          <w:tcPr>
            <w:tcW w:w="1361" w:type="dxa"/>
            <w:vAlign w:val="center"/>
          </w:tcPr>
          <w:p>
            <w:pPr>
              <w:pStyle w:val="13"/>
            </w:pPr>
            <w:r>
              <w:t>7.59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5.83</w:t>
            </w:r>
          </w:p>
        </w:tc>
        <w:tc>
          <w:tcPr>
            <w:tcW w:w="1361" w:type="dxa"/>
            <w:vAlign w:val="center"/>
          </w:tcPr>
          <w:p>
            <w:pPr>
              <w:pStyle w:val="13"/>
            </w:pPr>
            <w:r>
              <w:t>5.83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2.92</w:t>
            </w:r>
          </w:p>
        </w:tc>
        <w:tc>
          <w:tcPr>
            <w:tcW w:w="1361" w:type="dxa"/>
            <w:vAlign w:val="center"/>
          </w:tcPr>
          <w:p>
            <w:pPr>
              <w:pStyle w:val="13"/>
            </w:pPr>
            <w:r>
              <w:t>2.92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2.92</w:t>
            </w:r>
          </w:p>
        </w:tc>
        <w:tc>
          <w:tcPr>
            <w:tcW w:w="1361" w:type="dxa"/>
            <w:vAlign w:val="center"/>
          </w:tcPr>
          <w:p>
            <w:pPr>
              <w:pStyle w:val="13"/>
            </w:pPr>
            <w:r>
              <w:t>2.92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2.92</w:t>
            </w:r>
          </w:p>
        </w:tc>
        <w:tc>
          <w:tcPr>
            <w:tcW w:w="1361" w:type="dxa"/>
            <w:vAlign w:val="center"/>
          </w:tcPr>
          <w:p>
            <w:pPr>
              <w:pStyle w:val="13"/>
            </w:pPr>
            <w:r>
              <w:t>2.92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2.92</w:t>
            </w:r>
          </w:p>
        </w:tc>
        <w:tc>
          <w:tcPr>
            <w:tcW w:w="1361" w:type="dxa"/>
            <w:vAlign w:val="center"/>
          </w:tcPr>
          <w:p>
            <w:pPr>
              <w:pStyle w:val="13"/>
            </w:pPr>
            <w:r>
              <w:t>2.92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766河北省涞源县工商业联合会</w:t>
            </w:r>
          </w:p>
        </w:tc>
        <w:tc>
          <w:tcPr>
            <w:tcW w:w="3402" w:type="dxa"/>
            <w:tcBorders>
              <w:top w:val="single" w:color="FFFFFF" w:sz="6" w:space="0"/>
              <w:left w:val="single" w:color="FFFFFF" w:sz="6" w:space="0"/>
              <w:right w:val="single" w:color="FFFFFF" w:sz="6" w:space="0"/>
            </w:tcBorders>
            <w:vAlign w:val="center"/>
          </w:tcPr>
          <w:p>
            <w:pPr>
              <w:pStyle w:val="10"/>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87.02</w:t>
            </w:r>
          </w:p>
        </w:tc>
        <w:tc>
          <w:tcPr>
            <w:tcW w:w="3402" w:type="dxa"/>
            <w:vAlign w:val="center"/>
          </w:tcPr>
          <w:p>
            <w:pPr>
              <w:pStyle w:val="14"/>
            </w:pPr>
            <w:r>
              <w:t>一、一般公共服务支出</w:t>
            </w:r>
          </w:p>
        </w:tc>
        <w:tc>
          <w:tcPr>
            <w:tcW w:w="1474" w:type="dxa"/>
            <w:vAlign w:val="center"/>
          </w:tcPr>
          <w:p>
            <w:pPr>
              <w:pStyle w:val="13"/>
            </w:pPr>
            <w:r>
              <w:t>67.76</w:t>
            </w:r>
          </w:p>
        </w:tc>
        <w:tc>
          <w:tcPr>
            <w:tcW w:w="1474" w:type="dxa"/>
            <w:vAlign w:val="center"/>
          </w:tcPr>
          <w:p>
            <w:pPr>
              <w:pStyle w:val="13"/>
            </w:pPr>
            <w:r>
              <w:t>67.76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16.34</w:t>
            </w:r>
          </w:p>
        </w:tc>
        <w:tc>
          <w:tcPr>
            <w:tcW w:w="1474" w:type="dxa"/>
            <w:vAlign w:val="center"/>
          </w:tcPr>
          <w:p>
            <w:pPr>
              <w:pStyle w:val="13"/>
            </w:pPr>
            <w:r>
              <w:t>16.34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2.92</w:t>
            </w:r>
          </w:p>
        </w:tc>
        <w:tc>
          <w:tcPr>
            <w:tcW w:w="1474" w:type="dxa"/>
            <w:vAlign w:val="center"/>
          </w:tcPr>
          <w:p>
            <w:pPr>
              <w:pStyle w:val="13"/>
            </w:pPr>
            <w:r>
              <w:t>2.92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87.02</w:t>
            </w:r>
          </w:p>
        </w:tc>
        <w:tc>
          <w:tcPr>
            <w:tcW w:w="3402" w:type="dxa"/>
            <w:vAlign w:val="center"/>
          </w:tcPr>
          <w:p>
            <w:pPr>
              <w:pStyle w:val="16"/>
            </w:pPr>
            <w:r>
              <w:t>本年支出合计</w:t>
            </w:r>
          </w:p>
        </w:tc>
        <w:tc>
          <w:tcPr>
            <w:tcW w:w="1474" w:type="dxa"/>
            <w:vAlign w:val="center"/>
          </w:tcPr>
          <w:p>
            <w:pPr>
              <w:pStyle w:val="17"/>
            </w:pPr>
            <w:r>
              <w:t>87.02</w:t>
            </w:r>
          </w:p>
        </w:tc>
        <w:tc>
          <w:tcPr>
            <w:tcW w:w="1474" w:type="dxa"/>
            <w:vAlign w:val="center"/>
          </w:tcPr>
          <w:p>
            <w:pPr>
              <w:pStyle w:val="17"/>
            </w:pPr>
            <w:r>
              <w:t>87.02</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87.02</w:t>
            </w:r>
          </w:p>
        </w:tc>
        <w:tc>
          <w:tcPr>
            <w:tcW w:w="3402" w:type="dxa"/>
            <w:vAlign w:val="center"/>
          </w:tcPr>
          <w:p>
            <w:pPr>
              <w:pStyle w:val="16"/>
            </w:pPr>
            <w:r>
              <w:t>支出总计</w:t>
            </w:r>
          </w:p>
        </w:tc>
        <w:tc>
          <w:tcPr>
            <w:tcW w:w="1474" w:type="dxa"/>
            <w:vAlign w:val="center"/>
          </w:tcPr>
          <w:p>
            <w:pPr>
              <w:pStyle w:val="17"/>
            </w:pPr>
            <w:r>
              <w:t>87.02</w:t>
            </w:r>
          </w:p>
        </w:tc>
        <w:tc>
          <w:tcPr>
            <w:tcW w:w="1474" w:type="dxa"/>
            <w:vAlign w:val="center"/>
          </w:tcPr>
          <w:p>
            <w:pPr>
              <w:pStyle w:val="17"/>
            </w:pPr>
            <w:r>
              <w:t>87.02</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766河北省涞源县工商业联合会</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87.02</w:t>
            </w:r>
          </w:p>
        </w:tc>
        <w:tc>
          <w:tcPr>
            <w:tcW w:w="2551" w:type="dxa"/>
            <w:vAlign w:val="center"/>
          </w:tcPr>
          <w:p>
            <w:pPr>
              <w:pStyle w:val="17"/>
            </w:pPr>
            <w:r>
              <w:t>81.23</w:t>
            </w:r>
          </w:p>
        </w:tc>
        <w:tc>
          <w:tcPr>
            <w:tcW w:w="2551" w:type="dxa"/>
            <w:vAlign w:val="center"/>
          </w:tcPr>
          <w:p>
            <w:pPr>
              <w:pStyle w:val="17"/>
            </w:pPr>
            <w:r>
              <w:t>5.79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67.76</w:t>
            </w:r>
          </w:p>
        </w:tc>
        <w:tc>
          <w:tcPr>
            <w:tcW w:w="2551" w:type="dxa"/>
            <w:vAlign w:val="center"/>
          </w:tcPr>
          <w:p>
            <w:pPr>
              <w:pStyle w:val="13"/>
            </w:pPr>
            <w:r>
              <w:t>61.97</w:t>
            </w:r>
          </w:p>
        </w:tc>
        <w:tc>
          <w:tcPr>
            <w:tcW w:w="2551" w:type="dxa"/>
            <w:vAlign w:val="center"/>
          </w:tcPr>
          <w:p>
            <w:pPr>
              <w:pStyle w:val="13"/>
            </w:pPr>
            <w:r>
              <w:t>5.79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20128</w:t>
            </w:r>
          </w:p>
        </w:tc>
        <w:tc>
          <w:tcPr>
            <w:tcW w:w="4535" w:type="dxa"/>
            <w:vAlign w:val="center"/>
          </w:tcPr>
          <w:p>
            <w:pPr>
              <w:pStyle w:val="14"/>
            </w:pPr>
            <w:r>
              <w:t>民主党派及工商联事务</w:t>
            </w:r>
          </w:p>
        </w:tc>
        <w:tc>
          <w:tcPr>
            <w:tcW w:w="2551" w:type="dxa"/>
            <w:vAlign w:val="center"/>
          </w:tcPr>
          <w:p>
            <w:pPr>
              <w:pStyle w:val="13"/>
            </w:pPr>
            <w:r>
              <w:t>67.76</w:t>
            </w:r>
          </w:p>
        </w:tc>
        <w:tc>
          <w:tcPr>
            <w:tcW w:w="2551" w:type="dxa"/>
            <w:vAlign w:val="center"/>
          </w:tcPr>
          <w:p>
            <w:pPr>
              <w:pStyle w:val="13"/>
            </w:pPr>
            <w:r>
              <w:t>61.97</w:t>
            </w:r>
          </w:p>
        </w:tc>
        <w:tc>
          <w:tcPr>
            <w:tcW w:w="2551" w:type="dxa"/>
            <w:vAlign w:val="center"/>
          </w:tcPr>
          <w:p>
            <w:pPr>
              <w:pStyle w:val="13"/>
            </w:pPr>
            <w:r>
              <w:t>5.79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2012801</w:t>
            </w:r>
          </w:p>
        </w:tc>
        <w:tc>
          <w:tcPr>
            <w:tcW w:w="4535" w:type="dxa"/>
            <w:vAlign w:val="center"/>
          </w:tcPr>
          <w:p>
            <w:pPr>
              <w:pStyle w:val="14"/>
            </w:pPr>
            <w:r>
              <w:t>行政运行</w:t>
            </w:r>
          </w:p>
        </w:tc>
        <w:tc>
          <w:tcPr>
            <w:tcW w:w="2551" w:type="dxa"/>
            <w:vAlign w:val="center"/>
          </w:tcPr>
          <w:p>
            <w:pPr>
              <w:pStyle w:val="13"/>
            </w:pPr>
            <w:r>
              <w:t>67.76</w:t>
            </w:r>
          </w:p>
        </w:tc>
        <w:tc>
          <w:tcPr>
            <w:tcW w:w="2551" w:type="dxa"/>
            <w:vAlign w:val="center"/>
          </w:tcPr>
          <w:p>
            <w:pPr>
              <w:pStyle w:val="13"/>
            </w:pPr>
            <w:r>
              <w:t>61.97</w:t>
            </w:r>
          </w:p>
        </w:tc>
        <w:tc>
          <w:tcPr>
            <w:tcW w:w="2551" w:type="dxa"/>
            <w:vAlign w:val="center"/>
          </w:tcPr>
          <w:p>
            <w:pPr>
              <w:pStyle w:val="13"/>
            </w:pPr>
            <w:r>
              <w:t>5.79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16.34</w:t>
            </w:r>
          </w:p>
        </w:tc>
        <w:tc>
          <w:tcPr>
            <w:tcW w:w="2551" w:type="dxa"/>
            <w:vAlign w:val="center"/>
          </w:tcPr>
          <w:p>
            <w:pPr>
              <w:pStyle w:val="13"/>
            </w:pPr>
            <w:r>
              <w:t>16.34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16.34</w:t>
            </w:r>
          </w:p>
        </w:tc>
        <w:tc>
          <w:tcPr>
            <w:tcW w:w="2551" w:type="dxa"/>
            <w:vAlign w:val="center"/>
          </w:tcPr>
          <w:p>
            <w:pPr>
              <w:pStyle w:val="13"/>
            </w:pPr>
            <w:r>
              <w:t>16.34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7.59</w:t>
            </w:r>
          </w:p>
        </w:tc>
        <w:tc>
          <w:tcPr>
            <w:tcW w:w="2551" w:type="dxa"/>
            <w:vAlign w:val="center"/>
          </w:tcPr>
          <w:p>
            <w:pPr>
              <w:pStyle w:val="13"/>
            </w:pPr>
            <w:r>
              <w:t>7.59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5.83</w:t>
            </w:r>
          </w:p>
        </w:tc>
        <w:tc>
          <w:tcPr>
            <w:tcW w:w="2551" w:type="dxa"/>
            <w:vAlign w:val="center"/>
          </w:tcPr>
          <w:p>
            <w:pPr>
              <w:pStyle w:val="13"/>
            </w:pPr>
            <w:r>
              <w:t>5.83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2.92</w:t>
            </w:r>
          </w:p>
        </w:tc>
        <w:tc>
          <w:tcPr>
            <w:tcW w:w="2551" w:type="dxa"/>
            <w:vAlign w:val="center"/>
          </w:tcPr>
          <w:p>
            <w:pPr>
              <w:pStyle w:val="13"/>
            </w:pPr>
            <w:r>
              <w:t>2.92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2.92</w:t>
            </w:r>
          </w:p>
        </w:tc>
        <w:tc>
          <w:tcPr>
            <w:tcW w:w="2551" w:type="dxa"/>
            <w:vAlign w:val="center"/>
          </w:tcPr>
          <w:p>
            <w:pPr>
              <w:pStyle w:val="13"/>
            </w:pPr>
            <w:r>
              <w:t>2.92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2.92</w:t>
            </w:r>
          </w:p>
        </w:tc>
        <w:tc>
          <w:tcPr>
            <w:tcW w:w="2551" w:type="dxa"/>
            <w:vAlign w:val="center"/>
          </w:tcPr>
          <w:p>
            <w:pPr>
              <w:pStyle w:val="13"/>
            </w:pPr>
            <w:r>
              <w:t>2.92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2.92</w:t>
            </w:r>
          </w:p>
        </w:tc>
        <w:tc>
          <w:tcPr>
            <w:tcW w:w="2551" w:type="dxa"/>
            <w:vAlign w:val="center"/>
          </w:tcPr>
          <w:p>
            <w:pPr>
              <w:pStyle w:val="13"/>
            </w:pPr>
            <w:r>
              <w:t>2.92</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766河北省涞源县工商业联合会</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81.23</w:t>
            </w:r>
          </w:p>
        </w:tc>
        <w:tc>
          <w:tcPr>
            <w:tcW w:w="2551" w:type="dxa"/>
            <w:vAlign w:val="center"/>
          </w:tcPr>
          <w:p>
            <w:pPr>
              <w:pStyle w:val="17"/>
            </w:pPr>
            <w:r>
              <w:t>75.19</w:t>
            </w:r>
          </w:p>
        </w:tc>
        <w:tc>
          <w:tcPr>
            <w:tcW w:w="2551" w:type="dxa"/>
            <w:vAlign w:val="center"/>
          </w:tcPr>
          <w:p>
            <w:pPr>
              <w:pStyle w:val="17"/>
            </w:pPr>
            <w:r>
              <w:t>6.04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67.60</w:t>
            </w:r>
          </w:p>
        </w:tc>
        <w:tc>
          <w:tcPr>
            <w:tcW w:w="2551" w:type="dxa"/>
            <w:vAlign w:val="center"/>
          </w:tcPr>
          <w:p>
            <w:pPr>
              <w:pStyle w:val="13"/>
            </w:pPr>
            <w:r>
              <w:t>67.60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28.65</w:t>
            </w:r>
          </w:p>
        </w:tc>
        <w:tc>
          <w:tcPr>
            <w:tcW w:w="2551" w:type="dxa"/>
            <w:vAlign w:val="center"/>
          </w:tcPr>
          <w:p>
            <w:pPr>
              <w:pStyle w:val="13"/>
            </w:pPr>
            <w:r>
              <w:t>28.65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15.99</w:t>
            </w:r>
          </w:p>
        </w:tc>
        <w:tc>
          <w:tcPr>
            <w:tcW w:w="2551" w:type="dxa"/>
            <w:vAlign w:val="center"/>
          </w:tcPr>
          <w:p>
            <w:pPr>
              <w:pStyle w:val="13"/>
            </w:pPr>
            <w:r>
              <w:t>15.99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5.46</w:t>
            </w:r>
          </w:p>
        </w:tc>
        <w:tc>
          <w:tcPr>
            <w:tcW w:w="2551" w:type="dxa"/>
            <w:vAlign w:val="center"/>
          </w:tcPr>
          <w:p>
            <w:pPr>
              <w:pStyle w:val="13"/>
            </w:pPr>
            <w:r>
              <w:t>5.46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3.30</w:t>
            </w:r>
          </w:p>
        </w:tc>
        <w:tc>
          <w:tcPr>
            <w:tcW w:w="2551" w:type="dxa"/>
            <w:vAlign w:val="center"/>
          </w:tcPr>
          <w:p>
            <w:pPr>
              <w:pStyle w:val="13"/>
            </w:pPr>
            <w:r>
              <w:t>3.30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5.83</w:t>
            </w:r>
          </w:p>
        </w:tc>
        <w:tc>
          <w:tcPr>
            <w:tcW w:w="2551" w:type="dxa"/>
            <w:vAlign w:val="center"/>
          </w:tcPr>
          <w:p>
            <w:pPr>
              <w:pStyle w:val="13"/>
            </w:pPr>
            <w:r>
              <w:t>5.83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2.92</w:t>
            </w:r>
          </w:p>
        </w:tc>
        <w:tc>
          <w:tcPr>
            <w:tcW w:w="2551" w:type="dxa"/>
            <w:vAlign w:val="center"/>
          </w:tcPr>
          <w:p>
            <w:pPr>
              <w:pStyle w:val="13"/>
            </w:pPr>
            <w:r>
              <w:t>2.92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2.35</w:t>
            </w:r>
          </w:p>
        </w:tc>
        <w:tc>
          <w:tcPr>
            <w:tcW w:w="2551" w:type="dxa"/>
            <w:vAlign w:val="center"/>
          </w:tcPr>
          <w:p>
            <w:pPr>
              <w:pStyle w:val="13"/>
            </w:pPr>
            <w:r>
              <w:t>2.35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0.18</w:t>
            </w:r>
          </w:p>
        </w:tc>
        <w:tc>
          <w:tcPr>
            <w:tcW w:w="2551" w:type="dxa"/>
            <w:vAlign w:val="center"/>
          </w:tcPr>
          <w:p>
            <w:pPr>
              <w:pStyle w:val="13"/>
            </w:pPr>
            <w:r>
              <w:t>0.18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2.92</w:t>
            </w:r>
          </w:p>
        </w:tc>
        <w:tc>
          <w:tcPr>
            <w:tcW w:w="2551" w:type="dxa"/>
            <w:vAlign w:val="center"/>
          </w:tcPr>
          <w:p>
            <w:pPr>
              <w:pStyle w:val="13"/>
            </w:pPr>
            <w:r>
              <w:t>2.92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6.04</w:t>
            </w:r>
          </w:p>
        </w:tc>
        <w:tc>
          <w:tcPr>
            <w:tcW w:w="2551" w:type="dxa"/>
            <w:vAlign w:val="center"/>
          </w:tcPr>
          <w:p>
            <w:pPr>
              <w:pStyle w:val="13"/>
            </w:pPr>
          </w:p>
        </w:tc>
        <w:tc>
          <w:tcPr>
            <w:tcW w:w="2551" w:type="dxa"/>
            <w:vAlign w:val="center"/>
          </w:tcPr>
          <w:p>
            <w:pPr>
              <w:pStyle w:val="13"/>
            </w:pPr>
            <w:r>
              <w:t>6.04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0.70</w:t>
            </w:r>
          </w:p>
        </w:tc>
        <w:tc>
          <w:tcPr>
            <w:tcW w:w="2551" w:type="dxa"/>
            <w:vAlign w:val="center"/>
          </w:tcPr>
          <w:p>
            <w:pPr>
              <w:pStyle w:val="13"/>
            </w:pPr>
          </w:p>
        </w:tc>
        <w:tc>
          <w:tcPr>
            <w:tcW w:w="2551" w:type="dxa"/>
            <w:vAlign w:val="center"/>
          </w:tcPr>
          <w:p>
            <w:pPr>
              <w:pStyle w:val="13"/>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0.54</w:t>
            </w:r>
          </w:p>
        </w:tc>
        <w:tc>
          <w:tcPr>
            <w:tcW w:w="2551" w:type="dxa"/>
            <w:vAlign w:val="center"/>
          </w:tcPr>
          <w:p>
            <w:pPr>
              <w:pStyle w:val="13"/>
            </w:pPr>
          </w:p>
        </w:tc>
        <w:tc>
          <w:tcPr>
            <w:tcW w:w="2551" w:type="dxa"/>
            <w:vAlign w:val="center"/>
          </w:tcPr>
          <w:p>
            <w:pPr>
              <w:pStyle w:val="13"/>
            </w:pPr>
            <w:r>
              <w:t>0.54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1.40</w:t>
            </w:r>
          </w:p>
        </w:tc>
        <w:tc>
          <w:tcPr>
            <w:tcW w:w="2551" w:type="dxa"/>
            <w:vAlign w:val="center"/>
          </w:tcPr>
          <w:p>
            <w:pPr>
              <w:pStyle w:val="13"/>
            </w:pPr>
          </w:p>
        </w:tc>
        <w:tc>
          <w:tcPr>
            <w:tcW w:w="2551" w:type="dxa"/>
            <w:vAlign w:val="center"/>
          </w:tcPr>
          <w:p>
            <w:pPr>
              <w:pStyle w:val="13"/>
            </w:pP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0.90</w:t>
            </w:r>
          </w:p>
        </w:tc>
        <w:tc>
          <w:tcPr>
            <w:tcW w:w="2551" w:type="dxa"/>
            <w:vAlign w:val="center"/>
          </w:tcPr>
          <w:p>
            <w:pPr>
              <w:pStyle w:val="13"/>
            </w:pPr>
          </w:p>
        </w:tc>
        <w:tc>
          <w:tcPr>
            <w:tcW w:w="2551" w:type="dxa"/>
            <w:vAlign w:val="center"/>
          </w:tcPr>
          <w:p>
            <w:pPr>
              <w:pStyle w:val="13"/>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2.46</w:t>
            </w:r>
          </w:p>
        </w:tc>
        <w:tc>
          <w:tcPr>
            <w:tcW w:w="2551" w:type="dxa"/>
            <w:vAlign w:val="center"/>
          </w:tcPr>
          <w:p>
            <w:pPr>
              <w:pStyle w:val="13"/>
            </w:pPr>
          </w:p>
        </w:tc>
        <w:tc>
          <w:tcPr>
            <w:tcW w:w="2551" w:type="dxa"/>
            <w:vAlign w:val="center"/>
          </w:tcPr>
          <w:p>
            <w:pPr>
              <w:pStyle w:val="13"/>
            </w:pPr>
            <w:r>
              <w:t>2.46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0.04</w:t>
            </w:r>
          </w:p>
        </w:tc>
        <w:tc>
          <w:tcPr>
            <w:tcW w:w="2551" w:type="dxa"/>
            <w:vAlign w:val="center"/>
          </w:tcPr>
          <w:p>
            <w:pPr>
              <w:pStyle w:val="13"/>
            </w:pPr>
          </w:p>
        </w:tc>
        <w:tc>
          <w:tcPr>
            <w:tcW w:w="2551" w:type="dxa"/>
            <w:vAlign w:val="center"/>
          </w:tcPr>
          <w:p>
            <w:pPr>
              <w:pStyle w:val="13"/>
            </w:pPr>
            <w:r>
              <w:t>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7.59</w:t>
            </w:r>
          </w:p>
        </w:tc>
        <w:tc>
          <w:tcPr>
            <w:tcW w:w="2551" w:type="dxa"/>
            <w:vAlign w:val="center"/>
          </w:tcPr>
          <w:p>
            <w:pPr>
              <w:pStyle w:val="13"/>
            </w:pPr>
            <w:r>
              <w:t>7.59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7.59</w:t>
            </w:r>
          </w:p>
        </w:tc>
        <w:tc>
          <w:tcPr>
            <w:tcW w:w="2551" w:type="dxa"/>
            <w:vAlign w:val="center"/>
          </w:tcPr>
          <w:p>
            <w:pPr>
              <w:pStyle w:val="13"/>
            </w:pPr>
            <w:r>
              <w:t>7.59</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766河北省涞源县工商业联合会</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766河北省涞源县工商业联合会</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766河北省涞源县工商业联合会</w:t>
            </w:r>
          </w:p>
        </w:tc>
        <w:tc>
          <w:tcPr>
            <w:tcW w:w="2381" w:type="dxa"/>
            <w:tcBorders>
              <w:top w:val="single" w:color="FFFFFF" w:sz="6" w:space="0"/>
              <w:left w:val="single" w:color="FFFFFF" w:sz="6" w:space="0"/>
              <w:right w:val="single" w:color="FFFFFF" w:sz="6" w:space="0"/>
            </w:tcBorders>
            <w:vAlign w:val="center"/>
          </w:tcPr>
          <w:p>
            <w:pPr>
              <w:pStyle w:val="10"/>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r>
              <w:t>0.90</w:t>
            </w:r>
          </w:p>
        </w:tc>
        <w:tc>
          <w:tcPr>
            <w:tcW w:w="2381" w:type="dxa"/>
            <w:vAlign w:val="center"/>
          </w:tcPr>
          <w:p>
            <w:pPr>
              <w:pStyle w:val="17"/>
            </w:pPr>
            <w:r>
              <w:t>0.90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pPr>
            <w:r>
              <w:t>0.90</w:t>
            </w:r>
          </w:p>
        </w:tc>
        <w:tc>
          <w:tcPr>
            <w:tcW w:w="2381" w:type="dxa"/>
            <w:vAlign w:val="center"/>
          </w:tcPr>
          <w:p>
            <w:pPr>
              <w:pStyle w:val="13"/>
            </w:pPr>
            <w:r>
              <w:t>0.90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r>
              <w:t>0.90</w:t>
            </w:r>
          </w:p>
        </w:tc>
        <w:tc>
          <w:tcPr>
            <w:tcW w:w="2381" w:type="dxa"/>
            <w:vAlign w:val="center"/>
          </w:tcPr>
          <w:p>
            <w:pPr>
              <w:pStyle w:val="13"/>
            </w:pPr>
            <w:r>
              <w:t>0.90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10</w:t>
            </w:r>
          </w:p>
        </w:tc>
        <w:tc>
          <w:tcPr>
            <w:tcW w:w="3798" w:type="dxa"/>
            <w:vAlign w:val="center"/>
          </w:tcPr>
          <w:p>
            <w:pPr>
              <w:pStyle w:val="14"/>
            </w:pPr>
            <w:r>
              <w:t>四、会议费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11</w:t>
            </w:r>
          </w:p>
        </w:tc>
        <w:tc>
          <w:tcPr>
            <w:tcW w:w="3798" w:type="dxa"/>
            <w:vAlign w:val="center"/>
          </w:tcPr>
          <w:p>
            <w:pPr>
              <w:pStyle w:val="14"/>
            </w:pPr>
            <w:r>
              <w:t xml:space="preserve">    其中：省属高校业务性会议费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12</w:t>
            </w:r>
          </w:p>
        </w:tc>
        <w:tc>
          <w:tcPr>
            <w:tcW w:w="3798" w:type="dxa"/>
            <w:vAlign w:val="center"/>
          </w:tcPr>
          <w:p>
            <w:pPr>
              <w:pStyle w:val="14"/>
            </w:pPr>
            <w:r>
              <w:t xml:space="preserve">          其他会议费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13</w:t>
            </w:r>
          </w:p>
        </w:tc>
        <w:tc>
          <w:tcPr>
            <w:tcW w:w="3798" w:type="dxa"/>
            <w:vAlign w:val="center"/>
          </w:tcPr>
          <w:p>
            <w:pPr>
              <w:pStyle w:val="14"/>
            </w:pPr>
            <w:r>
              <w:t>五、培训费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河北省涞源县工商业联合会2024年部门预算信息公开情况说明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河北省涞源县工商业联合会2024年部门预算信息公开情况说明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按照《中华人民共和国预算法》、《地方预决算公开操作规程》和《关于进一步推进预算公开工作的实施意见》规定，现将河北省涞源县工商业联合会2024年部门预算公开如下：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（一）参政议政、社会服务等事项。增强组织凝聚力和社会影响力，提升参政议政水平。组织经贸洽谈、招商引资等经济活动，助力县域经济发展；</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（二）组织开展调研，向县政协提交大会发言和集体提案，反映社情民意，与县政府对口单位紧密联系，开展各种活动及相关会议;</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（三）积极搭建服务平台，举办招商会、银企对接会、招商引资，民企活动及法律维权、科技进民企活动。加强与知名企业的合作交流。组织会员企业参与农村面貌改造提升行动、社会扶贫和公益事业；</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（四）组织建设及宣传教育、培训等事项,发展工商联会员、指导基层工商联组织建设；组织培训、思想政治教育，对非公有制经济优秀事迹进行宣传等事项；</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五）贯彻省市工商联组织建设工作方针，指导全县各级组织的建设，维护会员合法权益，组织换届、培训、思想教育和基层建设工作，对非公有制经济优秀事迹进行宣传，指导全县各级组织建设。提升民营企业家素质，推进民营企业文化建设，提升工商联工作影响力；</w:t>
      </w:r>
    </w:p>
    <w:p>
      <w:pPr>
        <w:spacing w:before="0" w:after="0" w:line="500" w:lineRule="exact"/>
        <w:ind w:firstLine="560"/>
        <w:jc w:val="left"/>
        <w:outlineLvl w:val="9"/>
        <w:rPr>
          <w:rFonts w:ascii="Times New Roman" w:hAnsi="Times New Roman" w:eastAsia="方正仿宋_GBK" w:cs="Times New Roman"/>
          <w:color w:val="000000"/>
          <w:sz w:val="28"/>
          <w:lang w:val="en-US" w:eastAsia="zh-CN"/>
        </w:rPr>
      </w:pPr>
      <w:r>
        <w:rPr>
          <w:rFonts w:ascii="Times New Roman" w:hAnsi="Times New Roman" w:eastAsia="方正仿宋_GBK" w:cs="Times New Roman"/>
          <w:color w:val="000000"/>
          <w:sz w:val="28"/>
          <w:lang w:val="en-US" w:eastAsia="zh-CN"/>
        </w:rPr>
        <w:t>（六）综合性事务管理等事项，保障工商联各项工作顺利开展；</w:t>
      </w:r>
    </w:p>
    <w:p>
      <w:pPr>
        <w:spacing w:before="0" w:after="0" w:line="500" w:lineRule="exact"/>
        <w:ind w:firstLine="560"/>
        <w:jc w:val="left"/>
        <w:outlineLvl w:val="9"/>
        <w:rPr>
          <w:rFonts w:ascii="Times New Roman" w:hAnsi="Times New Roman" w:eastAsia="方正仿宋_GBK" w:cs="Times New Roman"/>
          <w:color w:val="000000"/>
          <w:sz w:val="28"/>
          <w:lang w:val="en-US" w:eastAsia="zh-CN"/>
        </w:rPr>
      </w:pPr>
      <w:r>
        <w:rPr>
          <w:rFonts w:ascii="Times New Roman" w:hAnsi="Times New Roman" w:eastAsia="方正仿宋_GBK" w:cs="Times New Roman"/>
          <w:color w:val="000000"/>
          <w:sz w:val="28"/>
          <w:lang w:val="en-US" w:eastAsia="zh-CN"/>
        </w:rPr>
        <w:t>（七）档案、信息、机关各类会议、财务、机要、保密、安全保卫、固定资产等管理和后勤保障工作。保证工商联日常工作正常运转。</w:t>
      </w:r>
    </w:p>
    <w:p>
      <w:pPr>
        <w:pStyle w:val="1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42"/>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242"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42" w:type="dxa"/>
            <w:vAlign w:val="center"/>
          </w:tcPr>
          <w:p>
            <w:pPr>
              <w:pStyle w:val="14"/>
            </w:pPr>
            <w:r>
              <w:t>河北省涞源县工商业联合会本级</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20"/>
      </w:pPr>
      <w:r>
        <w:t>按照预算管理有关规定，目前部门预算的编制实行综合预算管理，即全部收入和支出都反映在预算中。河北省涞源县工商业联合会机关及所属事业单位的收支包含在部门预算中。</w:t>
      </w:r>
    </w:p>
    <w:p>
      <w:pPr>
        <w:pStyle w:val="20"/>
      </w:pPr>
      <w:r>
        <w:t>1、收入说明</w:t>
      </w:r>
    </w:p>
    <w:p>
      <w:pPr>
        <w:pStyle w:val="20"/>
      </w:pPr>
      <w:r>
        <w:t>反映本部门当年全部收入。2024年预算收入87.02万元，其中：一般公共预算收入87.02万元，基金预算收入0.00万元，国有资本经营预算收入0.00万元，财政专户核拨收入0.00万元，单位资金收入0.00万元，上年结转结余0.00万元。</w:t>
      </w:r>
    </w:p>
    <w:p>
      <w:pPr>
        <w:pStyle w:val="20"/>
      </w:pPr>
      <w:r>
        <w:t>2、支出说明</w:t>
      </w:r>
    </w:p>
    <w:p>
      <w:pPr>
        <w:pStyle w:val="20"/>
        <w:rPr>
          <w:rFonts w:hint="eastAsia" w:eastAsia="方正仿宋_GBK"/>
          <w:lang w:val="en-US" w:eastAsia="zh-CN"/>
        </w:rPr>
      </w:pPr>
      <w:r>
        <w:t>收支预算总表支出栏、基本支出表、项目支出表按经济分类和支出功能分类科目编制，反映河北省涞源县工商业联合会年度部门预算中支出预算的总体情况。2024年支出预算87.02万元，其中基本支出81.23万元，包括人员经费75.19万元和日常公用经费6.04万元；项目支出5.79万元，主要为工商联专项5.79万元</w:t>
      </w:r>
      <w:r>
        <w:rPr>
          <w:rFonts w:hint="eastAsia"/>
          <w:lang w:eastAsia="zh-CN"/>
        </w:rPr>
        <w:t>。</w:t>
      </w:r>
    </w:p>
    <w:p>
      <w:pPr>
        <w:pStyle w:val="20"/>
      </w:pPr>
      <w:r>
        <w:t>3、比上年增减情况</w:t>
      </w:r>
    </w:p>
    <w:p>
      <w:pPr>
        <w:pStyle w:val="20"/>
      </w:pPr>
      <w:r>
        <w:t>2024年预算收支安排87.02万元，较2023年预算减少17.27万元，其中：基本支出减少13.72万元，主要为减少人员经费支出</w:t>
      </w:r>
      <w:r>
        <w:rPr>
          <w:rFonts w:hint="eastAsia"/>
          <w:lang w:eastAsia="zh-CN"/>
        </w:rPr>
        <w:t>；</w:t>
      </w:r>
      <w:r>
        <w:t>项目支出减少3.55万元，主要为2024年减少工商联劳务费项目。</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2024年，我部门机关运行经费共计安排6.04万元，主要用于日常维修、办公用房水电费、办公用房取暖费、办公用房物业管理费等日常运行支出。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2024年，我部门财政拨款“三公”经费预算安排</w:t>
      </w:r>
      <w:r>
        <w:rPr>
          <w:rFonts w:hint="eastAsia"/>
          <w:lang w:val="en-US" w:eastAsia="zh-CN"/>
        </w:rPr>
        <w:t>0.90</w:t>
      </w:r>
      <w:r>
        <w:t>万元，其中因公出国（境）费0.00万元；公务用车购置及运维费0.00万元（其中：公务用车购置费为0.00万元，公务用车运维费0.00万元)；公务接待费</w:t>
      </w:r>
      <w:r>
        <w:rPr>
          <w:rFonts w:hint="eastAsia"/>
          <w:lang w:val="en-US" w:eastAsia="zh-CN"/>
        </w:rPr>
        <w:t>0.90</w:t>
      </w:r>
      <w:r>
        <w:t>万元。与2023年相比</w:t>
      </w:r>
      <w:r>
        <w:rPr>
          <w:rFonts w:hint="eastAsia"/>
          <w:lang w:eastAsia="zh-CN"/>
        </w:rPr>
        <w:t>减少</w:t>
      </w:r>
      <w:r>
        <w:rPr>
          <w:rFonts w:hint="eastAsia"/>
          <w:lang w:val="en-US" w:eastAsia="zh-CN"/>
        </w:rPr>
        <w:t>0.10</w:t>
      </w:r>
      <w:r>
        <w:t>万元，增减变化的主要原因是响应中央八项规定，厉行节约。</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增强组织凝聚力和社会影响力，提升参政议政水平。参与政治协商，发挥民主监督作用，开展专题调研和服务场次，开展常委会、执委会。组织经贸洽谈、招商引资等经济活动，助力县域经济发展，助力“万企兴万村”工作任务。积极搭建服务平台，举办招商会、银企对接会、招商引资，民企活动及法律维权、科技进民企活动。加强与民营企业的合作交流，开展非公经济组织系列活动，参与协调劳动关系，协同社会治理，促进社会和谐稳定。组织会员企业参与农村面貌改造提升行动、社会扶贫和公益事业。组织对民营企业家进行红色教育培训活动。提高硬件设备工作效率，更好开展工作，充分提高单位工作便利性和高效性,保障单位日常运转。</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1、工商联专项经费</w:t>
      </w:r>
    </w:p>
    <w:p>
      <w:pPr>
        <w:pStyle w:val="24"/>
      </w:pPr>
      <w:r>
        <w:t>绩效目标:参与政治协商，发挥民主监督作用，积极参政议政</w:t>
      </w:r>
    </w:p>
    <w:p>
      <w:pPr>
        <w:pStyle w:val="24"/>
      </w:pPr>
      <w:r>
        <w:t>绩效指标:开展专题调研和服务，召开常委会2次，执委会1次。</w:t>
      </w:r>
    </w:p>
    <w:p>
      <w:pPr>
        <w:pStyle w:val="24"/>
      </w:pPr>
      <w:r>
        <w:t>2、万企兴万村入村调研及台账管理</w:t>
      </w:r>
    </w:p>
    <w:p>
      <w:pPr>
        <w:pStyle w:val="24"/>
      </w:pPr>
      <w:r>
        <w:t>绩效目标:开展非公经济组织系列活动，参与协调劳动关系，协同社会治理，促进社会和谐稳定；组织非公领域先进典型宣传活动，组织举办企业家座谈会交流等活动，促进增强对中国特色社会主义的信念、对党和政府的信任、对企业发展的信心、及对社会的信任。</w:t>
      </w:r>
    </w:p>
    <w:p>
      <w:pPr>
        <w:pStyle w:val="24"/>
      </w:pPr>
      <w:r>
        <w:t>绩效指标:民营企业学法懂法用法培训3次，案维权服务完成率达到60%，民营企业投诉率降低10%。</w:t>
      </w:r>
    </w:p>
    <w:p>
      <w:pPr>
        <w:pStyle w:val="24"/>
      </w:pPr>
      <w:r>
        <w:t>3、企业调研座谈</w:t>
      </w:r>
    </w:p>
    <w:p>
      <w:pPr>
        <w:pStyle w:val="24"/>
      </w:pPr>
      <w:r>
        <w:t>绩效目标:增强对中国特色社会主义的信念、对党和政府的信任、对企业发展的信心，以及对社会的信任。</w:t>
      </w:r>
    </w:p>
    <w:p>
      <w:pPr>
        <w:pStyle w:val="24"/>
      </w:pPr>
      <w:r>
        <w:t>绩效指标:组织举办企业家座谈交流活动3场。</w:t>
      </w:r>
    </w:p>
    <w:p>
      <w:pPr>
        <w:pStyle w:val="24"/>
      </w:pPr>
      <w:r>
        <w:t>4、会员企业培训</w:t>
      </w:r>
    </w:p>
    <w:p>
      <w:pPr>
        <w:pStyle w:val="24"/>
      </w:pPr>
      <w:r>
        <w:t>绩效目标:加强企业家队伍建设，促进民营经济高品质发展，促进非公经济发展，协助政府管理和服务对非公有制经济影响力。</w:t>
      </w:r>
    </w:p>
    <w:p>
      <w:pPr>
        <w:pStyle w:val="24"/>
      </w:pPr>
      <w:r>
        <w:t>绩效指标:开展民营企业家培训活动4次。</w:t>
      </w:r>
    </w:p>
    <w:p>
      <w:pPr>
        <w:pStyle w:val="24"/>
      </w:pPr>
      <w:r>
        <w:t>5、更新办公设备</w:t>
      </w:r>
    </w:p>
    <w:p>
      <w:pPr>
        <w:pStyle w:val="24"/>
      </w:pPr>
      <w:r>
        <w:t>绩效目标:提高硬件设备工作效率，更好开展工作，充分提高单位工作便利性和高效性。</w:t>
      </w:r>
    </w:p>
    <w:p>
      <w:pPr>
        <w:pStyle w:val="24"/>
      </w:pPr>
      <w:r>
        <w:t>绩效指标:购置保密电脑1台，普通办公电脑4台，打印机3台，碎纸机1台，笔记本电脑1台。</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1、完善制度建设。修订完善预算绩效管理制度、资金管理办法，为全年预算绩效目标的实现奠定基础。</w:t>
      </w:r>
    </w:p>
    <w:p>
      <w:pPr>
        <w:pStyle w:val="25"/>
      </w:pPr>
      <w:r>
        <w:t>2、加强支出管理。根据预算优化支出结构、编细编实预算、及时支付资金。</w:t>
      </w:r>
    </w:p>
    <w:p>
      <w:pPr>
        <w:pStyle w:val="25"/>
      </w:pPr>
      <w:r>
        <w:t>3、加强绩效运行监控。按要求开展绩效运行监控，发现问题及时采取措施，确保绩效目标如期保质实现。</w:t>
      </w:r>
    </w:p>
    <w:p>
      <w:pPr>
        <w:pStyle w:val="25"/>
      </w:pPr>
      <w:r>
        <w:t>4、做好绩效自评。按要求对上年度部门预算绩效工作进行自评，对评价中发现的问题及时整改。</w:t>
      </w:r>
    </w:p>
    <w:p>
      <w:pPr>
        <w:pStyle w:val="25"/>
      </w:pPr>
      <w:r>
        <w:t>5、规范财务资产管理。制定财务管理制度，严格审批程序，加强固定资产登记、使用和报废处置管理，做到支出合理，物尽其用。</w:t>
      </w:r>
    </w:p>
    <w:p>
      <w:pPr>
        <w:pStyle w:val="25"/>
      </w:pPr>
      <w:r>
        <w:t>6、加强内部监督。制定内部监督制度，对绩效运行情况、重大支出决策进行督导。对会计资料进行内部审计，并配合做好审计、财政监督等外部监督工作，确保财政资金安全有效。</w:t>
      </w:r>
    </w:p>
    <w:p>
      <w:pPr>
        <w:pStyle w:val="25"/>
      </w:pPr>
      <w:r>
        <w:t>7、加强宣传培训调研。加强对各部门人员进行相关业务培训，提高本部门职工业务素质;加大宣传力度，强化绩效管理意识，促进绩效管理水平进一步提升。</w:t>
      </w:r>
    </w:p>
    <w:p>
      <w:pPr>
        <w:pStyle w:val="25"/>
        <w:sectPr>
          <w:pgSz w:w="16840" w:h="11900" w:orient="landscape"/>
          <w:pgMar w:top="1361" w:right="1020" w:bottom="1361" w:left="1020" w:header="720" w:footer="720" w:gutter="0"/>
          <w:cols w:space="720" w:num="1"/>
        </w:sectPr>
      </w:pPr>
      <w:r>
        <w:t>8、成立领导小组。确保总体绩效目标实现。</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1、工商联专项绩效目标表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13063024P00017610001H</w:t>
            </w:r>
          </w:p>
        </w:tc>
        <w:tc>
          <w:tcPr>
            <w:tcW w:w="2835" w:type="dxa"/>
            <w:vAlign w:val="center"/>
          </w:tcPr>
          <w:p>
            <w:pPr>
              <w:pStyle w:val="12"/>
            </w:pPr>
            <w:r>
              <w:t>项目名称</w:t>
            </w:r>
          </w:p>
        </w:tc>
        <w:tc>
          <w:tcPr>
            <w:tcW w:w="6094" w:type="dxa"/>
            <w:gridSpan w:val="3"/>
            <w:vAlign w:val="center"/>
          </w:tcPr>
          <w:p>
            <w:pPr>
              <w:pStyle w:val="14"/>
            </w:pPr>
            <w:r>
              <w:t>工商联专项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5.79</w:t>
            </w:r>
          </w:p>
        </w:tc>
        <w:tc>
          <w:tcPr>
            <w:tcW w:w="2835" w:type="dxa"/>
            <w:vAlign w:val="center"/>
          </w:tcPr>
          <w:p>
            <w:pPr>
              <w:pStyle w:val="12"/>
            </w:pPr>
            <w:r>
              <w:t>其中：财政    资金</w:t>
            </w:r>
          </w:p>
        </w:tc>
        <w:tc>
          <w:tcPr>
            <w:tcW w:w="2551" w:type="dxa"/>
            <w:vAlign w:val="center"/>
          </w:tcPr>
          <w:p>
            <w:pPr>
              <w:pStyle w:val="14"/>
            </w:pPr>
            <w:r>
              <w:t>5.79</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1、根据《中华全国工商业联合会（总商会）章程》要求，常委会2次：140元/人天*63人天*2次=1.764万元，执委会1次：140元/人天*27人*1次=0.378万元，合计2.142万元。</w:t>
            </w:r>
          </w:p>
          <w:p>
            <w:pPr>
              <w:pStyle w:val="14"/>
            </w:pPr>
            <w:r>
              <w:t>2、根据万企兴万村台账要求，到企业所驻村调研走访经费0.9万元。</w:t>
            </w:r>
          </w:p>
          <w:p>
            <w:pPr>
              <w:pStyle w:val="14"/>
            </w:pPr>
            <w:r>
              <w:t>3、根据《全国工商联民营企业调查点管理办法》，深入开展企业调研周活动，会议室场地租赁费（企业座谈会）0.15*3=0.45万元。</w:t>
            </w:r>
          </w:p>
          <w:p>
            <w:pPr>
              <w:pStyle w:val="14"/>
            </w:pPr>
            <w:r>
              <w:t>4、根据保定市关于大力促进民营经济高质量发展的若干政策措施，加强企业家队伍建设，对民营企业家进行培训4次。场地费0.15*4=0.6万元；餐费按50元/人标准，40人：50*40*4=0.8万元；培训资料费0.9万元。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1.45</w:t>
            </w:r>
          </w:p>
        </w:tc>
        <w:tc>
          <w:tcPr>
            <w:tcW w:w="2835" w:type="dxa"/>
            <w:vAlign w:val="center"/>
          </w:tcPr>
          <w:p>
            <w:pPr>
              <w:pStyle w:val="15"/>
            </w:pPr>
            <w:r>
              <w:t>2.90</w:t>
            </w:r>
          </w:p>
        </w:tc>
        <w:tc>
          <w:tcPr>
            <w:tcW w:w="2551" w:type="dxa"/>
            <w:vAlign w:val="center"/>
          </w:tcPr>
          <w:p>
            <w:pPr>
              <w:pStyle w:val="15"/>
            </w:pPr>
            <w:r>
              <w:t>4.34</w:t>
            </w:r>
          </w:p>
        </w:tc>
        <w:tc>
          <w:tcPr>
            <w:tcW w:w="3543" w:type="dxa"/>
            <w:gridSpan w:val="2"/>
            <w:vAlign w:val="center"/>
          </w:tcPr>
          <w:p>
            <w:pPr>
              <w:pStyle w:val="15"/>
            </w:pPr>
            <w:r>
              <w:t>5.79</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1.1、根据《中华全国工商业联合会（总商会）章程》要求，常委会2次：140元/人天*63人天*2次=1.764万元，执委会1次：140元/人天*27人*1次=0.378万元，合计2.142万元。</w:t>
            </w:r>
          </w:p>
          <w:p>
            <w:pPr>
              <w:pStyle w:val="14"/>
            </w:pPr>
            <w:r>
              <w:t>2、根据万企兴万村台账要求，到企业所驻村调研走访经费0.9万元。</w:t>
            </w:r>
          </w:p>
          <w:p>
            <w:pPr>
              <w:pStyle w:val="14"/>
            </w:pPr>
            <w:r>
              <w:t>3、根据《全国工商联民营企业调查点管理办法》，深入开展企业调研周活动，会议室场地租赁费（企业座谈会）0.15*3=0.45万元。</w:t>
            </w:r>
          </w:p>
          <w:p>
            <w:pPr>
              <w:pStyle w:val="14"/>
            </w:pPr>
            <w:r>
              <w:t>4、根据保定市关于大力促进民营经济高质量发展的若干政策措施，加强企业家队伍建设，对民营企业家进行培训4次。场地费0.15*4=0.6万元；餐费按50元/人标准，40人：50*40*4=0.8万元；培训资料费0.9万元。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专题调研数量</w:t>
            </w:r>
          </w:p>
        </w:tc>
        <w:tc>
          <w:tcPr>
            <w:tcW w:w="5386" w:type="dxa"/>
            <w:vAlign w:val="center"/>
          </w:tcPr>
          <w:p>
            <w:pPr>
              <w:pStyle w:val="14"/>
            </w:pPr>
            <w:r>
              <w:t>开展专题调研次数</w:t>
            </w:r>
          </w:p>
        </w:tc>
        <w:tc>
          <w:tcPr>
            <w:tcW w:w="2268" w:type="dxa"/>
            <w:vAlign w:val="center"/>
          </w:tcPr>
          <w:p>
            <w:pPr>
              <w:pStyle w:val="14"/>
            </w:pPr>
            <w:r>
              <w:t>3次</w:t>
            </w:r>
          </w:p>
        </w:tc>
        <w:tc>
          <w:tcPr>
            <w:tcW w:w="1276" w:type="dxa"/>
            <w:vAlign w:val="center"/>
          </w:tcPr>
          <w:p>
            <w:pPr>
              <w:pStyle w:val="14"/>
            </w:pPr>
            <w:r>
              <w:t>总工会章程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召开常委会数量</w:t>
            </w:r>
          </w:p>
        </w:tc>
        <w:tc>
          <w:tcPr>
            <w:tcW w:w="5386" w:type="dxa"/>
            <w:vAlign w:val="center"/>
          </w:tcPr>
          <w:p>
            <w:pPr>
              <w:pStyle w:val="14"/>
            </w:pPr>
            <w:r>
              <w:t>本年度开展常委会场次</w:t>
            </w:r>
          </w:p>
        </w:tc>
        <w:tc>
          <w:tcPr>
            <w:tcW w:w="2268" w:type="dxa"/>
            <w:vAlign w:val="center"/>
          </w:tcPr>
          <w:p>
            <w:pPr>
              <w:pStyle w:val="14"/>
            </w:pPr>
            <w:r>
              <w:t>2场</w:t>
            </w:r>
          </w:p>
        </w:tc>
        <w:tc>
          <w:tcPr>
            <w:tcW w:w="1276" w:type="dxa"/>
            <w:vAlign w:val="center"/>
          </w:tcPr>
          <w:p>
            <w:pPr>
              <w:pStyle w:val="14"/>
            </w:pPr>
            <w:r>
              <w:t>总工会章程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召开执委会数量</w:t>
            </w:r>
          </w:p>
        </w:tc>
        <w:tc>
          <w:tcPr>
            <w:tcW w:w="5386" w:type="dxa"/>
            <w:vAlign w:val="center"/>
          </w:tcPr>
          <w:p>
            <w:pPr>
              <w:pStyle w:val="14"/>
            </w:pPr>
            <w:r>
              <w:t>本年度开展执委会场次</w:t>
            </w:r>
          </w:p>
        </w:tc>
        <w:tc>
          <w:tcPr>
            <w:tcW w:w="2268" w:type="dxa"/>
            <w:vAlign w:val="center"/>
          </w:tcPr>
          <w:p>
            <w:pPr>
              <w:pStyle w:val="14"/>
            </w:pPr>
            <w:r>
              <w:t>1场</w:t>
            </w:r>
          </w:p>
        </w:tc>
        <w:tc>
          <w:tcPr>
            <w:tcW w:w="1276" w:type="dxa"/>
            <w:vAlign w:val="center"/>
          </w:tcPr>
          <w:p>
            <w:pPr>
              <w:pStyle w:val="14"/>
            </w:pPr>
            <w:r>
              <w:t>总工会章程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培训民营企业学法懂法用法次数</w:t>
            </w:r>
          </w:p>
        </w:tc>
        <w:tc>
          <w:tcPr>
            <w:tcW w:w="5386" w:type="dxa"/>
            <w:vAlign w:val="center"/>
          </w:tcPr>
          <w:p>
            <w:pPr>
              <w:pStyle w:val="14"/>
            </w:pPr>
            <w:r>
              <w:t>培训民营企业学法懂法用法次数</w:t>
            </w:r>
          </w:p>
        </w:tc>
        <w:tc>
          <w:tcPr>
            <w:tcW w:w="2268" w:type="dxa"/>
            <w:vAlign w:val="center"/>
          </w:tcPr>
          <w:p>
            <w:pPr>
              <w:pStyle w:val="14"/>
            </w:pPr>
            <w:r>
              <w:t>3次</w:t>
            </w:r>
          </w:p>
        </w:tc>
        <w:tc>
          <w:tcPr>
            <w:tcW w:w="1276" w:type="dxa"/>
            <w:vAlign w:val="center"/>
          </w:tcPr>
          <w:p>
            <w:pPr>
              <w:pStyle w:val="14"/>
            </w:pPr>
            <w:r>
              <w:t>总工会章程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开展红色教育培训数量</w:t>
            </w:r>
          </w:p>
        </w:tc>
        <w:tc>
          <w:tcPr>
            <w:tcW w:w="5386" w:type="dxa"/>
            <w:vAlign w:val="center"/>
          </w:tcPr>
          <w:p>
            <w:pPr>
              <w:pStyle w:val="14"/>
            </w:pPr>
            <w:r>
              <w:t>对民营企业家红色教育培训次数</w:t>
            </w:r>
          </w:p>
        </w:tc>
        <w:tc>
          <w:tcPr>
            <w:tcW w:w="2268" w:type="dxa"/>
            <w:vAlign w:val="center"/>
          </w:tcPr>
          <w:p>
            <w:pPr>
              <w:pStyle w:val="14"/>
            </w:pPr>
            <w:r>
              <w:t>1次</w:t>
            </w:r>
          </w:p>
        </w:tc>
        <w:tc>
          <w:tcPr>
            <w:tcW w:w="1276" w:type="dxa"/>
            <w:vAlign w:val="center"/>
          </w:tcPr>
          <w:p>
            <w:pPr>
              <w:pStyle w:val="14"/>
            </w:pPr>
            <w:r>
              <w:t>总工会章程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调研完成率</w:t>
            </w:r>
          </w:p>
        </w:tc>
        <w:tc>
          <w:tcPr>
            <w:tcW w:w="5386" w:type="dxa"/>
            <w:vAlign w:val="center"/>
          </w:tcPr>
          <w:p>
            <w:pPr>
              <w:pStyle w:val="14"/>
            </w:pPr>
            <w:r>
              <w:t>实际调研次数/计划召开场次*100%</w:t>
            </w:r>
          </w:p>
        </w:tc>
        <w:tc>
          <w:tcPr>
            <w:tcW w:w="2268" w:type="dxa"/>
            <w:vAlign w:val="center"/>
          </w:tcPr>
          <w:p>
            <w:pPr>
              <w:pStyle w:val="14"/>
            </w:pPr>
            <w:r>
              <w:t>100%</w:t>
            </w:r>
          </w:p>
        </w:tc>
        <w:tc>
          <w:tcPr>
            <w:tcW w:w="127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召开完成率</w:t>
            </w:r>
          </w:p>
        </w:tc>
        <w:tc>
          <w:tcPr>
            <w:tcW w:w="5386" w:type="dxa"/>
            <w:vAlign w:val="center"/>
          </w:tcPr>
          <w:p>
            <w:pPr>
              <w:pStyle w:val="14"/>
            </w:pPr>
            <w:r>
              <w:t>实际召开场次/计划召开场次*100%</w:t>
            </w:r>
          </w:p>
        </w:tc>
        <w:tc>
          <w:tcPr>
            <w:tcW w:w="2268" w:type="dxa"/>
            <w:vAlign w:val="center"/>
          </w:tcPr>
          <w:p>
            <w:pPr>
              <w:pStyle w:val="14"/>
            </w:pPr>
            <w:r>
              <w:t>100%</w:t>
            </w:r>
          </w:p>
        </w:tc>
        <w:tc>
          <w:tcPr>
            <w:tcW w:w="127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培训完成率</w:t>
            </w:r>
          </w:p>
        </w:tc>
        <w:tc>
          <w:tcPr>
            <w:tcW w:w="5386" w:type="dxa"/>
            <w:vAlign w:val="center"/>
          </w:tcPr>
          <w:p>
            <w:pPr>
              <w:pStyle w:val="14"/>
            </w:pPr>
            <w:r>
              <w:t>实际展开红色教育培训次数/计划次数*100%</w:t>
            </w:r>
          </w:p>
        </w:tc>
        <w:tc>
          <w:tcPr>
            <w:tcW w:w="2268" w:type="dxa"/>
            <w:vAlign w:val="center"/>
          </w:tcPr>
          <w:p>
            <w:pPr>
              <w:pStyle w:val="14"/>
            </w:pPr>
            <w:r>
              <w:t>100%</w:t>
            </w:r>
          </w:p>
        </w:tc>
        <w:tc>
          <w:tcPr>
            <w:tcW w:w="127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5386" w:type="dxa"/>
            <w:vAlign w:val="center"/>
          </w:tcPr>
          <w:p>
            <w:pPr>
              <w:pStyle w:val="14"/>
            </w:pPr>
            <w:r>
              <w:t>10月31日前完成3次专题调研</w:t>
            </w:r>
          </w:p>
        </w:tc>
        <w:tc>
          <w:tcPr>
            <w:tcW w:w="2268" w:type="dxa"/>
            <w:vAlign w:val="center"/>
          </w:tcPr>
          <w:p>
            <w:pPr>
              <w:pStyle w:val="14"/>
            </w:pPr>
            <w:r>
              <w:t>10月31日</w:t>
            </w:r>
          </w:p>
        </w:tc>
        <w:tc>
          <w:tcPr>
            <w:tcW w:w="127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5386" w:type="dxa"/>
            <w:vAlign w:val="center"/>
          </w:tcPr>
          <w:p>
            <w:pPr>
              <w:pStyle w:val="14"/>
            </w:pPr>
            <w:r>
              <w:t>12月31日前完成2场常委会召开</w:t>
            </w:r>
          </w:p>
        </w:tc>
        <w:tc>
          <w:tcPr>
            <w:tcW w:w="2268" w:type="dxa"/>
            <w:vAlign w:val="center"/>
          </w:tcPr>
          <w:p>
            <w:pPr>
              <w:pStyle w:val="14"/>
            </w:pPr>
            <w:r>
              <w:t>12月31日</w:t>
            </w:r>
          </w:p>
        </w:tc>
        <w:tc>
          <w:tcPr>
            <w:tcW w:w="127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5386" w:type="dxa"/>
            <w:vAlign w:val="center"/>
          </w:tcPr>
          <w:p>
            <w:pPr>
              <w:pStyle w:val="14"/>
            </w:pPr>
            <w:r>
              <w:t>12月31日前完成1场执委会召开</w:t>
            </w:r>
          </w:p>
        </w:tc>
        <w:tc>
          <w:tcPr>
            <w:tcW w:w="2268" w:type="dxa"/>
            <w:vAlign w:val="center"/>
          </w:tcPr>
          <w:p>
            <w:pPr>
              <w:pStyle w:val="14"/>
            </w:pPr>
            <w:r>
              <w:t>12月31日</w:t>
            </w:r>
          </w:p>
        </w:tc>
        <w:tc>
          <w:tcPr>
            <w:tcW w:w="127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5386" w:type="dxa"/>
            <w:vAlign w:val="center"/>
          </w:tcPr>
          <w:p>
            <w:pPr>
              <w:pStyle w:val="14"/>
            </w:pPr>
            <w:r>
              <w:t>12月31日前完成3次民营企业培训</w:t>
            </w:r>
          </w:p>
        </w:tc>
        <w:tc>
          <w:tcPr>
            <w:tcW w:w="2268" w:type="dxa"/>
            <w:vAlign w:val="center"/>
          </w:tcPr>
          <w:p>
            <w:pPr>
              <w:pStyle w:val="14"/>
            </w:pPr>
            <w:r>
              <w:t>12月31日</w:t>
            </w:r>
          </w:p>
        </w:tc>
        <w:tc>
          <w:tcPr>
            <w:tcW w:w="127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5386" w:type="dxa"/>
            <w:vAlign w:val="center"/>
          </w:tcPr>
          <w:p>
            <w:pPr>
              <w:pStyle w:val="14"/>
            </w:pPr>
            <w:r>
              <w:t>6月30日前完成民营企业家红色教育培训</w:t>
            </w:r>
          </w:p>
        </w:tc>
        <w:tc>
          <w:tcPr>
            <w:tcW w:w="2268" w:type="dxa"/>
            <w:vAlign w:val="center"/>
          </w:tcPr>
          <w:p>
            <w:pPr>
              <w:pStyle w:val="14"/>
            </w:pPr>
            <w:r>
              <w:t>6月30日</w:t>
            </w:r>
          </w:p>
        </w:tc>
        <w:tc>
          <w:tcPr>
            <w:tcW w:w="127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成本控制</w:t>
            </w:r>
          </w:p>
        </w:tc>
        <w:tc>
          <w:tcPr>
            <w:tcW w:w="5386" w:type="dxa"/>
            <w:vAlign w:val="center"/>
          </w:tcPr>
          <w:p>
            <w:pPr>
              <w:pStyle w:val="14"/>
            </w:pPr>
            <w:r>
              <w:t>实际支出资金/预算资金*100%</w:t>
            </w:r>
          </w:p>
        </w:tc>
        <w:tc>
          <w:tcPr>
            <w:tcW w:w="2268" w:type="dxa"/>
            <w:vAlign w:val="center"/>
          </w:tcPr>
          <w:p>
            <w:pPr>
              <w:pStyle w:val="14"/>
            </w:pPr>
            <w:r>
              <w:t>≤100%</w:t>
            </w:r>
          </w:p>
        </w:tc>
        <w:tc>
          <w:tcPr>
            <w:tcW w:w="127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促进民营企业经济发展</w:t>
            </w:r>
          </w:p>
        </w:tc>
        <w:tc>
          <w:tcPr>
            <w:tcW w:w="5386" w:type="dxa"/>
            <w:vAlign w:val="center"/>
          </w:tcPr>
          <w:p>
            <w:pPr>
              <w:pStyle w:val="14"/>
            </w:pPr>
            <w:r>
              <w:t>提高民营企业政策获得感，促进县非公经济发展</w:t>
            </w:r>
          </w:p>
        </w:tc>
        <w:tc>
          <w:tcPr>
            <w:tcW w:w="2268" w:type="dxa"/>
            <w:vAlign w:val="center"/>
          </w:tcPr>
          <w:p>
            <w:pPr>
              <w:pStyle w:val="14"/>
            </w:pPr>
            <w:r>
              <w:t>有效促进</w:t>
            </w:r>
          </w:p>
        </w:tc>
        <w:tc>
          <w:tcPr>
            <w:tcW w:w="127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民营企业满意程度</w:t>
            </w:r>
          </w:p>
        </w:tc>
        <w:tc>
          <w:tcPr>
            <w:tcW w:w="2268" w:type="dxa"/>
            <w:vAlign w:val="center"/>
          </w:tcPr>
          <w:p>
            <w:pPr>
              <w:pStyle w:val="14"/>
            </w:pPr>
            <w:r>
              <w:t>≥98%</w:t>
            </w:r>
          </w:p>
        </w:tc>
        <w:tc>
          <w:tcPr>
            <w:tcW w:w="1276" w:type="dxa"/>
            <w:vAlign w:val="center"/>
          </w:tcPr>
          <w:p>
            <w:pPr>
              <w:pStyle w:val="14"/>
            </w:pPr>
            <w:r>
              <w:t>调查问卷</w:t>
            </w:r>
          </w:p>
        </w:tc>
      </w:tr>
    </w:tbl>
    <w:p>
      <w:pPr>
        <w:sectPr>
          <w:type w:val="continuous"/>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766河北省涞源县工商业联合会</w:t>
            </w:r>
          </w:p>
        </w:tc>
        <w:tc>
          <w:tcPr>
            <w:tcW w:w="7710" w:type="dxa"/>
            <w:gridSpan w:val="8"/>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6746" w:type="dxa"/>
            <w:gridSpan w:val="7"/>
            <w:vAlign w:val="center"/>
          </w:tcPr>
          <w:p>
            <w:pPr>
              <w:pStyle w:val="12"/>
            </w:pPr>
            <w:r>
              <w:t>政府采购金额（当年部门预算安排资金）</w:t>
            </w:r>
          </w:p>
        </w:tc>
        <w:tc>
          <w:tcPr>
            <w:tcW w:w="964" w:type="dxa"/>
            <w:vMerge w:val="restart"/>
            <w:vAlign w:val="center"/>
          </w:tcPr>
          <w:p>
            <w:pPr>
              <w:pStyle w:val="12"/>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河北省涞源县工商业联合会（含所属单位）上年末固定资产金额为3.59万元（详见下表）。本年度拟购置固定资产总额为0.00万元，已按要求列入政府采购预算，详见政府采购预算表。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766河北省涞源县工商业联合会</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3.59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21</w:t>
            </w:r>
          </w:p>
        </w:tc>
        <w:tc>
          <w:tcPr>
            <w:tcW w:w="2835" w:type="dxa"/>
            <w:vAlign w:val="center"/>
          </w:tcPr>
          <w:p>
            <w:pPr>
              <w:pStyle w:val="13"/>
            </w:pPr>
            <w:r>
              <w:t>3.59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rPr>
          <w:b/>
          <w:bCs/>
        </w:rPr>
      </w:pPr>
      <w:bookmarkStart w:id="18" w:name="_Toc_3_3_0000000019"/>
      <w:bookmarkStart w:id="20" w:name="_GoBack"/>
      <w:r>
        <w:rPr>
          <w:rFonts w:ascii="黑体" w:hAnsi="黑体" w:eastAsia="黑体" w:cs="黑体"/>
          <w:b/>
          <w:bCs/>
          <w:color w:val="000000"/>
          <w:sz w:val="32"/>
        </w:rPr>
        <w:t>十、名词解释</w:t>
      </w:r>
      <w:bookmarkEnd w:id="18"/>
    </w:p>
    <w:bookmarkEnd w:id="20"/>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rPr>
          <w:b/>
          <w:bCs/>
        </w:rPr>
      </w:pPr>
      <w:bookmarkStart w:id="19" w:name="_Toc_3_3_0000000020"/>
      <w:r>
        <w:rPr>
          <w:rFonts w:ascii="黑体" w:hAnsi="黑体" w:eastAsia="黑体" w:cs="黑体"/>
          <w:b/>
          <w:bCs/>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zRiM2U0ZGQ5ZWYxZWZlMWNjNThjZDk4OTFiZmUzY2QifQ=="/>
  </w:docVars>
  <w:rsids>
    <w:rsidRoot w:val="00000000"/>
    <w:rsid w:val="004964C7"/>
    <w:rsid w:val="0AA93D37"/>
    <w:rsid w:val="19C271B4"/>
    <w:rsid w:val="26E66850"/>
    <w:rsid w:val="48504497"/>
    <w:rsid w:val="4A9326C8"/>
    <w:rsid w:val="51422751"/>
    <w:rsid w:val="54C5556D"/>
    <w:rsid w:val="5B51324B"/>
    <w:rsid w:val="67DF73ED"/>
    <w:rsid w:val="6E855251"/>
    <w:rsid w:val="703B2D36"/>
    <w:rsid w:val="7C9F5D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autoRedefine/>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8"/>
      <w:szCs w:val="28"/>
      <w:lang w:val="en-US" w:eastAsia="zh-CN" w:bidi="ar-SA"/>
    </w:rPr>
  </w:style>
  <w:style w:type="paragraph" w:styleId="3">
    <w:name w:val="toc 3"/>
    <w:basedOn w:val="1"/>
    <w:autoRedefine/>
    <w:qFormat/>
    <w:uiPriority w:val="0"/>
    <w:pPr>
      <w:ind w:left="480"/>
    </w:pPr>
  </w:style>
  <w:style w:type="paragraph" w:styleId="4">
    <w:name w:val="toc 1"/>
    <w:basedOn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2"/>
    <w:basedOn w:val="1"/>
    <w:autoRedefine/>
    <w:qFormat/>
    <w:uiPriority w:val="0"/>
    <w:pPr>
      <w:ind w:left="240"/>
    </w:pPr>
  </w:style>
  <w:style w:type="table" w:styleId="7">
    <w:name w:val="Table Grid"/>
    <w:basedOn w:val="6"/>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部门职责文件"/>
    <w:basedOn w:val="1"/>
    <w:autoRedefine/>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2024-03-06T10:47:12Z</dcterms:created>
  <dcterms:modified xsi:type="dcterms:W3CDTF">2024-03-06T02:47:12Z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2024-03-06T10:47:11Z</dcterms:created>
  <dcterms:modified xsi:type="dcterms:W3CDTF">2024-03-06T02:47:10Z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2024-03-06T10:47:11Z</dcterms:created>
  <dcterms:modified xsi:type="dcterms:W3CDTF">2024-03-06T02:47:11Z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2024-03-06T10:47:11Z</dcterms:created>
  <dcterms:modified xsi:type="dcterms:W3CDTF">2024-03-06T02:47:11Z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2024-03-06T10:47:11Z</dcterms:created>
  <dcterms:modified xsi:type="dcterms:W3CDTF">2024-03-06T02:47:11Z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695f358c-28c5-4e3e-b17d-ba39aac8b8dc}">
  <ds:schemaRefs/>
</ds:datastoreItem>
</file>

<file path=customXml/itemProps10.xml><?xml version="1.0" encoding="utf-8"?>
<ds:datastoreItem xmlns:ds="http://schemas.openxmlformats.org/officeDocument/2006/customXml" ds:itemID="{7446255f-d79b-4a73-baf0-ffb9be7e9a7a}">
  <ds:schemaRefs/>
</ds:datastoreItem>
</file>

<file path=customXml/itemProps2.xml><?xml version="1.0" encoding="utf-8"?>
<ds:datastoreItem xmlns:ds="http://schemas.openxmlformats.org/officeDocument/2006/customXml" ds:itemID="{40af035c-ed4c-4720-850b-6a1a2142d44c}">
  <ds:schemaRefs/>
</ds:datastoreItem>
</file>

<file path=customXml/itemProps3.xml><?xml version="1.0" encoding="utf-8"?>
<ds:datastoreItem xmlns:ds="http://schemas.openxmlformats.org/officeDocument/2006/customXml" ds:itemID="{514554a3-3ff5-42f8-bb53-07b5ffa185c0}">
  <ds:schemaRefs/>
</ds:datastoreItem>
</file>

<file path=customXml/itemProps4.xml><?xml version="1.0" encoding="utf-8"?>
<ds:datastoreItem xmlns:ds="http://schemas.openxmlformats.org/officeDocument/2006/customXml" ds:itemID="{4895a530-ffce-41c9-9e5f-f166978d814c}">
  <ds:schemaRefs/>
</ds:datastoreItem>
</file>

<file path=customXml/itemProps5.xml><?xml version="1.0" encoding="utf-8"?>
<ds:datastoreItem xmlns:ds="http://schemas.openxmlformats.org/officeDocument/2006/customXml" ds:itemID="{e028fae7-3e7d-4cb2-9825-d0c9c0422223}">
  <ds:schemaRefs/>
</ds:datastoreItem>
</file>

<file path=customXml/itemProps6.xml><?xml version="1.0" encoding="utf-8"?>
<ds:datastoreItem xmlns:ds="http://schemas.openxmlformats.org/officeDocument/2006/customXml" ds:itemID="{9fcaa80d-7ce8-42c7-94c7-21d2ac7f069b}">
  <ds:schemaRefs/>
</ds:datastoreItem>
</file>

<file path=customXml/itemProps7.xml><?xml version="1.0" encoding="utf-8"?>
<ds:datastoreItem xmlns:ds="http://schemas.openxmlformats.org/officeDocument/2006/customXml" ds:itemID="{2bdf5ffc-9f92-4795-a23e-4509cbf38291}">
  <ds:schemaRefs/>
</ds:datastoreItem>
</file>

<file path=customXml/itemProps8.xml><?xml version="1.0" encoding="utf-8"?>
<ds:datastoreItem xmlns:ds="http://schemas.openxmlformats.org/officeDocument/2006/customXml" ds:itemID="{64ca464a-607f-4799-8c37-f6b4957cc03f}">
  <ds:schemaRefs/>
</ds:datastoreItem>
</file>

<file path=customXml/itemProps9.xml><?xml version="1.0" encoding="utf-8"?>
<ds:datastoreItem xmlns:ds="http://schemas.openxmlformats.org/officeDocument/2006/customXml" ds:itemID="{dba95f93-740d-4fc5-a78c-167c4da72b62}">
  <ds:schemaRefs/>
</ds:datastoreItem>
</file>

<file path=docProps/app.xml><?xml version="1.0" encoding="utf-8"?>
<Properties xmlns="http://schemas.openxmlformats.org/officeDocument/2006/extended-properties" xmlns:vt="http://schemas.openxmlformats.org/officeDocument/2006/docPropsVTypes">
  <TotalTime>9</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2024-03-06T10:47:00Z</dcterms:created>
  <dc:creator>Administrator</dc:creator>
  <cp:lastModifiedBy>Administrator</cp:lastModifiedBy>
  <dcterms:modified xsi:type="dcterms:W3CDTF">2024-03-07T01:45:24Z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9B5069504CEF4B7C81B67A05F1DC3B75_12</vt:lpwstr>
  </property>
</Properties>
</file>