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河北涞源经济开发区管理委员会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2023年政府信息公开年度报告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 2023年，在县委、县政府的正确领导下，我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/>
        </w:rPr>
        <w:t>委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认真贯彻落实</w:t>
      </w:r>
      <w:r>
        <w:rPr>
          <w:rStyle w:val="9"/>
          <w:rFonts w:hint="default" w:ascii="仿宋_GB2312" w:hAnsi="仿宋_GB2312" w:eastAsia="仿宋_GB2312" w:cs="仿宋_GB2312"/>
          <w:color w:val="000000"/>
          <w:sz w:val="32"/>
          <w:szCs w:val="32"/>
          <w:highlight w:val="none"/>
        </w:rPr>
        <w:t>《中华人民共和国政府信息公开条例》和县委、县政府统一安排部署，高度重视政府信息公开工作，不断健全完善政府信息公开制度，信息公开工作取得了一定成效</w:t>
      </w: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Style w:val="9"/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2023年，我委严格按照国家、省、市、县有关要求，不断加大政府信息公开力度，建立健全政府信息公开</w:t>
      </w:r>
      <w:r>
        <w:rPr>
          <w:rStyle w:val="9"/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工作机制，明确政府信息公开工作主管副职，实行专人负责，及时在网站上公布年度报告，保证政府信息公开工作顺利开展。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（一）主动公开政府信息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严格按照政府信息公开要求，扎实开展政府信息公开工作，结合工作实际进行政府信息公开，2023年在微信公众号发布、转发内容共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486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篇，同时积极向上级宣传平台提供信息，整体工作较往年有了进一步提升。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rightChars="0"/>
        <w:jc w:val="both"/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（二）依申请公开情况及行政复议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严格按照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《中华人民共和国</w:t>
      </w:r>
      <w:r>
        <w:rPr>
          <w:rFonts w:hint="eastAsia" w:ascii="宋体" w:hAnsi="宋体" w:eastAsia="宋体" w:cs="宋体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政府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信息公开条例》，建立完善公开制度，我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委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于2023年未接到依申请公开事项及行政复议情况。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rightChars="0"/>
        <w:jc w:val="both"/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（三）政府信息管理方面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严格按照《中华人民共和国政府信息公开条例》及《中华人民共和国保守国家秘密法》有关规定，完善政府信息主动公开工作流程，</w:t>
      </w: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规范做好政府信息公开保障工作。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rightChars="0"/>
        <w:jc w:val="both"/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（四）政府信息公开平台建设方面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积极维护微信公众号，明确专人负责，积极推进重点领域信息公开，做到内容严格把关、更新及时准确，同时定期开展自查，做到发现问题及时整改。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rightChars="0"/>
        <w:jc w:val="both"/>
      </w:pPr>
      <w:r>
        <w:rPr>
          <w:rFonts w:hint="default" w:ascii="楷体_GB2312" w:hAnsi="宋体" w:eastAsia="楷体_GB2312" w:cs="楷体_GB2312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（五）政府信息监督保障方面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_GB2312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严格按照县政府要求，尽最大限度地实行公开，进一步提升涞源镇政府工作透明度，保障公众的知情权和监督权。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1074"/>
        <w:gridCol w:w="3144"/>
        <w:gridCol w:w="680"/>
        <w:gridCol w:w="680"/>
        <w:gridCol w:w="680"/>
        <w:gridCol w:w="680"/>
        <w:gridCol w:w="680"/>
        <w:gridCol w:w="680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发展基础先天不足。涞源经开区自然现状复杂、历史欠账较大、产业基础薄弱。原有43家选矿企业需补偿拆除，遗留的近400万吨选矿尾砂需消纳治理；区内北屯河、狮子峪沟、冯村沟三条河道总长度约11公里，现状河道控制线占用土地3290亩；开发区所处区域涉及6个行政村，在规划中需拆迁安置。区内自然条件复杂，发展空间受限，需积极破解政策资金制约瓶颈，劣实发展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经济总量较少。涞源县曾是“一矿独大”的产业格局，矿业企业相继停产后，工业产业十分薄弱，转型升级压力巨大，全县规上工业企业只有29家，且规模均不大，虽优势企业已全部在开发区入统，但经济体量仍较小，产业发展的压力很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招商引资难度较大。涞源县地处保定市西北部深山区，刚脱贫摘帽，县级财力困难，产业基础薄弱，区位交通不便，与兄弟县（市）比较，招商引资优势明显不足，虽探索实行代理招商、“资源+项目”招商等招商模式，但受资源指标有限因素制约，存在对接洽谈多、签约落地少现象，加之全省各经开区面临着招商考核任务，竞争也很激烈，致使如涞源经开区这种起步型开发区招商引资愈发困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color w:val="333333"/>
          <w:spacing w:val="0"/>
          <w:sz w:val="32"/>
          <w:szCs w:val="32"/>
          <w:bdr w:val="none" w:color="auto" w:sz="0" w:space="0"/>
        </w:rPr>
        <w:t>认真贯彻执行国务院办公厅《政府信息公开信息处理费管理办法》和《关于政府信息公开处理费管理有关事项的通知》。</w:t>
      </w:r>
      <w:r>
        <w:rPr>
          <w:rFonts w:hint="default" w:ascii="仿宋_GB2312" w:hAnsi="宋体" w:eastAsia="仿宋_GB2312" w:cs="仿宋_GB2312"/>
          <w:color w:val="333333"/>
          <w:spacing w:val="0"/>
          <w:sz w:val="32"/>
          <w:szCs w:val="32"/>
          <w:bdr w:val="none" w:color="auto" w:sz="0" w:space="0"/>
        </w:rPr>
        <w:t>2023年未收取信息处理费。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2024年1月23日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河北涞源经济开发区管理委员会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EBCF76"/>
    <w:multiLevelType w:val="singleLevel"/>
    <w:tmpl w:val="ADEBCF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NGI0YTY5YmIyNzVmZWM2MGY0OTYxZDFlOTJhMDMifQ=="/>
  </w:docVars>
  <w:rsids>
    <w:rsidRoot w:val="3E5B229F"/>
    <w:rsid w:val="012626BB"/>
    <w:rsid w:val="012F0B4B"/>
    <w:rsid w:val="1A291E56"/>
    <w:rsid w:val="2CD662B3"/>
    <w:rsid w:val="2E6D6953"/>
    <w:rsid w:val="302857C1"/>
    <w:rsid w:val="34DE072A"/>
    <w:rsid w:val="374E1701"/>
    <w:rsid w:val="3DF402A7"/>
    <w:rsid w:val="3E5B229F"/>
    <w:rsid w:val="48EE3617"/>
    <w:rsid w:val="4AC42AB6"/>
    <w:rsid w:val="4F67658C"/>
    <w:rsid w:val="526B7A6C"/>
    <w:rsid w:val="527A5569"/>
    <w:rsid w:val="53294863"/>
    <w:rsid w:val="60BE7688"/>
    <w:rsid w:val="673554F9"/>
    <w:rsid w:val="6AEF07EE"/>
    <w:rsid w:val="6D254FA9"/>
    <w:rsid w:val="72826491"/>
    <w:rsid w:val="75291340"/>
    <w:rsid w:val="7A7F1A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420" w:firstLineChars="200"/>
    </w:pPr>
    <w:rPr>
      <w:rFonts w:ascii="Times New Roman" w:hAnsi="Times New Roman" w:eastAsia="仿宋"/>
      <w:sz w:val="2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color w:val="333333"/>
      <w:sz w:val="24"/>
      <w:szCs w:val="24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NormalCharacter"/>
    <w:basedOn w:val="5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2019-12-29T11:38:00Z</dcterms:created>
  <dc:creator>小公举</dc:creator>
  <cp:lastModifiedBy>A逆光（联大步行街啵啵鱼）</cp:lastModifiedBy>
  <cp:lastPrinted>2019-12-29T11:40:00Z</cp:lastPrinted>
  <dcterms:modified xsi:type="dcterms:W3CDTF">2024-02-01T06:31:01Z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FD30814BF5EE49659B4FB6C28D1E76C7_13</vt:lpwstr>
  </property>
</Properties>
</file>