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河北涞源经济开发区管理委员会2023年单位预算信息公开目录</w:t>
      </w:r>
    </w:p>
    <w:p>
      <w:pPr>
        <w:spacing w:before="0" w:after="0" w:line="240" w:lineRule="auto"/>
        <w:ind w:firstLine="0"/>
        <w:jc w:val="center"/>
        <w:outlineLvl w:val="9"/>
      </w:pPr>
      <w:r>
        <w:rPr>
          <w:rFonts w:ascii="黑体" w:eastAsia="黑体" w:cs="黑体"/>
          <w:b/>
          <w:color w:val="000000"/>
          <w:sz w:val="30"/>
        </w:rPr>
        <w:t xml:space="preserve"> </w:t>
      </w:r>
    </w:p>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一、河北涞源经济开发区管理委员会本级收支预算</w:t>
      </w:r>
      <w:r>
        <w:tab/>
      </w:r>
      <w:r>
        <w:fldChar w:fldCharType="begin"/>
      </w:r>
      <w:r>
        <w:instrText>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ind w:firstLine="0"/>
        <w:jc w:val="both"/>
      </w:pPr>
    </w:p>
    <w:p>
      <w:pPr>
        <w:jc w:val="center"/>
        <w:outlineLvl w:val="3"/>
      </w:pPr>
      <w:r>
        <w:rPr>
          <w:rFonts w:ascii="方正小标宋_GBK" w:eastAsia="方正小标宋_GBK" w:cs="方正小标宋_GBK"/>
          <w:color w:val="000000"/>
          <w:sz w:val="44"/>
        </w:rPr>
        <w:t>一、</w:t>
      </w:r>
      <w:r>
        <w:rPr>
          <w:rFonts w:ascii="方正小标宋_GBK" w:eastAsia="方正小标宋_GBK" w:cs="方正小标宋_GBK" w:hint="eastAsia"/>
          <w:color w:val="000000"/>
          <w:sz w:val="44"/>
          <w:lang w:val="en-US" w:eastAsia="zh-CN"/>
        </w:rPr>
        <w:t>河北涞源经济开发区管理委员会</w:t>
      </w:r>
      <w:r>
        <w:rPr>
          <w:rFonts w:ascii="方正小标宋_GBK" w:eastAsia="方正小标宋_GBK" w:cs="方正小标宋_GBK"/>
          <w:color w:val="000000"/>
          <w:sz w:val="44"/>
        </w:rPr>
        <w:t>本级收支预算</w:t>
      </w:r>
    </w:p>
    <w:p>
      <w:pPr>
        <w:ind w:firstLine="0"/>
        <w:jc w:val="center"/>
      </w:pPr>
      <w:r>
        <w:rPr>
          <w:rFonts w:ascii="方正小标宋_GBK" w:eastAsia="方正小标宋_GBK" w:cs="方正小标宋_GBK"/>
          <w:color w:val="000000"/>
          <w:sz w:val="44"/>
        </w:rPr>
        <w:t xml:space="preserve"> </w:t>
      </w:r>
      <w:bookmarkStart w:id="0" w:name="_Toc_2_2_0000000001"/>
      <w:r>
        <w:rPr>
          <w:rFonts w:ascii="方正小标宋_GBK" w:eastAsia="方正小标宋_GBK" w:cs="方正小标宋_GBK"/>
          <w:color w:val="000000"/>
          <w:sz w:val="36"/>
        </w:rPr>
        <w:t>单位预算收支总表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791.19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r>
              <w:t>356.16</w:t>
            </w: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r>
              <w:t>435.03</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r>
              <w:t>27441.15</w:t>
            </w: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791.19</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28232.34</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27441.15</w:t>
            </w: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28232.34</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28232.34</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单位预算收入总表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28232.34</w:t>
            </w:r>
          </w:p>
        </w:tc>
        <w:tc>
          <w:tcPr>
            <w:tcW w:w="1134" w:type="dxa"/>
            <w:tcBorders>
              <w:left w:val="single" w:sz="6" w:space="0" w:color="000000"/>
              <w:right w:val="single" w:sz="6" w:space="0" w:color="000000"/>
            </w:tcBorders>
            <w:vAlign w:val="center"/>
          </w:tcPr>
          <w:p>
            <w:pPr>
              <w:pStyle w:val="23"/>
            </w:pPr>
            <w:r>
              <w:t>791.19</w:t>
            </w:r>
          </w:p>
        </w:tc>
        <w:tc>
          <w:tcPr>
            <w:tcW w:w="1134" w:type="dxa"/>
            <w:tcBorders>
              <w:left w:val="single" w:sz="6" w:space="0" w:color="000000"/>
              <w:right w:val="single" w:sz="6" w:space="0" w:color="000000"/>
            </w:tcBorders>
            <w:vAlign w:val="center"/>
          </w:tcPr>
          <w:p>
            <w:pPr>
              <w:pStyle w:val="23"/>
            </w:pPr>
            <w:r>
              <w:t>791.19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r>
              <w:t>27441.15</w:t>
            </w: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2010399</w:t>
            </w:r>
          </w:p>
        </w:tc>
        <w:tc>
          <w:tcPr>
            <w:tcW w:w="1559" w:type="dxa"/>
            <w:tcBorders>
              <w:left w:val="single" w:sz="6" w:space="0" w:color="000000"/>
              <w:right w:val="single" w:sz="6" w:space="0" w:color="000000"/>
            </w:tcBorders>
            <w:vAlign w:val="center"/>
          </w:tcPr>
          <w:p>
            <w:pPr>
              <w:pStyle w:val="20"/>
            </w:pPr>
            <w:r>
              <w:t>其他政府办公厅（室）及相关机构事务支出</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2110302</w:t>
            </w:r>
          </w:p>
        </w:tc>
        <w:tc>
          <w:tcPr>
            <w:tcW w:w="1559" w:type="dxa"/>
            <w:tcBorders>
              <w:left w:val="single" w:sz="6" w:space="0" w:color="000000"/>
              <w:right w:val="single" w:sz="6" w:space="0" w:color="000000"/>
            </w:tcBorders>
            <w:vAlign w:val="center"/>
          </w:tcPr>
          <w:p>
            <w:pPr>
              <w:pStyle w:val="20"/>
            </w:pPr>
            <w:r>
              <w:t>水体</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27441.15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27441.15</w:t>
            </w: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22904</w:t>
            </w:r>
          </w:p>
        </w:tc>
        <w:tc>
          <w:tcPr>
            <w:tcW w:w="1559" w:type="dxa"/>
            <w:tcBorders>
              <w:left w:val="single" w:sz="6" w:space="0" w:color="000000"/>
              <w:right w:val="single" w:sz="6" w:space="0" w:color="000000"/>
            </w:tcBorders>
            <w:vAlign w:val="center"/>
          </w:tcPr>
          <w:p>
            <w:pPr>
              <w:pStyle w:val="20"/>
            </w:pPr>
            <w:r>
              <w:t>其他政府性基金及对应专项债务收入安排的支出</w:t>
            </w:r>
          </w:p>
        </w:tc>
        <w:tc>
          <w:tcPr>
            <w:tcW w:w="1134" w:type="dxa"/>
            <w:tcBorders>
              <w:left w:val="single" w:sz="6" w:space="0" w:color="000000"/>
              <w:right w:val="single" w:sz="6" w:space="0" w:color="000000"/>
            </w:tcBorders>
            <w:vAlign w:val="center"/>
          </w:tcPr>
          <w:p>
            <w:pPr>
              <w:pStyle w:val="19"/>
            </w:pPr>
            <w:r>
              <w:t>27441.15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27441.15</w:t>
            </w: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2290402</w:t>
            </w:r>
          </w:p>
        </w:tc>
        <w:tc>
          <w:tcPr>
            <w:tcW w:w="1559" w:type="dxa"/>
            <w:tcBorders>
              <w:left w:val="single" w:sz="6" w:space="0" w:color="000000"/>
              <w:right w:val="single" w:sz="6" w:space="0" w:color="000000"/>
            </w:tcBorders>
            <w:vAlign w:val="center"/>
          </w:tcPr>
          <w:p>
            <w:pPr>
              <w:pStyle w:val="20"/>
            </w:pPr>
            <w:r>
              <w:t>其他地方自行试点项目收益专项债券收入安排的支出</w:t>
            </w:r>
          </w:p>
        </w:tc>
        <w:tc>
          <w:tcPr>
            <w:tcW w:w="1134" w:type="dxa"/>
            <w:tcBorders>
              <w:left w:val="single" w:sz="6" w:space="0" w:color="000000"/>
              <w:right w:val="single" w:sz="6" w:space="0" w:color="000000"/>
            </w:tcBorders>
            <w:vAlign w:val="center"/>
          </w:tcPr>
          <w:p>
            <w:pPr>
              <w:pStyle w:val="19"/>
            </w:pPr>
            <w:r>
              <w:t>27441.15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27441.15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单位预算支出总表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28232.34</w:t>
            </w:r>
          </w:p>
        </w:tc>
        <w:tc>
          <w:tcPr>
            <w:tcW w:w="1361" w:type="dxa"/>
            <w:tcBorders>
              <w:left w:val="single" w:sz="6" w:space="0" w:color="000000"/>
              <w:right w:val="single" w:sz="6" w:space="0" w:color="000000"/>
            </w:tcBorders>
            <w:vAlign w:val="center"/>
          </w:tcPr>
          <w:p>
            <w:pPr>
              <w:pStyle w:val="23"/>
            </w:pPr>
            <w:r>
              <w:t>49.74</w:t>
            </w:r>
          </w:p>
        </w:tc>
        <w:tc>
          <w:tcPr>
            <w:tcW w:w="1361" w:type="dxa"/>
            <w:tcBorders>
              <w:left w:val="single" w:sz="6" w:space="0" w:color="000000"/>
              <w:right w:val="single" w:sz="6" w:space="0" w:color="000000"/>
            </w:tcBorders>
            <w:vAlign w:val="center"/>
          </w:tcPr>
          <w:p>
            <w:pPr>
              <w:pStyle w:val="23"/>
            </w:pPr>
            <w:r>
              <w:t>28182.60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356.16</w:t>
            </w:r>
          </w:p>
        </w:tc>
        <w:tc>
          <w:tcPr>
            <w:tcW w:w="1361" w:type="dxa"/>
            <w:tcBorders>
              <w:left w:val="single" w:sz="6" w:space="0" w:color="000000"/>
              <w:right w:val="single" w:sz="6" w:space="0" w:color="000000"/>
            </w:tcBorders>
            <w:vAlign w:val="center"/>
          </w:tcPr>
          <w:p>
            <w:pPr>
              <w:pStyle w:val="19"/>
            </w:pPr>
            <w:r>
              <w:t>49.74</w:t>
            </w:r>
          </w:p>
        </w:tc>
        <w:tc>
          <w:tcPr>
            <w:tcW w:w="1361" w:type="dxa"/>
            <w:tcBorders>
              <w:left w:val="single" w:sz="6" w:space="0" w:color="000000"/>
              <w:right w:val="single" w:sz="6" w:space="0" w:color="000000"/>
            </w:tcBorders>
            <w:vAlign w:val="center"/>
          </w:tcPr>
          <w:p>
            <w:pPr>
              <w:pStyle w:val="19"/>
            </w:pPr>
            <w:r>
              <w:t>306.42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356.16</w:t>
            </w:r>
          </w:p>
        </w:tc>
        <w:tc>
          <w:tcPr>
            <w:tcW w:w="1361" w:type="dxa"/>
            <w:tcBorders>
              <w:left w:val="single" w:sz="6" w:space="0" w:color="000000"/>
              <w:right w:val="single" w:sz="6" w:space="0" w:color="000000"/>
            </w:tcBorders>
            <w:vAlign w:val="center"/>
          </w:tcPr>
          <w:p>
            <w:pPr>
              <w:pStyle w:val="19"/>
            </w:pPr>
            <w:r>
              <w:t>49.74</w:t>
            </w:r>
          </w:p>
        </w:tc>
        <w:tc>
          <w:tcPr>
            <w:tcW w:w="1361" w:type="dxa"/>
            <w:tcBorders>
              <w:left w:val="single" w:sz="6" w:space="0" w:color="000000"/>
              <w:right w:val="single" w:sz="6" w:space="0" w:color="000000"/>
            </w:tcBorders>
            <w:vAlign w:val="center"/>
          </w:tcPr>
          <w:p>
            <w:pPr>
              <w:pStyle w:val="19"/>
            </w:pPr>
            <w:r>
              <w:t>306.42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1361" w:type="dxa"/>
            <w:tcBorders>
              <w:left w:val="single" w:sz="6" w:space="0" w:color="000000"/>
              <w:right w:val="single" w:sz="6" w:space="0" w:color="000000"/>
            </w:tcBorders>
            <w:vAlign w:val="center"/>
          </w:tcPr>
          <w:p>
            <w:pPr>
              <w:pStyle w:val="19"/>
            </w:pPr>
            <w:r>
              <w:t>356.16</w:t>
            </w:r>
          </w:p>
        </w:tc>
        <w:tc>
          <w:tcPr>
            <w:tcW w:w="1361" w:type="dxa"/>
            <w:tcBorders>
              <w:left w:val="single" w:sz="6" w:space="0" w:color="000000"/>
              <w:right w:val="single" w:sz="6" w:space="0" w:color="000000"/>
            </w:tcBorders>
            <w:vAlign w:val="center"/>
          </w:tcPr>
          <w:p>
            <w:pPr>
              <w:pStyle w:val="19"/>
            </w:pPr>
            <w:r>
              <w:t>49.74</w:t>
            </w:r>
          </w:p>
        </w:tc>
        <w:tc>
          <w:tcPr>
            <w:tcW w:w="1361" w:type="dxa"/>
            <w:tcBorders>
              <w:left w:val="single" w:sz="6" w:space="0" w:color="000000"/>
              <w:right w:val="single" w:sz="6" w:space="0" w:color="000000"/>
            </w:tcBorders>
            <w:vAlign w:val="center"/>
          </w:tcPr>
          <w:p>
            <w:pPr>
              <w:pStyle w:val="19"/>
            </w:pPr>
            <w:r>
              <w:t>306.42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单位预算财政拨款收支总表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791.19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356.16</w:t>
            </w:r>
          </w:p>
        </w:tc>
        <w:tc>
          <w:tcPr>
            <w:tcW w:w="1474" w:type="dxa"/>
            <w:tcBorders>
              <w:left w:val="single" w:sz="6" w:space="0" w:color="000000"/>
              <w:right w:val="single" w:sz="6" w:space="0" w:color="000000"/>
            </w:tcBorders>
            <w:vAlign w:val="center"/>
          </w:tcPr>
          <w:p>
            <w:pPr>
              <w:pStyle w:val="19"/>
            </w:pPr>
            <w:r>
              <w:t>356.16</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435.03</w:t>
            </w:r>
          </w:p>
        </w:tc>
        <w:tc>
          <w:tcPr>
            <w:tcW w:w="1474" w:type="dxa"/>
            <w:tcBorders>
              <w:left w:val="single" w:sz="6" w:space="0" w:color="000000"/>
              <w:right w:val="single" w:sz="6" w:space="0" w:color="000000"/>
            </w:tcBorders>
            <w:vAlign w:val="center"/>
          </w:tcPr>
          <w:p>
            <w:pPr>
              <w:pStyle w:val="19"/>
            </w:pPr>
            <w:r>
              <w:t>435.03</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27441.15</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27441.15</w:t>
            </w: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791.19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28232.34</w:t>
            </w:r>
          </w:p>
        </w:tc>
        <w:tc>
          <w:tcPr>
            <w:tcW w:w="1474" w:type="dxa"/>
            <w:tcBorders>
              <w:left w:val="single" w:sz="6" w:space="0" w:color="000000"/>
              <w:right w:val="single" w:sz="6" w:space="0" w:color="000000"/>
            </w:tcBorders>
            <w:vAlign w:val="center"/>
          </w:tcPr>
          <w:p>
            <w:pPr>
              <w:pStyle w:val="23"/>
            </w:pPr>
            <w:r>
              <w:t>791.19</w:t>
            </w:r>
          </w:p>
        </w:tc>
        <w:tc>
          <w:tcPr>
            <w:tcW w:w="1474" w:type="dxa"/>
            <w:tcBorders>
              <w:left w:val="single" w:sz="6" w:space="0" w:color="000000"/>
              <w:right w:val="single" w:sz="6" w:space="0" w:color="000000"/>
            </w:tcBorders>
            <w:vAlign w:val="center"/>
          </w:tcPr>
          <w:p>
            <w:pPr>
              <w:pStyle w:val="23"/>
            </w:pPr>
            <w:r>
              <w:t>27441.15</w:t>
            </w: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27441.15</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27441.15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28232.34</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28232.34</w:t>
            </w:r>
          </w:p>
        </w:tc>
        <w:tc>
          <w:tcPr>
            <w:tcW w:w="1474" w:type="dxa"/>
            <w:tcBorders>
              <w:left w:val="single" w:sz="6" w:space="0" w:color="000000"/>
              <w:right w:val="single" w:sz="6" w:space="0" w:color="000000"/>
            </w:tcBorders>
            <w:vAlign w:val="center"/>
          </w:tcPr>
          <w:p>
            <w:pPr>
              <w:pStyle w:val="23"/>
            </w:pPr>
            <w:r>
              <w:t>791.19</w:t>
            </w:r>
          </w:p>
        </w:tc>
        <w:tc>
          <w:tcPr>
            <w:tcW w:w="1474" w:type="dxa"/>
            <w:tcBorders>
              <w:left w:val="single" w:sz="6" w:space="0" w:color="000000"/>
              <w:right w:val="single" w:sz="6" w:space="0" w:color="000000"/>
            </w:tcBorders>
            <w:vAlign w:val="center"/>
          </w:tcPr>
          <w:p>
            <w:pPr>
              <w:pStyle w:val="23"/>
            </w:pPr>
            <w:r>
              <w:t>27441.15</w:t>
            </w: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单位预算一般公共预算财政拨款支出表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791.19</w:t>
            </w:r>
          </w:p>
        </w:tc>
        <w:tc>
          <w:tcPr>
            <w:tcW w:w="2551" w:type="dxa"/>
            <w:tcBorders>
              <w:left w:val="single" w:sz="6" w:space="0" w:color="000000"/>
              <w:right w:val="single" w:sz="6" w:space="0" w:color="000000"/>
            </w:tcBorders>
            <w:vAlign w:val="center"/>
          </w:tcPr>
          <w:p>
            <w:pPr>
              <w:pStyle w:val="23"/>
            </w:pPr>
            <w:r>
              <w:t>49.74</w:t>
            </w:r>
          </w:p>
        </w:tc>
        <w:tc>
          <w:tcPr>
            <w:tcW w:w="2551" w:type="dxa"/>
            <w:tcBorders>
              <w:left w:val="single" w:sz="6" w:space="0" w:color="000000"/>
              <w:right w:val="single" w:sz="6" w:space="0" w:color="000000"/>
            </w:tcBorders>
            <w:vAlign w:val="center"/>
          </w:tcPr>
          <w:p>
            <w:pPr>
              <w:pStyle w:val="23"/>
            </w:pPr>
            <w:r>
              <w:t>741.45</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356.16</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r>
              <w:t>306.42</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356.16</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r>
              <w:t>306.42</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2551" w:type="dxa"/>
            <w:tcBorders>
              <w:left w:val="single" w:sz="6" w:space="0" w:color="000000"/>
              <w:right w:val="single" w:sz="6" w:space="0" w:color="000000"/>
            </w:tcBorders>
            <w:vAlign w:val="center"/>
          </w:tcPr>
          <w:p>
            <w:pPr>
              <w:pStyle w:val="19"/>
            </w:pPr>
            <w:r>
              <w:t>356.16</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r>
              <w:t>306.42</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435.03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435.03</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435.03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435.03</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2551" w:type="dxa"/>
            <w:tcBorders>
              <w:left w:val="single" w:sz="6" w:space="0" w:color="000000"/>
              <w:right w:val="single" w:sz="6" w:space="0" w:color="000000"/>
            </w:tcBorders>
            <w:vAlign w:val="center"/>
          </w:tcPr>
          <w:p>
            <w:pPr>
              <w:pStyle w:val="19"/>
            </w:pPr>
            <w:r>
              <w:t>435.03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435.03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单位预算一般公共预算财政拨款基本支出表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支出单位经济分类科目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49.74</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49.74</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49.74</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10.36</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10.36</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2.07</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2.07</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3.00</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2.35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2.35</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9.00</w:t>
            </w: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15.00</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7.00</w:t>
            </w: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0.96</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0.96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单位预算政府基金预算财政拨款支出表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27441.15</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27441.15</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27441.15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27441.15</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2551" w:type="dxa"/>
            <w:tcBorders>
              <w:left w:val="single" w:sz="6" w:space="0" w:color="000000"/>
              <w:right w:val="single" w:sz="6" w:space="0" w:color="000000"/>
            </w:tcBorders>
            <w:vAlign w:val="center"/>
          </w:tcPr>
          <w:p>
            <w:pPr>
              <w:pStyle w:val="19"/>
            </w:pPr>
            <w:r>
              <w:t>27441.15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27441.15</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2551" w:type="dxa"/>
            <w:tcBorders>
              <w:left w:val="single" w:sz="6" w:space="0" w:color="000000"/>
              <w:right w:val="single" w:sz="6" w:space="0" w:color="000000"/>
            </w:tcBorders>
            <w:vAlign w:val="center"/>
          </w:tcPr>
          <w:p>
            <w:pPr>
              <w:pStyle w:val="19"/>
            </w:pPr>
            <w:r>
              <w:t>27441.15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27441.15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单位预算国有资本经营预算财政拨款支出表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单位预算财政拨款“三公”经费支出表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1</w:t>
            </w:r>
          </w:p>
        </w:tc>
        <w:tc>
          <w:tcPr>
            <w:tcW w:w="3798" w:type="dxa"/>
            <w:tcBorders>
              <w:left w:val="single" w:sz="6" w:space="0" w:color="000000"/>
              <w:right w:val="single" w:sz="6" w:space="0" w:color="000000"/>
            </w:tcBorders>
            <w:vAlign w:val="center"/>
          </w:tcPr>
          <w:p>
            <w:pPr>
              <w:pStyle w:val="20"/>
            </w:pPr>
            <w:r>
              <w:rPr>
                <w:rFonts w:hint="eastAsia"/>
                <w:lang w:eastAsia="zh-CN"/>
              </w:rPr>
              <w:t>公务用车运行维护费</w:t>
            </w:r>
          </w:p>
        </w:tc>
        <w:tc>
          <w:tcPr>
            <w:tcW w:w="2381" w:type="dxa"/>
            <w:tcBorders>
              <w:left w:val="single" w:sz="6" w:space="0" w:color="000000"/>
              <w:right w:val="single" w:sz="6" w:space="0" w:color="000000"/>
            </w:tcBorders>
            <w:vAlign w:val="center"/>
          </w:tcPr>
          <w:p>
            <w:pPr>
              <w:pStyle w:val="19"/>
            </w:pPr>
            <w:r>
              <w:t>7</w:t>
            </w:r>
          </w:p>
        </w:tc>
        <w:tc>
          <w:tcPr>
            <w:tcW w:w="2381" w:type="dxa"/>
            <w:tcBorders>
              <w:left w:val="single" w:sz="6" w:space="0" w:color="000000"/>
              <w:right w:val="single" w:sz="6" w:space="0" w:color="000000"/>
            </w:tcBorders>
            <w:vAlign w:val="center"/>
          </w:tcPr>
          <w:p>
            <w:pPr>
              <w:pStyle w:val="19"/>
              <w:rPr>
                <w:rFonts w:eastAsia="方正书宋_GBK" w:hint="eastAsia"/>
                <w:color w:val="0000FF"/>
                <w:lang w:val="en-US" w:eastAsia="zh-CN"/>
              </w:rPr>
            </w:pPr>
            <w:r>
              <w:rPr>
                <w:rFonts w:hint="eastAsia"/>
                <w:color w:val="0000FF"/>
                <w:lang w:val="en-US" w:eastAsia="zh-CN"/>
              </w:rPr>
              <w:t xml:space="preserve">7 </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2</w:t>
            </w:r>
          </w:p>
        </w:tc>
        <w:tc>
          <w:tcPr>
            <w:tcW w:w="3798" w:type="dxa"/>
            <w:tcBorders>
              <w:left w:val="single" w:sz="6" w:space="0" w:color="000000"/>
              <w:right w:val="single" w:sz="6" w:space="0" w:color="000000"/>
            </w:tcBorders>
            <w:vAlign w:val="center"/>
          </w:tcPr>
          <w:p>
            <w:pPr>
              <w:pStyle w:val="20"/>
            </w:pPr>
            <w:r>
              <w:rPr>
                <w:rFonts w:hint="eastAsia"/>
                <w:lang w:eastAsia="zh-CN"/>
              </w:rPr>
              <w:t>公务接待费</w:t>
            </w:r>
          </w:p>
        </w:tc>
        <w:tc>
          <w:tcPr>
            <w:tcW w:w="2381" w:type="dxa"/>
            <w:tcBorders>
              <w:left w:val="single" w:sz="6" w:space="0" w:color="000000"/>
              <w:right w:val="single" w:sz="6" w:space="0" w:color="000000"/>
            </w:tcBorders>
            <w:vAlign w:val="center"/>
          </w:tcPr>
          <w:p>
            <w:pPr>
              <w:pStyle w:val="19"/>
            </w:pPr>
            <w:r>
              <w:t>15</w:t>
            </w:r>
          </w:p>
        </w:tc>
        <w:tc>
          <w:tcPr>
            <w:tcW w:w="2381" w:type="dxa"/>
            <w:tcBorders>
              <w:left w:val="single" w:sz="6" w:space="0" w:color="000000"/>
              <w:right w:val="single" w:sz="6" w:space="0" w:color="000000"/>
            </w:tcBorders>
            <w:vAlign w:val="center"/>
          </w:tcPr>
          <w:p>
            <w:pPr>
              <w:pStyle w:val="19"/>
              <w:rPr>
                <w:rFonts w:eastAsia="方正书宋_GBK"/>
                <w:color w:val="0000FF"/>
                <w:lang w:val="en-US" w:eastAsia="zh-CN"/>
              </w:rPr>
            </w:pPr>
            <w:r>
              <w:rPr>
                <w:color w:val="0000FF"/>
                <w:lang w:val="en-US" w:eastAsia="zh-CN"/>
              </w:rPr>
              <w:t>15</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河北涞源经济开发区管理委员会2023年单位预算信息公开情况说明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河北涞源经济开发区管理委员会2023年单位预算信息公开情况说明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w:t>
      </w:r>
      <w:bookmarkStart w:id="9" w:name="_GoBack"/>
      <w:bookmarkEnd w:id="9"/>
      <w:r>
        <w:rPr>
          <w:rFonts w:ascii="Times New Roman" w:eastAsia="方正仿宋_GBK" w:cs="Times New Roman" w:hAnsi="Times New Roman"/>
          <w:color w:val="000000"/>
          <w:sz w:val="28"/>
        </w:rPr>
        <w:t>预算法》、《地方预决算公开操作规程》和《关于进一步推进预算公开工作的实施意见》规定，现将河北涞源经济开发区管理委员会2023年单位预算公开如下：</w:t>
      </w:r>
    </w:p>
    <w:p>
      <w:pPr>
        <w:spacing w:before="10" w:after="10" w:line="360" w:lineRule="auto"/>
        <w:ind w:firstLine="640"/>
        <w:jc w:val="left"/>
        <w:outlineLvl w:val="2"/>
      </w:pPr>
      <w:bookmarkStart w:id="10" w:name="_Toc_3_3_0000000010"/>
      <w:r>
        <w:rPr>
          <w:rFonts w:ascii="黑体" w:eastAsia="黑体" w:cs="黑体"/>
          <w:color w:val="000000"/>
          <w:sz w:val="32"/>
        </w:rPr>
        <w:t>一、单位职责及机构设置情况</w:t>
      </w:r>
      <w:bookmarkEnd w:id="10"/>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5"/>
      </w:pPr>
      <w:r>
        <w:t>1.贯彻落实党的路线、方针、政策和上级党务的决议、指示；</w:t>
      </w:r>
    </w:p>
    <w:p>
      <w:pPr>
        <w:pStyle w:val="25"/>
      </w:pPr>
      <w:r>
        <w:t>2.研究区内重大经济社会发展问题；</w:t>
      </w:r>
    </w:p>
    <w:p>
      <w:pPr>
        <w:pStyle w:val="25"/>
      </w:pPr>
      <w:r>
        <w:t>3.按照授权和干部管理权限负责辖区内干部管理；</w:t>
      </w:r>
    </w:p>
    <w:p>
      <w:pPr>
        <w:pStyle w:val="25"/>
      </w:pPr>
      <w:r>
        <w:t>4.负责辖区内党的建设和其他党务工作；</w:t>
      </w:r>
    </w:p>
    <w:p>
      <w:pPr>
        <w:pStyle w:val="25"/>
      </w:pPr>
      <w:r>
        <w:t>5.负责宣传和精神文明建设工作；</w:t>
      </w:r>
    </w:p>
    <w:p>
      <w:pPr>
        <w:pStyle w:val="25"/>
      </w:pPr>
      <w:r>
        <w:t>6.组织协调辖区内社会管理综合治理和维护稳定工作；</w:t>
      </w:r>
    </w:p>
    <w:p>
      <w:pPr>
        <w:pStyle w:val="25"/>
      </w:pPr>
      <w:r>
        <w:t>7.负责辖区内的纪律检查工作；</w:t>
      </w:r>
    </w:p>
    <w:p>
      <w:pPr>
        <w:pStyle w:val="25"/>
      </w:pPr>
      <w:r>
        <w:t>8.负责辖区工会、共青团、妇联等群体工作；</w:t>
      </w:r>
    </w:p>
    <w:p>
      <w:pPr>
        <w:pStyle w:val="25"/>
      </w:pPr>
      <w:r>
        <w:t>9.编制辖区的总体规划和经济、社会发展规划，经批准后组织实施；</w:t>
      </w:r>
    </w:p>
    <w:p>
      <w:pPr>
        <w:pStyle w:val="25"/>
      </w:pPr>
      <w:r>
        <w:t>10.负责辖区基础设施和公用设施的建设和管理；负责辖区财政管理，实施辖区内财政预算、决算、国有资产管理和财政监督工作；</w:t>
      </w:r>
    </w:p>
    <w:p>
      <w:pPr>
        <w:pStyle w:val="25"/>
      </w:pPr>
      <w:r>
        <w:t>11.负责招商引资、进出口贸易和国内经济技术合作；</w:t>
      </w:r>
    </w:p>
    <w:p>
      <w:pPr>
        <w:pStyle w:val="25"/>
      </w:pPr>
      <w:r>
        <w:t>12.负责辖区环境保护和安全生产监督管理工作；负责食品药品安全监督管理工作；负责辖区人力资源和社会保障工作；负责协调辖区内上级有关单位派驻机构的工作；</w:t>
      </w:r>
    </w:p>
    <w:p>
      <w:pPr>
        <w:pStyle w:val="25"/>
      </w:pPr>
      <w:r>
        <w:t>13.完成县委、县政府交办的其他任务。</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河北涞源经济开发区管理委员会本级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副处（县）级</w:t>
            </w:r>
          </w:p>
        </w:tc>
        <w:tc>
          <w:tcPr>
            <w:tcW w:w="3827" w:type="dxa"/>
            <w:tcBorders>
              <w:left w:val="single" w:sz="6" w:space="0" w:color="000000"/>
              <w:right w:val="single" w:sz="6" w:space="0" w:color="000000"/>
            </w:tcBorders>
            <w:vAlign w:val="center"/>
          </w:tcPr>
          <w:p>
            <w:pPr>
              <w:pStyle w:val="21"/>
            </w:pPr>
            <w:r>
              <w:t>财政拨款</w:t>
            </w:r>
          </w:p>
        </w:tc>
      </w:tr>
    </w:tbl>
    <w:p>
      <w:pPr>
        <w:spacing w:before="10" w:after="10" w:line="360" w:lineRule="auto"/>
        <w:ind w:firstLine="640"/>
        <w:jc w:val="left"/>
        <w:outlineLvl w:val="2"/>
      </w:pPr>
      <w:bookmarkStart w:id="11" w:name="_Toc_3_3_0000000011"/>
      <w:r>
        <w:rPr>
          <w:rFonts w:ascii="黑体" w:eastAsia="黑体" w:cs="黑体"/>
          <w:color w:val="000000"/>
          <w:sz w:val="32"/>
        </w:rPr>
        <w:t>二、单位预算安排的总体情况</w:t>
      </w:r>
      <w:bookmarkEnd w:id="11"/>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按照预算管理有关规定，目前我县单位预算的编制实行综合预算管理，即全部收入和支出都反映在预算中。河北涞源经济开发区管理委员会机关及所属事业单位的收支包含在单位预算中。</w:t>
      </w:r>
    </w:p>
    <w:p>
      <w:pPr>
        <w:pStyle w:val="26"/>
      </w:pPr>
      <w:r>
        <w:t>1、收入说明</w:t>
      </w:r>
    </w:p>
    <w:p>
      <w:pPr>
        <w:pStyle w:val="26"/>
      </w:pPr>
      <w:r>
        <w:t>2023年预算收入791.19万元，其中：一般公共预算收入791.19万元，基金预算收入0万元，国有资本经营预算收入0万元，财政专户核拨收入0万元，单位资金收入0万元，上年结转结余0万元。</w:t>
      </w:r>
    </w:p>
    <w:p>
      <w:pPr>
        <w:pStyle w:val="26"/>
      </w:pPr>
      <w:r>
        <w:t>2、支出情况</w:t>
      </w:r>
    </w:p>
    <w:p>
      <w:pPr>
        <w:pStyle w:val="26"/>
      </w:pPr>
      <w:r>
        <w:t>其中基本支出49.74万元，包括日常公用经费49.74万元；项目支出741.45万元，主要为经济开发区招商引资费，开发区项目造价服务费、管理费、监理费、可研总规、产规、详规等编制费用，污水处理厂运营费。</w:t>
      </w:r>
    </w:p>
    <w:p>
      <w:pPr>
        <w:pStyle w:val="26"/>
      </w:pPr>
      <w:r>
        <w:t>3.比上年增长情况</w:t>
      </w:r>
    </w:p>
    <w:p>
      <w:pPr>
        <w:pStyle w:val="26"/>
      </w:pPr>
      <w:r>
        <w:t>2023年预算收支安排791.19万元，较2022年预算增加102.04万元，其中：项目支出增加102.04万元，主要增加污水处理厂运营费。</w:t>
      </w:r>
    </w:p>
    <w:p>
      <w:pPr>
        <w:spacing w:before="10" w:after="10" w:line="360" w:lineRule="auto"/>
        <w:ind w:firstLine="640"/>
        <w:jc w:val="left"/>
        <w:outlineLvl w:val="2"/>
      </w:pPr>
      <w:bookmarkStart w:id="12" w:name="_Toc_3_3_0000000012"/>
      <w:r>
        <w:rPr>
          <w:rFonts w:ascii="黑体" w:eastAsia="黑体" w:cs="黑体"/>
          <w:color w:val="000000"/>
          <w:sz w:val="32"/>
        </w:rPr>
        <w:t>三、机关运行经费安排情况</w:t>
      </w:r>
      <w:bookmarkEnd w:id="12"/>
    </w:p>
    <w:p>
      <w:pPr>
        <w:pStyle w:val="27"/>
      </w:pPr>
      <w:r>
        <w:t>2023年,我单位运行经费共计安排49.74万元，主要用于日常办公、办公用房水电费，公务接待、差旅费，公务车运行等日常运行支出。</w:t>
      </w:r>
    </w:p>
    <w:p>
      <w:pPr>
        <w:spacing w:before="10" w:after="10" w:line="360" w:lineRule="auto"/>
        <w:ind w:firstLine="640"/>
        <w:jc w:val="left"/>
        <w:outlineLvl w:val="2"/>
      </w:pPr>
      <w:bookmarkStart w:id="13" w:name="_Toc_3_3_0000000013"/>
      <w:r>
        <w:rPr>
          <w:rFonts w:ascii="黑体" w:eastAsia="黑体" w:cs="黑体"/>
          <w:color w:val="000000"/>
          <w:sz w:val="32"/>
        </w:rPr>
        <w:t>四、财政拨款“三公”经费预算情况及增减变化原因</w:t>
      </w:r>
      <w:bookmarkEnd w:id="13"/>
    </w:p>
    <w:p>
      <w:pPr>
        <w:pStyle w:val="28"/>
      </w:pPr>
      <w:r>
        <w:t>2023年，我单位财政拨款“三公”经费预算安排22万元，其中因公出国（境）费0万元，公务用车购置及运维费7万元(其中：公务用车购置费为0万元，公务用车运维费为7万元）；公务接待费15万元。与2022年相比持平。</w:t>
      </w:r>
    </w:p>
    <w:p>
      <w:pPr>
        <w:spacing w:before="10" w:after="10" w:line="360" w:lineRule="auto"/>
        <w:ind w:firstLine="640"/>
        <w:jc w:val="left"/>
        <w:outlineLvl w:val="2"/>
      </w:pPr>
      <w:bookmarkStart w:id="14" w:name="_Toc_3_3_0000000014"/>
      <w:r>
        <w:rPr>
          <w:rFonts w:ascii="黑体" w:eastAsia="黑体" w:cs="黑体"/>
          <w:color w:val="000000"/>
          <w:sz w:val="32"/>
        </w:rPr>
        <w:t>五、预算绩效信息</w:t>
      </w:r>
      <w:bookmarkEnd w:id="14"/>
    </w:p>
    <w:p>
      <w:pPr>
        <w:spacing w:before="0" w:after="0"/>
        <w:ind w:firstLine="560"/>
        <w:jc w:val="left"/>
        <w:outlineLvl w:val="9"/>
      </w:pPr>
      <w:r>
        <w:rPr>
          <w:rFonts w:ascii="方正仿宋_GBK" w:eastAsia="方正仿宋_GBK" w:cs="方正仿宋_GBK"/>
          <w:b/>
          <w:color w:val="000000"/>
          <w:sz w:val="28"/>
        </w:rPr>
        <w:t>1、2023年经济开发区工勤人员工资绩效目标表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及时率</w:t>
            </w:r>
          </w:p>
        </w:tc>
        <w:tc>
          <w:tcPr>
            <w:tcW w:w="2835" w:type="dxa"/>
            <w:tcBorders>
              <w:left w:val="single" w:sz="6" w:space="0" w:color="000000"/>
              <w:right w:val="single" w:sz="6" w:space="0" w:color="000000"/>
            </w:tcBorders>
            <w:vAlign w:val="center"/>
          </w:tcPr>
          <w:p>
            <w:pPr>
              <w:pStyle w:val="20"/>
            </w:pPr>
            <w:r>
              <w:t>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2835" w:type="dxa"/>
            <w:tcBorders>
              <w:left w:val="single" w:sz="6" w:space="0" w:color="000000"/>
              <w:right w:val="single" w:sz="6" w:space="0" w:color="000000"/>
            </w:tcBorders>
            <w:vAlign w:val="center"/>
          </w:tcPr>
          <w:p>
            <w:pPr>
              <w:pStyle w:val="20"/>
            </w:pPr>
            <w:r>
              <w:t>提高工作效率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2、经济开发区标准化科创园项目绩效目标表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1.为保障开发区工作顺利开展</w:t>
            </w:r>
          </w:p>
          <w:p>
            <w:pPr>
              <w:pStyle w:val="20"/>
            </w:pPr>
            <w:r>
              <w:t>2.为保障开发区工作顺利开展</w:t>
            </w:r>
          </w:p>
          <w:p>
            <w:pPr>
              <w:pStyle w:val="20"/>
            </w:pPr>
            <w:r>
              <w:t>3.为保障开发区工作顺利开展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2835" w:type="dxa"/>
            <w:tcBorders>
              <w:left w:val="single" w:sz="6" w:space="0" w:color="000000"/>
              <w:right w:val="single" w:sz="6" w:space="0" w:color="000000"/>
            </w:tcBorders>
            <w:vAlign w:val="center"/>
          </w:tcPr>
          <w:p>
            <w:pPr>
              <w:pStyle w:val="20"/>
            </w:pPr>
            <w:r>
              <w:t>完成及时率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项目完成率</w:t>
            </w:r>
          </w:p>
        </w:tc>
        <w:tc>
          <w:tcPr>
            <w:tcW w:w="2835" w:type="dxa"/>
            <w:tcBorders>
              <w:left w:val="single" w:sz="6" w:space="0" w:color="000000"/>
              <w:right w:val="single" w:sz="6" w:space="0" w:color="000000"/>
            </w:tcBorders>
            <w:vAlign w:val="center"/>
          </w:tcPr>
          <w:p>
            <w:pPr>
              <w:pStyle w:val="20"/>
            </w:pPr>
            <w:r>
              <w:t>项目完成率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生态影响</w:t>
            </w:r>
          </w:p>
        </w:tc>
        <w:tc>
          <w:tcPr>
            <w:tcW w:w="2835" w:type="dxa"/>
            <w:tcBorders>
              <w:left w:val="single" w:sz="6" w:space="0" w:color="000000"/>
              <w:right w:val="single" w:sz="6" w:space="0" w:color="000000"/>
            </w:tcBorders>
            <w:vAlign w:val="center"/>
          </w:tcPr>
          <w:p>
            <w:pPr>
              <w:pStyle w:val="20"/>
            </w:pPr>
            <w:r>
              <w:t>生态影响</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3、经济开发区基础设施项目绩效目标表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1.为保障开发区工作顺利进行</w:t>
            </w:r>
          </w:p>
          <w:p>
            <w:pPr>
              <w:pStyle w:val="20"/>
            </w:pPr>
            <w:r>
              <w:t>2.为保障开发区工作顺利进行</w:t>
            </w:r>
          </w:p>
          <w:p>
            <w:pPr>
              <w:pStyle w:val="20"/>
            </w:pPr>
            <w:r>
              <w:t>3.为保障开发区工作顺利进行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生态影响</w:t>
            </w:r>
          </w:p>
        </w:tc>
        <w:tc>
          <w:tcPr>
            <w:tcW w:w="2835" w:type="dxa"/>
            <w:tcBorders>
              <w:left w:val="single" w:sz="6" w:space="0" w:color="000000"/>
              <w:right w:val="single" w:sz="6" w:space="0" w:color="000000"/>
            </w:tcBorders>
            <w:vAlign w:val="center"/>
          </w:tcPr>
          <w:p>
            <w:pPr>
              <w:pStyle w:val="20"/>
            </w:pPr>
            <w:r>
              <w:t>生态影响</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4、基础设施工程项目绩效目标表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1.为保障开发区工作顺利开展</w:t>
            </w:r>
          </w:p>
          <w:p>
            <w:pPr>
              <w:pStyle w:val="20"/>
            </w:pPr>
            <w:r>
              <w:t>2.为保障开发区工作顺利开展</w:t>
            </w:r>
          </w:p>
          <w:p>
            <w:pPr>
              <w:pStyle w:val="20"/>
            </w:pPr>
            <w:r>
              <w:t>3.为保障开发区工作顺利开展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2835" w:type="dxa"/>
            <w:tcBorders>
              <w:left w:val="single" w:sz="6" w:space="0" w:color="000000"/>
              <w:right w:val="single" w:sz="6" w:space="0" w:color="000000"/>
            </w:tcBorders>
            <w:vAlign w:val="center"/>
          </w:tcPr>
          <w:p>
            <w:pPr>
              <w:pStyle w:val="20"/>
            </w:pPr>
            <w:r>
              <w:t>完成及时率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项目完成率</w:t>
            </w:r>
          </w:p>
        </w:tc>
        <w:tc>
          <w:tcPr>
            <w:tcW w:w="2835" w:type="dxa"/>
            <w:tcBorders>
              <w:left w:val="single" w:sz="6" w:space="0" w:color="000000"/>
              <w:right w:val="single" w:sz="6" w:space="0" w:color="000000"/>
            </w:tcBorders>
            <w:vAlign w:val="center"/>
          </w:tcPr>
          <w:p>
            <w:pPr>
              <w:pStyle w:val="20"/>
            </w:pPr>
            <w:r>
              <w:t>项目完成率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生态影响</w:t>
            </w:r>
          </w:p>
        </w:tc>
        <w:tc>
          <w:tcPr>
            <w:tcW w:w="2835" w:type="dxa"/>
            <w:tcBorders>
              <w:left w:val="single" w:sz="6" w:space="0" w:color="000000"/>
              <w:right w:val="single" w:sz="6" w:space="0" w:color="000000"/>
            </w:tcBorders>
            <w:vAlign w:val="center"/>
          </w:tcPr>
          <w:p>
            <w:pPr>
              <w:pStyle w:val="20"/>
            </w:pPr>
            <w:r>
              <w:t>生态影响</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5、经济开发区法律顾问费绩效目标表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1.保障经济开发区工作顺利进行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6、经济开发区河北省开发区协会会费绩效目标表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7、经济开发区空气自动监测站运维费绩效目标表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1.保障空气自动监测站运维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8、经济开发区空气自动监测站运维费绩效目标表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1.保障空气自动监测站运维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2835" w:type="dxa"/>
            <w:tcBorders>
              <w:left w:val="single" w:sz="6" w:space="0" w:color="000000"/>
              <w:right w:val="single" w:sz="6" w:space="0" w:color="000000"/>
            </w:tcBorders>
            <w:vAlign w:val="center"/>
          </w:tcPr>
          <w:p>
            <w:pPr>
              <w:pStyle w:val="20"/>
            </w:pPr>
            <w:r>
              <w:t>提高工作效率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9、经济开发区取暖费绩效目标表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10、经济开发区污水处理厂2023年运营费绩效目标表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p>
            <w:pPr>
              <w:pStyle w:val="20"/>
            </w:pPr>
          </w:p>
          <w:p>
            <w:pPr>
              <w:pStyle w:val="20"/>
            </w:pPr>
          </w:p>
        </w:tc>
        <w:tc>
          <w:tcPr>
            <w:tcW w:w="2835" w:type="dxa"/>
            <w:tcBorders>
              <w:left w:val="single" w:sz="6" w:space="0" w:color="000000"/>
              <w:right w:val="single" w:sz="6" w:space="0" w:color="000000"/>
            </w:tcBorders>
            <w:vAlign w:val="center"/>
          </w:tcPr>
          <w:p>
            <w:pPr>
              <w:pStyle w:val="20"/>
            </w:pPr>
            <w:r>
              <w:t>计划完成率</w:t>
            </w:r>
          </w:p>
          <w:p>
            <w:pPr>
              <w:pStyle w:val="20"/>
            </w:pPr>
          </w:p>
          <w:p>
            <w:pPr>
              <w:pStyle w:val="20"/>
            </w:pP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11、经济开发区项目造价服务费、管理费、监理费、可研、总规、产规、详规等编制费绩效目标表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12、经济开发区招商引资专项绩效目标表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1.顺利开展招商引资工作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持续发展作用力</w:t>
            </w:r>
          </w:p>
        </w:tc>
        <w:tc>
          <w:tcPr>
            <w:tcW w:w="2835" w:type="dxa"/>
            <w:tcBorders>
              <w:left w:val="single" w:sz="6" w:space="0" w:color="000000"/>
              <w:right w:val="single" w:sz="6" w:space="0" w:color="000000"/>
            </w:tcBorders>
            <w:vAlign w:val="center"/>
          </w:tcPr>
          <w:p>
            <w:pPr>
              <w:pStyle w:val="20"/>
            </w:pPr>
            <w:r>
              <w:t>持续发展作用力</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13、经济开发区专项工作经费绩效目标表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2023年，河北涞源经济开发区管理委员会安排政府采购预算0.00万元。具体内容见下表。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政府采购金额（当年单位预算安排资金）</w:t>
            </w:r>
          </w:p>
        </w:tc>
        <w:tc>
          <w:tcPr>
            <w:tcW w:w="96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河北涞源经济开发区管理委员会（含所属单位）上年末固定资产金额为3244.65万元（详见下表）。本年度拟购置固定资产总额为0.00万元，已按要求列入政府采购预算，详见政府采购预算表。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tcBorders>
              <w:left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left w:val="single" w:sz="6" w:space="0" w:color="000000"/>
              <w:right w:val="single" w:sz="6" w:space="0" w:color="000000"/>
            </w:tcBorders>
            <w:vAlign w:val="center"/>
          </w:tcPr>
          <w:p>
            <w:pPr>
              <w:pStyle w:val="18"/>
            </w:pPr>
            <w:r>
              <w:t>价值（金额单位：万元）</w:t>
            </w:r>
          </w:p>
        </w:tc>
      </w:tr>
      <w:tr>
        <w:tc>
          <w:tcPr>
            <w:tcW w:w="7370" w:type="dxa"/>
            <w:tcBorders>
              <w:left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3244.65</w:t>
            </w:r>
          </w:p>
        </w:tc>
      </w:tr>
      <w:tr>
        <w:tc>
          <w:tcPr>
            <w:tcW w:w="7370" w:type="dxa"/>
            <w:tcBorders>
              <w:left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tcBorders>
              <w:left w:val="single" w:sz="6" w:space="0" w:color="000000"/>
              <w:right w:val="single" w:sz="6" w:space="0" w:color="000000"/>
            </w:tcBorders>
            <w:vAlign w:val="center"/>
          </w:tcPr>
          <w:p>
            <w:pPr>
              <w:pStyle w:val="19"/>
            </w:pPr>
            <w:r>
              <w:t>36.50</w:t>
            </w:r>
          </w:p>
        </w:tc>
      </w:tr>
      <w:tr>
        <w:tc>
          <w:tcPr>
            <w:tcW w:w="7370" w:type="dxa"/>
            <w:tcBorders>
              <w:left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3208.15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指县级财政当年拨付的资金。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县级财政预算管理的“三公”经费，是指县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ind w:firstLine="0"/>
        <w:jc w:val="center"/>
      </w:pPr>
      <w:r>
        <w:rPr>
          <w:rFonts w:ascii="方正小标宋_GBK" w:eastAsia="方正小标宋_GBK" w:cs="方正小标宋_GBK"/>
          <w:color w:val="000000"/>
          <w:sz w:val="44"/>
        </w:rPr>
        <w:t xml:space="preserve"> </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48</TotalTime>
  <Application>Yozo_Office27021597764231179</Application>
  <Pages>30</Pages>
  <Words>7851</Words>
  <Characters>9244</Characters>
  <Lines>1942</Lines>
  <Paragraphs>1383</Paragraphs>
  <CharactersWithSpaces>9354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2023-03-08T13:15:05Z</dcterms:created>
  <dcterms:modified xsi:type="dcterms:W3CDTF">2024-01-24T01:53:08Z</dcterms:modified>
</cp:coreProperties>
</file>