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int="eastAsia"/>
          <w:b/>
          <w:color w:val="000000"/>
          <w:sz w:val="44"/>
          <w:lang w:eastAsia="zh-CN"/>
        </w:rPr>
        <w:t>保定市生态环境局涞源县分局</w:t>
      </w:r>
      <w:r>
        <w:rPr>
          <w:rFonts w:ascii="黑体" w:eastAsia="黑体" w:cs="黑体"/>
          <w:b/>
          <w:color w:val="000000"/>
          <w:sz w:val="44"/>
        </w:rPr>
        <w:t>2021年</w:t>
      </w:r>
      <w:r>
        <w:rPr>
          <w:rFonts w:ascii="黑体" w:eastAsia="黑体" w:cs="黑体" w:hint="eastAsia"/>
          <w:b/>
          <w:color w:val="000000"/>
          <w:sz w:val="44"/>
          <w:lang w:eastAsia="zh-CN"/>
        </w:rPr>
        <w:t>单位</w:t>
      </w:r>
      <w:r>
        <w:rPr>
          <w:rFonts w:ascii="黑体" w:eastAsia="黑体" w:cs="黑体"/>
          <w:b/>
          <w:color w:val="000000"/>
          <w:sz w:val="44"/>
        </w:rPr>
        <w:t>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center"/>
        <w:outlineLvl w:val="9"/>
        <w:rPr>
          <w:rFonts w:ascii="黑体" w:eastAsia="黑体" w:cs="黑体"/>
          <w:color w:val="000000"/>
          <w:sz w:val="30"/>
        </w:rPr>
      </w:pPr>
      <w:r>
        <w:rPr>
          <w:rFonts w:ascii="黑体" w:eastAsia="黑体" w:cs="黑体"/>
          <w:b/>
          <w:color w:val="000000"/>
          <w:sz w:val="30"/>
        </w:rPr>
        <w:t xml:space="preserve">第一部分  </w:t>
      </w:r>
      <w:r>
        <w:rPr>
          <w:rFonts w:ascii="黑体" w:eastAsia="黑体" w:cs="黑体" w:hint="eastAsia"/>
          <w:b/>
          <w:color w:val="000000"/>
          <w:sz w:val="30"/>
          <w:lang w:eastAsia="zh-CN"/>
        </w:rPr>
        <w:t>单位</w:t>
      </w:r>
      <w:r>
        <w:rPr>
          <w:rFonts w:ascii="黑体" w:eastAsia="黑体" w:cs="黑体"/>
          <w:b/>
          <w:color w:val="000000"/>
          <w:sz w:val="30"/>
        </w:rPr>
        <w:t>预算</w:t>
      </w:r>
    </w:p>
    <w:p>
      <w:pPr>
        <w:spacing w:before="0" w:after="0" w:line="240" w:lineRule="auto"/>
        <w:ind w:firstLine="0"/>
        <w:jc w:val="left"/>
        <w:outlineLvl w:val="9"/>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预算公开表</w:t>
      </w:r>
    </w:p>
    <w:p>
      <w:pPr>
        <w:pStyle w:val="19"/>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tab/>
      </w:r>
      <w:r>
        <w:rPr>
          <w:rFonts w:hint="eastAsia"/>
          <w:lang w:val="en-US" w:eastAsia="zh-CN"/>
        </w:rPr>
        <w:t>3</w:t>
      </w:r>
      <w:r>
        <w:fldChar w:fldCharType="end"/>
      </w:r>
    </w:p>
    <w:p>
      <w:pPr>
        <w:pStyle w:val="19"/>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tab/>
      </w:r>
      <w:r>
        <w:rPr>
          <w:rFonts w:hint="eastAsia"/>
          <w:lang w:val="en-US" w:eastAsia="zh-CN"/>
        </w:rPr>
        <w:t>5</w:t>
      </w:r>
      <w:r>
        <w:fldChar w:fldCharType="end"/>
      </w:r>
    </w:p>
    <w:p>
      <w:pPr>
        <w:pStyle w:val="19"/>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tab/>
      </w:r>
      <w:r>
        <w:rPr>
          <w:rFonts w:hint="eastAsia"/>
          <w:lang w:val="en-US" w:eastAsia="zh-CN"/>
        </w:rPr>
        <w:t>6</w:t>
      </w:r>
      <w:r>
        <w:fldChar w:fldCharType="end"/>
      </w:r>
    </w:p>
    <w:p>
      <w:pPr>
        <w:pStyle w:val="19"/>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tab/>
      </w:r>
      <w:r>
        <w:rPr>
          <w:rFonts w:hint="eastAsia"/>
          <w:lang w:val="en-US" w:eastAsia="zh-CN"/>
        </w:rPr>
        <w:t>7</w:t>
      </w:r>
      <w:r>
        <w:fldChar w:fldCharType="end"/>
      </w:r>
    </w:p>
    <w:p>
      <w:pPr>
        <w:pStyle w:val="19"/>
        <w:tabs>
          <w:tab w:val="right" w:leader="dot" w:pos="14562"/>
        </w:tabs>
        <w:rPr>
          <w:rFonts w:eastAsia="方正仿宋_GBK" w:hint="eastAsia"/>
          <w:lang w:val="en-US" w:eastAsia="zh-CN"/>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tab/>
      </w:r>
      <w:r>
        <w:rPr>
          <w:rFonts w:hint="eastAsia"/>
          <w:lang w:val="en-US" w:eastAsia="zh-CN"/>
        </w:rPr>
        <w:t>1</w:t>
      </w:r>
      <w:r>
        <w:fldChar w:fldCharType="end"/>
      </w:r>
      <w:r>
        <w:rPr>
          <w:rFonts w:hint="eastAsia"/>
          <w:lang w:val="en-US" w:eastAsia="zh-CN"/>
        </w:rPr>
        <w:t>1</w:t>
      </w:r>
    </w:p>
    <w:p>
      <w:pPr>
        <w:pStyle w:val="19"/>
        <w:tabs>
          <w:tab w:val="right" w:leader="dot" w:pos="14562"/>
        </w:tabs>
        <w:rPr>
          <w:rFonts w:eastAsia="方正仿宋_GBK" w:hint="eastAsia"/>
          <w:lang w:val="en-US" w:eastAsia="zh-CN"/>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tab/>
      </w:r>
      <w:r>
        <w:rPr>
          <w:rFonts w:hint="eastAsia"/>
          <w:lang w:val="en-US" w:eastAsia="zh-CN"/>
        </w:rPr>
        <w:t>1</w:t>
      </w:r>
      <w:r>
        <w:fldChar w:fldCharType="end"/>
      </w:r>
      <w:r>
        <w:rPr>
          <w:rFonts w:hint="eastAsia"/>
          <w:lang w:val="en-US" w:eastAsia="zh-CN"/>
        </w:rPr>
        <w:t>2</w:t>
      </w:r>
    </w:p>
    <w:p>
      <w:pPr>
        <w:pStyle w:val="19"/>
        <w:tabs>
          <w:tab w:val="right" w:leader="dot" w:pos="14562"/>
        </w:tabs>
        <w:rPr>
          <w:rFonts w:eastAsia="方正仿宋_GBK" w:hint="eastAsia"/>
          <w:lang w:val="en-US" w:eastAsia="zh-CN"/>
        </w:rPr>
      </w:pPr>
      <w:r>
        <w:fldChar w:fldCharType="begin"/>
      </w:r>
      <w:r>
        <w:instrText xml:space="preserve"> HYPERLINK \l "_Toc_2_2_0000000007" </w:instrText>
      </w:r>
      <w:r>
        <w:fldChar w:fldCharType="separate"/>
      </w:r>
      <w:r>
        <w:rPr>
          <w:rFonts w:hint="eastAsia"/>
          <w:lang w:val="en-US" w:eastAsia="zh-CN"/>
        </w:rPr>
        <w:t>单位</w:t>
      </w:r>
      <w:r>
        <w:t>预算政府基金预算财政拨款支出表</w:t>
        <w:tab/>
      </w:r>
      <w:r>
        <w:rPr>
          <w:rFonts w:hint="eastAsia"/>
          <w:lang w:val="en-US" w:eastAsia="zh-CN"/>
        </w:rPr>
        <w:t>1</w:t>
      </w:r>
      <w:r>
        <w:fldChar w:fldCharType="end"/>
      </w:r>
      <w:r>
        <w:rPr>
          <w:rFonts w:hint="eastAsia"/>
          <w:lang w:val="en-US" w:eastAsia="zh-CN"/>
        </w:rPr>
        <w:t>3</w:t>
      </w:r>
    </w:p>
    <w:p>
      <w:pPr>
        <w:pStyle w:val="19"/>
        <w:tabs>
          <w:tab w:val="right" w:leader="dot" w:pos="14562"/>
        </w:tabs>
        <w:rPr>
          <w:rFonts w:eastAsia="方正仿宋_GBK" w:hint="eastAsia"/>
          <w:lang w:val="en-US" w:eastAsia="zh-CN"/>
        </w:rPr>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tab/>
      </w:r>
      <w:r>
        <w:rPr>
          <w:rFonts w:hint="eastAsia"/>
          <w:lang w:val="en-US" w:eastAsia="zh-CN"/>
        </w:rPr>
        <w:t>1</w:t>
      </w:r>
      <w:r>
        <w:fldChar w:fldCharType="end"/>
      </w:r>
      <w:r>
        <w:rPr>
          <w:rFonts w:hint="eastAsia"/>
          <w:lang w:val="en-US" w:eastAsia="zh-CN"/>
        </w:rPr>
        <w:t>4</w:t>
      </w:r>
    </w:p>
    <w:p>
      <w:pPr>
        <w:pStyle w:val="19"/>
        <w:tabs>
          <w:tab w:val="right" w:leader="dot" w:pos="14562"/>
        </w:tabs>
        <w:rPr>
          <w:rFonts w:eastAsia="方正仿宋_GBK" w:hint="eastAsia"/>
          <w:lang w:val="en-US" w:eastAsia="zh-CN"/>
        </w:rPr>
      </w:pPr>
      <w:r>
        <w:fldChar w:fldCharType="begin"/>
      </w:r>
      <w:r>
        <w:instrText xml:space="preserve"> HYPERLINK \l "_Toc_2_2_0000000009" </w:instrText>
      </w:r>
      <w:r>
        <w:fldChar w:fldCharType="separate"/>
      </w:r>
      <w:r>
        <w:rPr>
          <w:rFonts w:hint="eastAsia"/>
          <w:lang w:val="en-US" w:eastAsia="zh-CN"/>
        </w:rPr>
        <w:t>单位</w:t>
      </w:r>
      <w:r>
        <w:t>预算财政拨款“三公”经费支出表</w:t>
        <w:tab/>
      </w:r>
      <w:r>
        <w:rPr>
          <w:rFonts w:hint="eastAsia"/>
          <w:lang w:val="en-US" w:eastAsia="zh-CN"/>
        </w:rPr>
        <w:t>1</w:t>
      </w:r>
      <w:r>
        <w:fldChar w:fldCharType="end"/>
      </w:r>
      <w:r>
        <w:rPr>
          <w:rFonts w:hint="eastAsia"/>
          <w:lang w:val="en-US" w:eastAsia="zh-CN"/>
        </w:rPr>
        <w:t>5</w:t>
      </w:r>
    </w:p>
    <w:p>
      <w:r>
        <w:fldChar w:fldCharType="end"/>
      </w:r>
    </w:p>
    <w:p>
      <w:pPr>
        <w:spacing w:before="0" w:after="0" w:line="240" w:lineRule="auto"/>
        <w:ind w:firstLine="0"/>
        <w:jc w:val="left"/>
        <w:outlineLvl w:val="9"/>
      </w:pPr>
      <w:r>
        <w:rPr>
          <w:rFonts w:ascii="方正楷体_GBK" w:eastAsia="方正楷体_GBK" w:cs="方正楷体_GBK" w:hint="eastAsia"/>
          <w:b/>
          <w:color w:val="000000"/>
          <w:sz w:val="28"/>
          <w:lang w:eastAsia="zh-CN"/>
        </w:rPr>
        <w:t>单位</w:t>
      </w:r>
      <w:r>
        <w:rPr>
          <w:rFonts w:ascii="方正楷体_GBK" w:eastAsia="方正楷体_GBK" w:cs="方正楷体_GBK"/>
          <w:b/>
          <w:color w:val="000000"/>
          <w:sz w:val="28"/>
        </w:rPr>
        <w:t>预算信息公开情况说明</w:t>
      </w:r>
    </w:p>
    <w:p>
      <w:pPr>
        <w:pStyle w:val="19"/>
        <w:tabs>
          <w:tab w:val="right" w:leader="dot" w:pos="14562"/>
        </w:tabs>
        <w:rPr>
          <w:rFonts w:eastAsia="方正仿宋_GBK" w:hint="eastAsia"/>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tab/>
      </w:r>
      <w:r>
        <w:rPr>
          <w:rFonts w:hint="eastAsia"/>
          <w:lang w:val="en-US" w:eastAsia="zh-CN"/>
        </w:rPr>
        <w:t>1</w:t>
      </w:r>
      <w:r>
        <w:fldChar w:fldCharType="end"/>
      </w:r>
      <w:r>
        <w:rPr>
          <w:rFonts w:hint="eastAsia"/>
          <w:lang w:val="en-US" w:eastAsia="zh-CN"/>
        </w:rPr>
        <w:t>6</w:t>
      </w:r>
    </w:p>
    <w:p>
      <w:pPr>
        <w:pStyle w:val="19"/>
        <w:tabs>
          <w:tab w:val="right" w:leader="dot" w:pos="14562"/>
        </w:tabs>
        <w:rPr>
          <w:rFonts w:eastAsia="方正仿宋_GBK" w:hint="eastAsia"/>
          <w:lang w:val="en-US" w:eastAsia="zh-CN"/>
        </w:rPr>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tab/>
      </w:r>
      <w:r>
        <w:rPr>
          <w:rFonts w:hint="eastAsia"/>
          <w:lang w:val="en-US" w:eastAsia="zh-CN"/>
        </w:rPr>
        <w:t>1</w:t>
      </w:r>
      <w:r>
        <w:fldChar w:fldCharType="end"/>
      </w:r>
      <w:r>
        <w:rPr>
          <w:rFonts w:hint="eastAsia"/>
          <w:lang w:val="en-US" w:eastAsia="zh-CN"/>
        </w:rPr>
        <w:t>7</w:t>
      </w:r>
    </w:p>
    <w:p>
      <w:pPr>
        <w:pStyle w:val="19"/>
        <w:tabs>
          <w:tab w:val="right" w:leader="dot" w:pos="14562"/>
        </w:tabs>
        <w:rPr>
          <w:rFonts w:eastAsia="方正仿宋_GBK" w:hint="eastAsia"/>
          <w:lang w:val="en-US" w:eastAsia="zh-CN"/>
        </w:rPr>
      </w:pPr>
      <w:r>
        <w:fldChar w:fldCharType="begin"/>
      </w:r>
      <w:r>
        <w:instrText xml:space="preserve"> HYPERLINK \l "_Toc_3_3_0000000012" </w:instrText>
      </w:r>
      <w:r>
        <w:fldChar w:fldCharType="separate"/>
      </w:r>
      <w:r>
        <w:t>三、机关运行经费安排情况</w:t>
        <w:tab/>
      </w:r>
      <w:r>
        <w:rPr>
          <w:rFonts w:hint="eastAsia"/>
          <w:lang w:val="en-US" w:eastAsia="zh-CN"/>
        </w:rPr>
        <w:t>1</w:t>
      </w:r>
      <w:r>
        <w:fldChar w:fldCharType="end"/>
      </w:r>
      <w:r>
        <w:rPr>
          <w:rFonts w:hint="eastAsia"/>
          <w:lang w:val="en-US" w:eastAsia="zh-CN"/>
        </w:rPr>
        <w:t>8</w:t>
      </w:r>
    </w:p>
    <w:p>
      <w:pPr>
        <w:pStyle w:val="19"/>
        <w:tabs>
          <w:tab w:val="right" w:leader="dot" w:pos="14562"/>
        </w:tabs>
        <w:rPr>
          <w:rFonts w:eastAsia="方正仿宋_GBK" w:hint="eastAsia"/>
          <w:lang w:val="en-US" w:eastAsia="zh-CN"/>
        </w:rPr>
      </w:pPr>
      <w:r>
        <w:fldChar w:fldCharType="begin"/>
      </w:r>
      <w:r>
        <w:instrText xml:space="preserve"> HYPERLINK \l "_Toc_3_3_0000000013" </w:instrText>
      </w:r>
      <w:r>
        <w:fldChar w:fldCharType="separate"/>
      </w:r>
      <w:r>
        <w:t>四、财政拨款“三公”经费预算情况及增减变化原因</w:t>
        <w:tab/>
      </w:r>
      <w:r>
        <w:rPr>
          <w:rFonts w:hint="eastAsia"/>
          <w:lang w:val="en-US" w:eastAsia="zh-CN"/>
        </w:rPr>
        <w:t>1</w:t>
      </w:r>
      <w:r>
        <w:fldChar w:fldCharType="end"/>
      </w:r>
      <w:r>
        <w:rPr>
          <w:rFonts w:hint="eastAsia"/>
          <w:lang w:val="en-US" w:eastAsia="zh-CN"/>
        </w:rPr>
        <w:t>8</w:t>
      </w:r>
    </w:p>
    <w:p>
      <w:pPr>
        <w:pStyle w:val="19"/>
        <w:tabs>
          <w:tab w:val="right" w:leader="dot" w:pos="14562"/>
        </w:tabs>
        <w:rPr>
          <w:rFonts w:eastAsia="方正仿宋_GBK" w:hint="eastAsia"/>
          <w:lang w:val="en-US" w:eastAsia="zh-CN"/>
        </w:rPr>
      </w:pPr>
      <w:r>
        <w:fldChar w:fldCharType="begin"/>
      </w:r>
      <w:r>
        <w:instrText xml:space="preserve"> HYPERLINK \l "_Toc_3_3_0000000014" </w:instrText>
      </w:r>
      <w:r>
        <w:fldChar w:fldCharType="separate"/>
      </w:r>
      <w:r>
        <w:t>五、预算绩效信息</w:t>
        <w:tab/>
      </w:r>
      <w:r>
        <w:rPr>
          <w:rFonts w:hint="eastAsia"/>
          <w:lang w:val="en-US" w:eastAsia="zh-CN"/>
        </w:rPr>
        <w:t>1</w:t>
      </w:r>
      <w:r>
        <w:fldChar w:fldCharType="end"/>
      </w:r>
      <w:r>
        <w:rPr>
          <w:rFonts w:hint="eastAsia"/>
          <w:lang w:val="en-US" w:eastAsia="zh-CN"/>
        </w:rPr>
        <w:t>9</w:t>
      </w:r>
    </w:p>
    <w:p>
      <w:pPr>
        <w:pStyle w:val="19"/>
        <w:tabs>
          <w:tab w:val="right" w:leader="dot" w:pos="14562"/>
        </w:tabs>
        <w:rPr>
          <w:rFonts w:eastAsia="方正仿宋_GBK" w:hint="eastAsia"/>
          <w:lang w:val="en-US" w:eastAsia="zh-CN"/>
        </w:rPr>
      </w:pPr>
      <w:r>
        <w:fldChar w:fldCharType="begin"/>
      </w:r>
      <w:r>
        <w:instrText xml:space="preserve"> HYPERLINK \l "_Toc_3_3_0000000015" </w:instrText>
      </w:r>
      <w:r>
        <w:fldChar w:fldCharType="separate"/>
      </w:r>
      <w:r>
        <w:t>六、政府采购预算情况</w:t>
        <w:tab/>
      </w:r>
      <w:r>
        <w:rPr>
          <w:rFonts w:hint="eastAsia"/>
          <w:lang w:val="en-US" w:eastAsia="zh-CN"/>
        </w:rPr>
        <w:t>3</w:t>
      </w:r>
      <w:r>
        <w:fldChar w:fldCharType="end"/>
      </w:r>
      <w:r>
        <w:rPr>
          <w:rFonts w:hint="eastAsia"/>
          <w:lang w:val="en-US" w:eastAsia="zh-CN"/>
        </w:rPr>
        <w:t>7</w:t>
      </w:r>
    </w:p>
    <w:p>
      <w:pPr>
        <w:pStyle w:val="19"/>
        <w:tabs>
          <w:tab w:val="right" w:leader="dot" w:pos="14562"/>
        </w:tabs>
        <w:rPr>
          <w:rFonts w:eastAsia="方正仿宋_GBK" w:hint="eastAsia"/>
          <w:lang w:val="en-US" w:eastAsia="zh-CN"/>
        </w:rPr>
      </w:pPr>
      <w:r>
        <w:fldChar w:fldCharType="begin"/>
      </w:r>
      <w:r>
        <w:instrText xml:space="preserve"> HYPERLINK \l "_Toc_3_3_0000000016" </w:instrText>
      </w:r>
      <w:r>
        <w:fldChar w:fldCharType="separate"/>
      </w:r>
      <w:r>
        <w:t>七、国有资产信息</w:t>
        <w:tab/>
      </w:r>
      <w:r>
        <w:rPr>
          <w:rFonts w:hint="eastAsia"/>
          <w:lang w:val="en-US" w:eastAsia="zh-CN"/>
        </w:rPr>
        <w:t>3</w:t>
      </w:r>
      <w:r>
        <w:fldChar w:fldCharType="end"/>
      </w:r>
      <w:r>
        <w:rPr>
          <w:rFonts w:hint="eastAsia"/>
          <w:lang w:val="en-US" w:eastAsia="zh-CN"/>
        </w:rPr>
        <w:t>7</w:t>
      </w:r>
    </w:p>
    <w:p>
      <w:pPr>
        <w:pStyle w:val="19"/>
        <w:tabs>
          <w:tab w:val="right" w:leader="dot" w:pos="14562"/>
        </w:tabs>
        <w:rPr>
          <w:rFonts w:eastAsia="方正仿宋_GBK" w:hint="eastAsia"/>
          <w:lang w:val="en-US" w:eastAsia="zh-CN"/>
        </w:rPr>
      </w:pPr>
      <w:r>
        <w:fldChar w:fldCharType="begin"/>
      </w:r>
      <w:r>
        <w:instrText xml:space="preserve"> HYPERLINK \l "_Toc_3_3_0000000017" </w:instrText>
      </w:r>
      <w:r>
        <w:fldChar w:fldCharType="separate"/>
      </w:r>
      <w:r>
        <w:t>八、名词解释</w:t>
        <w:tab/>
      </w:r>
      <w:r>
        <w:rPr>
          <w:rFonts w:hint="eastAsia"/>
          <w:lang w:val="en-US" w:eastAsia="zh-CN"/>
        </w:rPr>
        <w:t>3</w:t>
      </w:r>
      <w:r>
        <w:fldChar w:fldCharType="end"/>
      </w:r>
      <w:r>
        <w:rPr>
          <w:rFonts w:hint="eastAsia"/>
          <w:lang w:val="en-US" w:eastAsia="zh-CN"/>
        </w:rPr>
        <w:t>7</w:t>
      </w:r>
    </w:p>
    <w:p>
      <w:pPr>
        <w:pStyle w:val="19"/>
        <w:tabs>
          <w:tab w:val="right" w:leader="dot" w:pos="14562"/>
        </w:tabs>
        <w:rPr>
          <w:rFonts w:eastAsia="方正仿宋_GBK" w:hint="eastAsia"/>
          <w:lang w:val="en-US" w:eastAsia="zh-CN"/>
        </w:rPr>
      </w:pPr>
      <w:r>
        <w:fldChar w:fldCharType="begin"/>
      </w:r>
      <w:r>
        <w:instrText xml:space="preserve"> HYPERLINK \l "_Toc_3_3_0000000018" </w:instrText>
      </w:r>
      <w:r>
        <w:fldChar w:fldCharType="separate"/>
      </w:r>
      <w:r>
        <w:t>九、其他需要说明的事项</w:t>
        <w:tab/>
      </w:r>
      <w:r>
        <w:rPr>
          <w:rFonts w:hint="eastAsia"/>
          <w:lang w:val="en-US" w:eastAsia="zh-CN"/>
        </w:rPr>
        <w:t>3</w:t>
      </w:r>
      <w:r>
        <w:fldChar w:fldCharType="end"/>
      </w:r>
      <w:r>
        <w:rPr>
          <w:rFonts w:hint="eastAsia"/>
          <w:lang w:val="en-US" w:eastAsia="zh-CN"/>
        </w:rPr>
        <w:t>8</w:t>
      </w:r>
    </w:p>
    <w:p>
      <w:r>
        <w:fldChar w:fldCharType="end"/>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rPr>
          <w:rFonts w:ascii="方正小标宋_GBK" w:eastAsia="方正小标宋_GBK" w:cs="方正小标宋_GBK"/>
          <w:color w:val="000000"/>
          <w:sz w:val="72"/>
        </w:rPr>
      </w:pPr>
    </w:p>
    <w:p>
      <w:pPr>
        <w:spacing w:before="0" w:after="0" w:line="240" w:lineRule="auto"/>
        <w:ind w:firstLine="0"/>
        <w:jc w:val="center"/>
        <w:outlineLvl w:val="0"/>
        <w:rPr>
          <w:color w:val="000000"/>
          <w:sz w:val="72"/>
        </w:r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4"/>
        <w:rPr>
          <w:rFonts w:ascii="方正小标宋_GBK" w:eastAsia="方正小标宋_GBK" w:cs="方正小标宋_GBK"/>
          <w:color w:val="000000"/>
          <w:sz w:val="36"/>
        </w:rPr>
      </w:pPr>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959"/>
        <w:gridCol w:w="2959"/>
        <w:gridCol w:w="2951"/>
        <w:gridCol w:w="2967"/>
        <w:gridCol w:w="2959"/>
      </w:tblGrid>
      <w:tr>
        <w:trPr>
          <w:trHeight w:val="369"/>
          <w:tblHeader/>
        </w:trPr>
        <w:tc>
          <w:tcPr>
            <w:tcW w:w="5918" w:type="dxa"/>
            <w:gridSpan w:val="2"/>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951" w:type="dxa"/>
            <w:tcBorders>
              <w:top w:val="single" w:sz="6" w:space="0" w:color="FFFFFF"/>
              <w:left w:val="single" w:sz="6" w:space="0" w:color="FFFFFF"/>
              <w:right w:val="single" w:sz="6" w:space="0" w:color="FFFFFF"/>
            </w:tcBorders>
            <w:vAlign w:val="center"/>
          </w:tcPr>
          <w:p>
            <w:pPr>
              <w:pStyle w:val="23"/>
            </w:pPr>
            <w:r>
              <w:t>预算年度：2021</w:t>
            </w:r>
          </w:p>
        </w:tc>
        <w:tc>
          <w:tcPr>
            <w:tcW w:w="5926"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2959" w:type="dxa"/>
            <w:vMerge w:val="restart"/>
            <w:tcBorders>
              <w:top w:val="single" w:sz="6" w:space="0" w:color="000000"/>
              <w:left w:val="single" w:sz="6" w:space="0" w:color="000000"/>
              <w:right w:val="single" w:sz="6" w:space="0" w:color="000000"/>
            </w:tcBorders>
            <w:vAlign w:val="center"/>
          </w:tcPr>
          <w:p>
            <w:pPr>
              <w:pStyle w:val="25"/>
            </w:pPr>
            <w:r>
              <w:t>序号</w:t>
            </w:r>
          </w:p>
        </w:tc>
        <w:tc>
          <w:tcPr>
            <w:tcW w:w="5910" w:type="dxa"/>
            <w:gridSpan w:val="2"/>
            <w:tcBorders>
              <w:top w:val="single" w:sz="6" w:space="0" w:color="000000"/>
              <w:left w:val="single" w:sz="6" w:space="0" w:color="000000"/>
              <w:right w:val="single" w:sz="6" w:space="0" w:color="000000"/>
            </w:tcBorders>
            <w:vAlign w:val="center"/>
          </w:tcPr>
          <w:p>
            <w:pPr>
              <w:pStyle w:val="25"/>
            </w:pPr>
            <w:r>
              <w:t>收入</w:t>
            </w:r>
          </w:p>
        </w:tc>
        <w:tc>
          <w:tcPr>
            <w:tcW w:w="5926" w:type="dxa"/>
            <w:gridSpan w:val="2"/>
            <w:tcBorders>
              <w:top w:val="single" w:sz="6" w:space="0" w:color="000000"/>
              <w:left w:val="single" w:sz="6" w:space="0" w:color="000000"/>
              <w:right w:val="single" w:sz="6" w:space="0" w:color="000000"/>
            </w:tcBorders>
            <w:vAlign w:val="center"/>
          </w:tcPr>
          <w:p>
            <w:pPr>
              <w:pStyle w:val="25"/>
            </w:pPr>
            <w:r>
              <w:t>支出</w:t>
            </w:r>
          </w:p>
        </w:tc>
      </w:tr>
      <w:tr>
        <w:trPr>
          <w:trHeight w:val="369"/>
          <w:tblHeader/>
        </w:trPr>
        <w:tc>
          <w:tcPr>
            <w:tcW w:w="2959" w:type="dxa"/>
            <w:vMerge/>
            <w:tcBorders>
              <w:top w:val="single" w:sz="6" w:space="0" w:color="000000"/>
              <w:left w:val="single" w:sz="6" w:space="0" w:color="000000"/>
              <w:right w:val="single" w:sz="6" w:space="0" w:color="000000"/>
            </w:tcBorders>
          </w:tcPr>
          <w:p/>
        </w:tc>
        <w:tc>
          <w:tcPr>
            <w:tcW w:w="2959" w:type="dxa"/>
            <w:tcBorders>
              <w:top w:val="single" w:sz="6" w:space="0" w:color="000000"/>
              <w:left w:val="single" w:sz="6" w:space="0" w:color="000000"/>
              <w:right w:val="single" w:sz="6" w:space="0" w:color="000000"/>
            </w:tcBorders>
            <w:vAlign w:val="center"/>
          </w:tcPr>
          <w:p>
            <w:pPr>
              <w:pStyle w:val="25"/>
            </w:pPr>
            <w:r>
              <w:t>项  目</w:t>
            </w:r>
          </w:p>
        </w:tc>
        <w:tc>
          <w:tcPr>
            <w:tcW w:w="2951" w:type="dxa"/>
            <w:tcBorders>
              <w:top w:val="single" w:sz="6" w:space="0" w:color="000000"/>
              <w:left w:val="single" w:sz="6" w:space="0" w:color="000000"/>
              <w:right w:val="single" w:sz="6" w:space="0" w:color="000000"/>
            </w:tcBorders>
            <w:vAlign w:val="center"/>
          </w:tcPr>
          <w:p>
            <w:pPr>
              <w:pStyle w:val="25"/>
            </w:pPr>
            <w:r>
              <w:t>预算数</w:t>
            </w:r>
          </w:p>
        </w:tc>
        <w:tc>
          <w:tcPr>
            <w:tcW w:w="2967" w:type="dxa"/>
            <w:tcBorders>
              <w:top w:val="single" w:sz="6" w:space="0" w:color="000000"/>
              <w:left w:val="single" w:sz="6" w:space="0" w:color="000000"/>
              <w:right w:val="single" w:sz="6" w:space="0" w:color="000000"/>
            </w:tcBorders>
            <w:vAlign w:val="center"/>
          </w:tcPr>
          <w:p>
            <w:pPr>
              <w:pStyle w:val="25"/>
            </w:pPr>
            <w:r>
              <w:t>项  目</w:t>
            </w:r>
          </w:p>
        </w:tc>
        <w:tc>
          <w:tcPr>
            <w:tcW w:w="2959" w:type="dxa"/>
            <w:tcBorders>
              <w:top w:val="single" w:sz="6" w:space="0" w:color="000000"/>
              <w:left w:val="single" w:sz="6" w:space="0" w:color="000000"/>
              <w:right w:val="single" w:sz="6" w:space="0" w:color="000000"/>
            </w:tcBorders>
            <w:vAlign w:val="center"/>
          </w:tcPr>
          <w:p>
            <w:pPr>
              <w:pStyle w:val="25"/>
            </w:pPr>
            <w:r>
              <w:t>预算数</w:t>
            </w:r>
          </w:p>
        </w:tc>
      </w:tr>
      <w:tr>
        <w:trPr>
          <w:trHeight w:val="369"/>
          <w:tblHeader/>
        </w:trPr>
        <w:tc>
          <w:tcPr>
            <w:tcW w:w="2959" w:type="dxa"/>
            <w:tcBorders>
              <w:top w:val="single" w:sz="6" w:space="0" w:color="000000"/>
              <w:left w:val="single" w:sz="6" w:space="0" w:color="000000"/>
              <w:right w:val="single" w:sz="6" w:space="0" w:color="000000"/>
            </w:tcBorders>
            <w:vAlign w:val="center"/>
          </w:tcPr>
          <w:p>
            <w:pPr>
              <w:pStyle w:val="25"/>
            </w:pPr>
            <w:r>
              <w:t>栏次</w:t>
            </w:r>
          </w:p>
        </w:tc>
        <w:tc>
          <w:tcPr>
            <w:tcW w:w="2959" w:type="dxa"/>
            <w:tcBorders>
              <w:top w:val="single" w:sz="6" w:space="0" w:color="000000"/>
              <w:left w:val="single" w:sz="6" w:space="0" w:color="000000"/>
              <w:right w:val="single" w:sz="6" w:space="0" w:color="000000"/>
            </w:tcBorders>
            <w:vAlign w:val="center"/>
          </w:tcPr>
          <w:p>
            <w:pPr>
              <w:pStyle w:val="25"/>
            </w:pPr>
            <w:r>
              <w:t>1</w:t>
            </w:r>
          </w:p>
        </w:tc>
        <w:tc>
          <w:tcPr>
            <w:tcW w:w="2951" w:type="dxa"/>
            <w:tcBorders>
              <w:top w:val="single" w:sz="6" w:space="0" w:color="000000"/>
              <w:left w:val="single" w:sz="6" w:space="0" w:color="000000"/>
              <w:right w:val="single" w:sz="6" w:space="0" w:color="000000"/>
            </w:tcBorders>
            <w:vAlign w:val="center"/>
          </w:tcPr>
          <w:p>
            <w:pPr>
              <w:pStyle w:val="25"/>
            </w:pPr>
            <w:r>
              <w:t>2</w:t>
            </w:r>
          </w:p>
        </w:tc>
        <w:tc>
          <w:tcPr>
            <w:tcW w:w="2967" w:type="dxa"/>
            <w:tcBorders>
              <w:top w:val="single" w:sz="6" w:space="0" w:color="000000"/>
              <w:left w:val="single" w:sz="6" w:space="0" w:color="000000"/>
              <w:right w:val="single" w:sz="6" w:space="0" w:color="000000"/>
            </w:tcBorders>
            <w:vAlign w:val="center"/>
          </w:tcPr>
          <w:p>
            <w:pPr>
              <w:pStyle w:val="25"/>
            </w:pPr>
            <w:r>
              <w:t>3</w:t>
            </w:r>
          </w:p>
        </w:tc>
        <w:tc>
          <w:tcPr>
            <w:tcW w:w="2959" w:type="dxa"/>
            <w:tcBorders>
              <w:top w:val="single" w:sz="6" w:space="0" w:color="000000"/>
              <w:left w:val="single" w:sz="6" w:space="0" w:color="000000"/>
              <w:right w:val="single" w:sz="6" w:space="0" w:color="000000"/>
            </w:tcBorders>
            <w:vAlign w:val="center"/>
          </w:tcPr>
          <w:p>
            <w:pPr>
              <w:pStyle w:val="25"/>
            </w:pPr>
            <w:r>
              <w:t>4</w:t>
            </w: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一、一般公共预算拨款收入</w:t>
            </w:r>
          </w:p>
        </w:tc>
        <w:tc>
          <w:tcPr>
            <w:tcW w:w="29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一、一般公共服务支出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二、政府性基金预算拨款收入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二、外交支出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3</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三、国有资本经营预算拨款收入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三、国防支出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4</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四、财政专户管理资金收入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四、公共安全支出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5</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五、事业收入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五、教育支出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6</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六、事业单位经营收入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六、科学技术支出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7</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七、上级补助收入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七、文化旅游体育与传媒支出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8</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八、附属单位上缴收入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八、社会保障和就业支出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9</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九、其他收入</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九、社会保险基金支出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10</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十、卫生健康支出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11</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十一、节能环保支出</w:t>
            </w:r>
          </w:p>
        </w:tc>
        <w:tc>
          <w:tcPr>
            <w:tcW w:w="2959"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12</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十二、城乡社区支出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13</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十三、农林水支出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14</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十四、交通运输支出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15</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十五、资源勘探工业信息等支出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16</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十六、商业服务业等支出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17</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十七、金融支出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18</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十八、援助其他地区支出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19</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十九、自然资源海洋气象等支出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20</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二十、住房保障支出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21</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二十一、粮油物资储备支出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22</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二十二、国有资本经营预算支出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23</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二十三、灾害防治及应急管理支出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24</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二十四、预备费</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25</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二十五、其他支出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26</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二十六、转移性支出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27</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二十七、债务还本支出</w:t>
            </w:r>
          </w:p>
        </w:tc>
        <w:tc>
          <w:tcPr>
            <w:tcW w:w="2959" w:type="dxa"/>
            <w:tcBorders>
              <w:top w:val="single" w:sz="6" w:space="0" w:color="000000"/>
              <w:left w:val="single" w:sz="6" w:space="0" w:color="000000"/>
              <w:right w:val="single" w:sz="6" w:space="0" w:color="000000"/>
            </w:tcBorders>
            <w:vAlign w:val="center"/>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28</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二十八、债务付息支出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29</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二十九、债务发行费用支出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30</w:t>
            </w:r>
          </w:p>
        </w:tc>
        <w:tc>
          <w:tcPr>
            <w:tcW w:w="2959" w:type="dxa"/>
            <w:tcBorders>
              <w:top w:val="single" w:sz="6" w:space="0" w:color="000000"/>
              <w:left w:val="single" w:sz="6" w:space="0" w:color="000000"/>
              <w:right w:val="single" w:sz="6" w:space="0" w:color="000000"/>
            </w:tcBorders>
          </w:tcPr>
          <w:p>
            <w:pPr>
              <w:pStyle w:val="27"/>
            </w:pP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三十、抗疫特别国债安排的支出</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31</w:t>
            </w:r>
          </w:p>
        </w:tc>
        <w:tc>
          <w:tcPr>
            <w:tcW w:w="2959"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本年收入合计</w:t>
            </w:r>
          </w:p>
        </w:tc>
        <w:tc>
          <w:tcPr>
            <w:tcW w:w="29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2967"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本年支出合计</w:t>
            </w:r>
          </w:p>
        </w:tc>
        <w:tc>
          <w:tcPr>
            <w:tcW w:w="2959"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32</w:t>
            </w:r>
          </w:p>
        </w:tc>
        <w:tc>
          <w:tcPr>
            <w:tcW w:w="29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上年结转结余</w:t>
            </w:r>
          </w:p>
        </w:tc>
        <w:tc>
          <w:tcPr>
            <w:tcW w:w="2951" w:type="dxa"/>
            <w:tcBorders>
              <w:top w:val="single" w:sz="6" w:space="0" w:color="000000"/>
              <w:left w:val="single" w:sz="6" w:space="0" w:color="000000"/>
              <w:right w:val="single" w:sz="6" w:space="0" w:color="000000"/>
            </w:tcBorders>
          </w:tcPr>
          <w:p>
            <w:pPr>
              <w:pStyle w:val="26"/>
            </w:pPr>
          </w:p>
        </w:tc>
        <w:tc>
          <w:tcPr>
            <w:tcW w:w="2967"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年终结转结余</w:t>
            </w:r>
          </w:p>
        </w:tc>
        <w:tc>
          <w:tcPr>
            <w:tcW w:w="2959" w:type="dxa"/>
            <w:tcBorders>
              <w:top w:val="single" w:sz="6" w:space="0" w:color="000000"/>
              <w:left w:val="single" w:sz="6" w:space="0" w:color="000000"/>
              <w:right w:val="single" w:sz="6" w:space="0" w:color="000000"/>
            </w:tcBorders>
          </w:tcPr>
          <w:p>
            <w:pPr>
              <w:pStyle w:val="26"/>
            </w:pPr>
          </w:p>
        </w:tc>
      </w:tr>
      <w:tr>
        <w:trPr>
          <w:trHeight w:val="369"/>
        </w:trPr>
        <w:tc>
          <w:tcPr>
            <w:tcW w:w="2959" w:type="dxa"/>
            <w:tcBorders>
              <w:top w:val="single" w:sz="6" w:space="0" w:color="000000"/>
              <w:left w:val="single" w:sz="6" w:space="0" w:color="000000"/>
              <w:right w:val="single" w:sz="6" w:space="0" w:color="000000"/>
            </w:tcBorders>
            <w:vAlign w:val="center"/>
          </w:tcPr>
          <w:p>
            <w:pPr>
              <w:pStyle w:val="28"/>
            </w:pPr>
            <w:r>
              <w:t>33</w:t>
            </w:r>
          </w:p>
        </w:tc>
        <w:tc>
          <w:tcPr>
            <w:tcW w:w="2959"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收入总计</w:t>
            </w:r>
          </w:p>
        </w:tc>
        <w:tc>
          <w:tcPr>
            <w:tcW w:w="29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2967"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支出总计</w:t>
            </w:r>
          </w:p>
        </w:tc>
        <w:tc>
          <w:tcPr>
            <w:tcW w:w="2959"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r>
    </w:tbl>
    <w:p>
      <w:pPr>
        <w:sectPr>
          <w:footerReference w:type="default" r:id="rId2"/>
          <w:footerReference w:type="even" r:id="rId3"/>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3402" w:type="dxa"/>
            <w:gridSpan w:val="3"/>
            <w:tcBorders>
              <w:top w:val="single" w:sz="6" w:space="0" w:color="FFFFFF"/>
              <w:left w:val="single" w:sz="6" w:space="0" w:color="FFFFFF"/>
              <w:right w:val="single" w:sz="6" w:space="0" w:color="FFFFFF"/>
            </w:tcBorders>
            <w:vAlign w:val="center"/>
          </w:tcPr>
          <w:p>
            <w:pPr>
              <w:pStyle w:val="23"/>
            </w:pPr>
            <w:r>
              <w:t>预算年度：2021</w:t>
            </w:r>
          </w:p>
        </w:tc>
        <w:tc>
          <w:tcPr>
            <w:tcW w:w="5669" w:type="dxa"/>
            <w:gridSpan w:val="5"/>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680" w:type="dxa"/>
            <w:vMerge w:val="restart"/>
            <w:tcBorders>
              <w:top w:val="single" w:sz="6" w:space="0" w:color="000000"/>
              <w:left w:val="single" w:sz="6" w:space="0" w:color="000000"/>
              <w:right w:val="single" w:sz="6" w:space="0" w:color="000000"/>
            </w:tcBorders>
            <w:vAlign w:val="center"/>
          </w:tcPr>
          <w:p>
            <w:pPr>
              <w:pStyle w:val="25"/>
            </w:pPr>
            <w:r>
              <w:t>序号</w:t>
            </w:r>
          </w:p>
        </w:tc>
        <w:tc>
          <w:tcPr>
            <w:tcW w:w="2551" w:type="dxa"/>
            <w:gridSpan w:val="2"/>
            <w:tcBorders>
              <w:top w:val="single" w:sz="6" w:space="0" w:color="000000"/>
              <w:left w:val="single" w:sz="6" w:space="0" w:color="000000"/>
              <w:right w:val="single" w:sz="6" w:space="0" w:color="000000"/>
            </w:tcBorders>
            <w:vAlign w:val="center"/>
          </w:tcPr>
          <w:p>
            <w:pPr>
              <w:pStyle w:val="25"/>
            </w:pPr>
            <w:r>
              <w:t>功能分类科目</w:t>
            </w:r>
          </w:p>
        </w:tc>
        <w:tc>
          <w:tcPr>
            <w:tcW w:w="1134" w:type="dxa"/>
            <w:vMerge w:val="restart"/>
            <w:tcBorders>
              <w:top w:val="single" w:sz="6" w:space="0" w:color="000000"/>
              <w:left w:val="single" w:sz="6" w:space="0" w:color="000000"/>
              <w:right w:val="single" w:sz="6" w:space="0" w:color="000000"/>
            </w:tcBorders>
            <w:vAlign w:val="center"/>
          </w:tcPr>
          <w:p>
            <w:pPr>
              <w:pStyle w:val="25"/>
            </w:pPr>
            <w:r>
              <w:t>合计</w:t>
            </w:r>
          </w:p>
        </w:tc>
        <w:tc>
          <w:tcPr>
            <w:tcW w:w="9071" w:type="dxa"/>
            <w:gridSpan w:val="8"/>
            <w:tcBorders>
              <w:top w:val="single" w:sz="6" w:space="0" w:color="000000"/>
              <w:left w:val="single" w:sz="6" w:space="0" w:color="000000"/>
              <w:right w:val="single" w:sz="6" w:space="0" w:color="000000"/>
            </w:tcBorders>
            <w:vAlign w:val="center"/>
          </w:tcPr>
          <w:p>
            <w:pPr>
              <w:pStyle w:val="25"/>
            </w:pPr>
            <w:r>
              <w:t>本年收入</w:t>
            </w:r>
          </w:p>
        </w:tc>
        <w:tc>
          <w:tcPr>
            <w:tcW w:w="1134" w:type="dxa"/>
            <w:vMerge w:val="restart"/>
            <w:tcBorders>
              <w:top w:val="single" w:sz="6" w:space="0" w:color="000000"/>
              <w:left w:val="single" w:sz="6" w:space="0" w:color="000000"/>
              <w:right w:val="single" w:sz="6" w:space="0" w:color="000000"/>
            </w:tcBorders>
            <w:vAlign w:val="center"/>
          </w:tcPr>
          <w:p>
            <w:pPr>
              <w:pStyle w:val="25"/>
            </w:pPr>
            <w:r>
              <w:t>上年结转</w:t>
            </w:r>
          </w:p>
        </w:tc>
      </w:tr>
      <w:tr>
        <w:trPr>
          <w:trHeight w:val="369"/>
          <w:tblHeader/>
        </w:trPr>
        <w:tc>
          <w:tcPr>
            <w:tcW w:w="68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5"/>
            </w:pPr>
            <w:r>
              <w:t>科目    编码</w:t>
            </w:r>
          </w:p>
        </w:tc>
        <w:tc>
          <w:tcPr>
            <w:tcW w:w="1559" w:type="dxa"/>
            <w:tcBorders>
              <w:top w:val="single" w:sz="6" w:space="0" w:color="000000"/>
              <w:left w:val="single" w:sz="6" w:space="0" w:color="000000"/>
              <w:right w:val="single" w:sz="6" w:space="0" w:color="000000"/>
            </w:tcBorders>
            <w:vAlign w:val="center"/>
          </w:tcPr>
          <w:p>
            <w:pPr>
              <w:pStyle w:val="25"/>
            </w:pPr>
            <w:r>
              <w:t>科目名称</w:t>
            </w:r>
          </w:p>
        </w:tc>
        <w:tc>
          <w:tcPr>
            <w:tcW w:w="1134" w:type="dxa"/>
            <w:vMerge/>
            <w:tcBorders>
              <w:top w:val="single" w:sz="6" w:space="0" w:color="000000"/>
              <w:left w:val="single" w:sz="6" w:space="0" w:color="000000"/>
              <w:right w:val="single" w:sz="6" w:space="0" w:color="000000"/>
            </w:tcBorders>
          </w:tcPr>
          <w:p/>
        </w:tc>
        <w:tc>
          <w:tcPr>
            <w:tcW w:w="1134" w:type="dxa"/>
            <w:tcBorders>
              <w:top w:val="single" w:sz="6" w:space="0" w:color="000000"/>
              <w:left w:val="single" w:sz="6" w:space="0" w:color="000000"/>
              <w:right w:val="single" w:sz="6" w:space="0" w:color="000000"/>
            </w:tcBorders>
            <w:vAlign w:val="center"/>
          </w:tcPr>
          <w:p>
            <w:pPr>
              <w:pStyle w:val="25"/>
            </w:pPr>
            <w:r>
              <w:t>小计</w:t>
            </w:r>
          </w:p>
        </w:tc>
        <w:tc>
          <w:tcPr>
            <w:tcW w:w="1134" w:type="dxa"/>
            <w:tcBorders>
              <w:top w:val="single" w:sz="6" w:space="0" w:color="000000"/>
              <w:left w:val="single" w:sz="6" w:space="0" w:color="000000"/>
              <w:right w:val="single" w:sz="6" w:space="0" w:color="000000"/>
            </w:tcBorders>
            <w:vAlign w:val="center"/>
          </w:tcPr>
          <w:p>
            <w:pPr>
              <w:pStyle w:val="25"/>
            </w:pPr>
            <w:r>
              <w:t>财政拨款 收入</w:t>
            </w:r>
          </w:p>
        </w:tc>
        <w:tc>
          <w:tcPr>
            <w:tcW w:w="1134" w:type="dxa"/>
            <w:tcBorders>
              <w:top w:val="single" w:sz="6" w:space="0" w:color="000000"/>
              <w:left w:val="single" w:sz="6" w:space="0" w:color="000000"/>
              <w:right w:val="single" w:sz="6" w:space="0" w:color="000000"/>
            </w:tcBorders>
            <w:vAlign w:val="center"/>
          </w:tcPr>
          <w:p>
            <w:pPr>
              <w:pStyle w:val="25"/>
            </w:pPr>
            <w:r>
              <w:t>财政专户 收入</w:t>
            </w:r>
          </w:p>
        </w:tc>
        <w:tc>
          <w:tcPr>
            <w:tcW w:w="1134" w:type="dxa"/>
            <w:tcBorders>
              <w:top w:val="single" w:sz="6" w:space="0" w:color="000000"/>
              <w:left w:val="single" w:sz="6" w:space="0" w:color="000000"/>
              <w:right w:val="single" w:sz="6" w:space="0" w:color="000000"/>
            </w:tcBorders>
            <w:vAlign w:val="center"/>
          </w:tcPr>
          <w:p>
            <w:pPr>
              <w:pStyle w:val="25"/>
            </w:pPr>
            <w:r>
              <w:t>事业收入</w:t>
            </w:r>
          </w:p>
        </w:tc>
        <w:tc>
          <w:tcPr>
            <w:tcW w:w="1134" w:type="dxa"/>
            <w:tcBorders>
              <w:top w:val="single" w:sz="6" w:space="0" w:color="000000"/>
              <w:left w:val="single" w:sz="6" w:space="0" w:color="000000"/>
              <w:right w:val="single" w:sz="6" w:space="0" w:color="000000"/>
            </w:tcBorders>
            <w:vAlign w:val="center"/>
          </w:tcPr>
          <w:p>
            <w:pPr>
              <w:pStyle w:val="25"/>
            </w:pPr>
            <w:r>
              <w:t>经营收入</w:t>
            </w:r>
          </w:p>
        </w:tc>
        <w:tc>
          <w:tcPr>
            <w:tcW w:w="1134" w:type="dxa"/>
            <w:tcBorders>
              <w:top w:val="single" w:sz="6" w:space="0" w:color="000000"/>
              <w:left w:val="single" w:sz="6" w:space="0" w:color="000000"/>
              <w:right w:val="single" w:sz="6" w:space="0" w:color="000000"/>
            </w:tcBorders>
            <w:vAlign w:val="center"/>
          </w:tcPr>
          <w:p>
            <w:pPr>
              <w:pStyle w:val="25"/>
            </w:pPr>
            <w:r>
              <w:t>上级补助收入</w:t>
            </w:r>
          </w:p>
        </w:tc>
        <w:tc>
          <w:tcPr>
            <w:tcW w:w="1134" w:type="dxa"/>
            <w:tcBorders>
              <w:top w:val="single" w:sz="6" w:space="0" w:color="000000"/>
              <w:left w:val="single" w:sz="6" w:space="0" w:color="000000"/>
              <w:right w:val="single" w:sz="6" w:space="0" w:color="000000"/>
            </w:tcBorders>
            <w:vAlign w:val="center"/>
          </w:tcPr>
          <w:p>
            <w:pPr>
              <w:pStyle w:val="25"/>
            </w:pPr>
            <w:r>
              <w:t>附属单位上缴收入</w:t>
            </w:r>
          </w:p>
        </w:tc>
        <w:tc>
          <w:tcPr>
            <w:tcW w:w="1134" w:type="dxa"/>
            <w:tcBorders>
              <w:top w:val="single" w:sz="6" w:space="0" w:color="000000"/>
              <w:left w:val="single" w:sz="6" w:space="0" w:color="000000"/>
              <w:right w:val="single" w:sz="6" w:space="0" w:color="000000"/>
            </w:tcBorders>
            <w:vAlign w:val="center"/>
          </w:tcPr>
          <w:p>
            <w:pPr>
              <w:pStyle w:val="25"/>
            </w:pPr>
            <w:r>
              <w:t>其他收入</w:t>
            </w:r>
          </w:p>
        </w:tc>
        <w:tc>
          <w:tcPr>
            <w:tcW w:w="1134" w:type="dxa"/>
            <w:vMerge/>
            <w:tcBorders>
              <w:top w:val="single" w:sz="6" w:space="0" w:color="000000"/>
              <w:left w:val="single" w:sz="6" w:space="0" w:color="000000"/>
              <w:right w:val="single" w:sz="6" w:space="0" w:color="000000"/>
            </w:tcBorders>
          </w:tcPr>
          <w:p/>
        </w:tc>
      </w:tr>
      <w:tr>
        <w:trPr>
          <w:trHeight w:val="369"/>
          <w:tblHeader/>
        </w:trPr>
        <w:tc>
          <w:tcPr>
            <w:tcW w:w="680" w:type="dxa"/>
            <w:tcBorders>
              <w:top w:val="single" w:sz="6" w:space="0" w:color="000000"/>
              <w:left w:val="single" w:sz="6" w:space="0" w:color="000000"/>
              <w:right w:val="single" w:sz="6" w:space="0" w:color="000000"/>
            </w:tcBorders>
            <w:vAlign w:val="center"/>
          </w:tcPr>
          <w:p>
            <w:pPr>
              <w:pStyle w:val="25"/>
            </w:pPr>
            <w:r>
              <w:t>栏次</w:t>
            </w:r>
          </w:p>
        </w:tc>
        <w:tc>
          <w:tcPr>
            <w:tcW w:w="992" w:type="dxa"/>
            <w:tcBorders>
              <w:top w:val="single" w:sz="6" w:space="0" w:color="000000"/>
              <w:left w:val="single" w:sz="6" w:space="0" w:color="000000"/>
              <w:right w:val="single" w:sz="6" w:space="0" w:color="000000"/>
            </w:tcBorders>
            <w:vAlign w:val="center"/>
          </w:tcPr>
          <w:p>
            <w:pPr>
              <w:pStyle w:val="25"/>
            </w:pPr>
            <w:r>
              <w:t>1</w:t>
            </w:r>
          </w:p>
        </w:tc>
        <w:tc>
          <w:tcPr>
            <w:tcW w:w="1559" w:type="dxa"/>
            <w:tcBorders>
              <w:top w:val="single" w:sz="6" w:space="0" w:color="000000"/>
              <w:left w:val="single" w:sz="6" w:space="0" w:color="000000"/>
              <w:right w:val="single" w:sz="6" w:space="0" w:color="000000"/>
            </w:tcBorders>
            <w:vAlign w:val="center"/>
          </w:tcPr>
          <w:p>
            <w:pPr>
              <w:pStyle w:val="25"/>
            </w:pPr>
            <w:r>
              <w:t>2</w:t>
            </w:r>
          </w:p>
        </w:tc>
        <w:tc>
          <w:tcPr>
            <w:tcW w:w="1134" w:type="dxa"/>
            <w:tcBorders>
              <w:top w:val="single" w:sz="6" w:space="0" w:color="000000"/>
              <w:left w:val="single" w:sz="6" w:space="0" w:color="000000"/>
              <w:right w:val="single" w:sz="6" w:space="0" w:color="000000"/>
            </w:tcBorders>
            <w:vAlign w:val="center"/>
          </w:tcPr>
          <w:p>
            <w:pPr>
              <w:pStyle w:val="25"/>
            </w:pPr>
            <w:r>
              <w:t>3</w:t>
            </w:r>
          </w:p>
        </w:tc>
        <w:tc>
          <w:tcPr>
            <w:tcW w:w="1134" w:type="dxa"/>
            <w:tcBorders>
              <w:top w:val="single" w:sz="6" w:space="0" w:color="000000"/>
              <w:left w:val="single" w:sz="6" w:space="0" w:color="000000"/>
              <w:right w:val="single" w:sz="6" w:space="0" w:color="000000"/>
            </w:tcBorders>
            <w:vAlign w:val="center"/>
          </w:tcPr>
          <w:p>
            <w:pPr>
              <w:pStyle w:val="25"/>
            </w:pPr>
            <w:r>
              <w:t>4</w:t>
            </w:r>
          </w:p>
        </w:tc>
        <w:tc>
          <w:tcPr>
            <w:tcW w:w="1134" w:type="dxa"/>
            <w:tcBorders>
              <w:top w:val="single" w:sz="6" w:space="0" w:color="000000"/>
              <w:left w:val="single" w:sz="6" w:space="0" w:color="000000"/>
              <w:right w:val="single" w:sz="6" w:space="0" w:color="000000"/>
            </w:tcBorders>
            <w:vAlign w:val="center"/>
          </w:tcPr>
          <w:p>
            <w:pPr>
              <w:pStyle w:val="25"/>
            </w:pPr>
            <w:r>
              <w:t>5</w:t>
            </w:r>
          </w:p>
        </w:tc>
        <w:tc>
          <w:tcPr>
            <w:tcW w:w="1134" w:type="dxa"/>
            <w:tcBorders>
              <w:top w:val="single" w:sz="6" w:space="0" w:color="000000"/>
              <w:left w:val="single" w:sz="6" w:space="0" w:color="000000"/>
              <w:right w:val="single" w:sz="6" w:space="0" w:color="000000"/>
            </w:tcBorders>
            <w:vAlign w:val="center"/>
          </w:tcPr>
          <w:p>
            <w:pPr>
              <w:pStyle w:val="25"/>
            </w:pPr>
            <w:r>
              <w:t>6</w:t>
            </w:r>
          </w:p>
        </w:tc>
        <w:tc>
          <w:tcPr>
            <w:tcW w:w="1134" w:type="dxa"/>
            <w:tcBorders>
              <w:top w:val="single" w:sz="6" w:space="0" w:color="000000"/>
              <w:left w:val="single" w:sz="6" w:space="0" w:color="000000"/>
              <w:right w:val="single" w:sz="6" w:space="0" w:color="000000"/>
            </w:tcBorders>
            <w:vAlign w:val="center"/>
          </w:tcPr>
          <w:p>
            <w:pPr>
              <w:pStyle w:val="25"/>
            </w:pPr>
            <w:r>
              <w:t>7</w:t>
            </w:r>
          </w:p>
        </w:tc>
        <w:tc>
          <w:tcPr>
            <w:tcW w:w="1134" w:type="dxa"/>
            <w:tcBorders>
              <w:top w:val="single" w:sz="6" w:space="0" w:color="000000"/>
              <w:left w:val="single" w:sz="6" w:space="0" w:color="000000"/>
              <w:right w:val="single" w:sz="6" w:space="0" w:color="000000"/>
            </w:tcBorders>
            <w:vAlign w:val="center"/>
          </w:tcPr>
          <w:p>
            <w:pPr>
              <w:pStyle w:val="25"/>
            </w:pPr>
            <w:r>
              <w:t>8</w:t>
            </w:r>
          </w:p>
        </w:tc>
        <w:tc>
          <w:tcPr>
            <w:tcW w:w="1134" w:type="dxa"/>
            <w:tcBorders>
              <w:top w:val="single" w:sz="6" w:space="0" w:color="000000"/>
              <w:left w:val="single" w:sz="6" w:space="0" w:color="000000"/>
              <w:right w:val="single" w:sz="6" w:space="0" w:color="000000"/>
            </w:tcBorders>
            <w:vAlign w:val="center"/>
          </w:tcPr>
          <w:p>
            <w:pPr>
              <w:pStyle w:val="25"/>
            </w:pPr>
            <w:r>
              <w:t>9</w:t>
            </w:r>
          </w:p>
        </w:tc>
        <w:tc>
          <w:tcPr>
            <w:tcW w:w="1134" w:type="dxa"/>
            <w:tcBorders>
              <w:top w:val="single" w:sz="6" w:space="0" w:color="000000"/>
              <w:left w:val="single" w:sz="6" w:space="0" w:color="000000"/>
              <w:right w:val="single" w:sz="6" w:space="0" w:color="000000"/>
            </w:tcBorders>
            <w:vAlign w:val="center"/>
          </w:tcPr>
          <w:p>
            <w:pPr>
              <w:pStyle w:val="25"/>
            </w:pPr>
            <w:r>
              <w:t>10</w:t>
            </w:r>
          </w:p>
        </w:tc>
        <w:tc>
          <w:tcPr>
            <w:tcW w:w="1134" w:type="dxa"/>
            <w:tcBorders>
              <w:top w:val="single" w:sz="6" w:space="0" w:color="000000"/>
              <w:left w:val="single" w:sz="6" w:space="0" w:color="000000"/>
              <w:right w:val="single" w:sz="6" w:space="0" w:color="000000"/>
            </w:tcBorders>
            <w:vAlign w:val="center"/>
          </w:tcPr>
          <w:p>
            <w:pPr>
              <w:pStyle w:val="25"/>
            </w:pPr>
            <w:r>
              <w:t>11</w:t>
            </w:r>
          </w:p>
        </w:tc>
        <w:tc>
          <w:tcPr>
            <w:tcW w:w="1134" w:type="dxa"/>
            <w:tcBorders>
              <w:top w:val="single" w:sz="6" w:space="0" w:color="000000"/>
              <w:left w:val="single" w:sz="6" w:space="0" w:color="000000"/>
              <w:right w:val="single" w:sz="6" w:space="0" w:color="000000"/>
            </w:tcBorders>
            <w:vAlign w:val="center"/>
          </w:tcPr>
          <w:p>
            <w:pPr>
              <w:pStyle w:val="25"/>
            </w:pPr>
            <w:r>
              <w:t>12</w:t>
            </w: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6</w:t>
            </w:r>
          </w:p>
        </w:tc>
        <w:tc>
          <w:tcPr>
            <w:tcW w:w="992" w:type="dxa"/>
            <w:tcBorders>
              <w:top w:val="single" w:sz="6" w:space="0" w:color="000000"/>
              <w:left w:val="single" w:sz="6" w:space="0" w:color="000000"/>
              <w:right w:val="single" w:sz="6" w:space="0" w:color="000000"/>
            </w:tcBorders>
          </w:tcPr>
          <w:p>
            <w:pPr>
              <w:pStyle w:val="31"/>
            </w:pPr>
          </w:p>
        </w:tc>
        <w:tc>
          <w:tcPr>
            <w:tcW w:w="1559"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合计</w:t>
            </w:r>
          </w:p>
        </w:tc>
        <w:tc>
          <w:tcPr>
            <w:tcW w:w="1134"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vAlign w:val="center"/>
          </w:tcPr>
          <w:p>
            <w:pPr>
              <w:pStyle w:val="30"/>
            </w:pPr>
          </w:p>
        </w:tc>
        <w:tc>
          <w:tcPr>
            <w:tcW w:w="1134" w:type="dxa"/>
            <w:tcBorders>
              <w:top w:val="single" w:sz="6" w:space="0" w:color="000000"/>
              <w:left w:val="single" w:sz="6" w:space="0" w:color="000000"/>
              <w:right w:val="single" w:sz="6" w:space="0" w:color="000000"/>
            </w:tcBorders>
          </w:tcPr>
          <w:p>
            <w:pPr>
              <w:pStyle w:val="30"/>
            </w:pPr>
          </w:p>
        </w:tc>
        <w:tc>
          <w:tcPr>
            <w:tcW w:w="1134" w:type="dxa"/>
            <w:tcBorders>
              <w:top w:val="single" w:sz="6" w:space="0" w:color="000000"/>
              <w:left w:val="single" w:sz="6" w:space="0" w:color="000000"/>
              <w:right w:val="single" w:sz="6" w:space="0" w:color="000000"/>
            </w:tcBorders>
          </w:tcPr>
          <w:p>
            <w:pPr>
              <w:pStyle w:val="30"/>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7</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节能环保支出</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8</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环境保护管理事务</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148.22</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148.22</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148.22</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9</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2110101</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行政运行</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10</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2110199</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其他环境保护管理事务支出</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11</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环境监测与监察</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12</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2110299</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其他环境监测与监察支出</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13</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污染防治</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pPr>
            <w:r>
              <w:rPr>
                <w:rFonts w:ascii="宋体" w:eastAsia="宋体"/>
                <w:color w:val="auto"/>
                <w:sz w:val="18"/>
              </w:rPr>
              <w:t>14</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2110301</w:t>
            </w:r>
          </w:p>
        </w:tc>
        <w:tc>
          <w:tcPr>
            <w:tcW w:w="1559"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大气</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1134"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rPr>
                <w:rFonts w:ascii="宋体" w:eastAsia="宋体"/>
                <w:color w:val="auto"/>
                <w:sz w:val="18"/>
              </w:rPr>
            </w:pPr>
            <w:r>
              <w:rPr>
                <w:rFonts w:ascii="宋体" w:eastAsia="宋体"/>
                <w:color w:val="auto"/>
                <w:sz w:val="18"/>
              </w:rPr>
              <w:t>15</w:t>
            </w:r>
          </w:p>
        </w:tc>
        <w:tc>
          <w:tcPr>
            <w:tcW w:w="992"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2110302</w:t>
            </w:r>
          </w:p>
        </w:tc>
        <w:tc>
          <w:tcPr>
            <w:tcW w:w="1559"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水体</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42.39</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42.39</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42.39</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r>
        <w:trPr>
          <w:trHeight w:val="369"/>
        </w:trPr>
        <w:tc>
          <w:tcPr>
            <w:tcW w:w="680" w:type="dxa"/>
            <w:tcBorders>
              <w:top w:val="single" w:sz="6" w:space="0" w:color="000000"/>
              <w:left w:val="single" w:sz="6" w:space="0" w:color="000000"/>
              <w:right w:val="single" w:sz="6" w:space="0" w:color="000000"/>
            </w:tcBorders>
            <w:vAlign w:val="center"/>
          </w:tcPr>
          <w:p>
            <w:pPr>
              <w:pStyle w:val="28"/>
              <w:rPr>
                <w:rFonts w:ascii="宋体" w:eastAsia="宋体"/>
                <w:color w:val="auto"/>
                <w:sz w:val="18"/>
              </w:rPr>
            </w:pPr>
            <w:r>
              <w:rPr>
                <w:rFonts w:ascii="宋体" w:eastAsia="宋体"/>
                <w:color w:val="auto"/>
                <w:sz w:val="18"/>
              </w:rPr>
              <w:t>16</w:t>
            </w:r>
          </w:p>
        </w:tc>
        <w:tc>
          <w:tcPr>
            <w:tcW w:w="992"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2110304</w:t>
            </w:r>
          </w:p>
        </w:tc>
        <w:tc>
          <w:tcPr>
            <w:tcW w:w="1559"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固体废弃物与化学品</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3.65</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3.65</w:t>
            </w:r>
          </w:p>
        </w:tc>
        <w:tc>
          <w:tcPr>
            <w:tcW w:w="1134"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3.65</w:t>
            </w: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vAlign w:val="center"/>
          </w:tcPr>
          <w:p>
            <w:pPr>
              <w:pStyle w:val="26"/>
            </w:pPr>
          </w:p>
        </w:tc>
        <w:tc>
          <w:tcPr>
            <w:tcW w:w="1134" w:type="dxa"/>
            <w:tcBorders>
              <w:top w:val="single" w:sz="6" w:space="0" w:color="000000"/>
              <w:left w:val="single" w:sz="6" w:space="0" w:color="000000"/>
              <w:right w:val="single" w:sz="6" w:space="0" w:color="000000"/>
            </w:tcBorders>
          </w:tcPr>
          <w:p>
            <w:pPr>
              <w:pStyle w:val="26"/>
            </w:pPr>
          </w:p>
        </w:tc>
        <w:tc>
          <w:tcPr>
            <w:tcW w:w="1134" w:type="dxa"/>
            <w:tcBorders>
              <w:top w:val="single" w:sz="6" w:space="0" w:color="000000"/>
              <w:left w:val="single" w:sz="6" w:space="0" w:color="000000"/>
              <w:right w:val="single" w:sz="6" w:space="0" w:color="000000"/>
            </w:tcBorders>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721" w:type="dxa"/>
            <w:gridSpan w:val="2"/>
            <w:tcBorders>
              <w:top w:val="single" w:sz="6" w:space="0" w:color="FFFFFF"/>
              <w:left w:val="single" w:sz="6" w:space="0" w:color="FFFFFF"/>
              <w:right w:val="single" w:sz="6" w:space="0" w:color="FFFFFF"/>
            </w:tcBorders>
            <w:vAlign w:val="center"/>
          </w:tcPr>
          <w:p>
            <w:pPr>
              <w:pStyle w:val="23"/>
            </w:pPr>
            <w:r>
              <w:t>预算年度：2021</w:t>
            </w:r>
          </w:p>
        </w:tc>
        <w:tc>
          <w:tcPr>
            <w:tcW w:w="5443"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5528" w:type="dxa"/>
            <w:gridSpan w:val="2"/>
            <w:tcBorders>
              <w:top w:val="single" w:sz="6" w:space="0" w:color="000000"/>
              <w:left w:val="single" w:sz="6" w:space="0" w:color="000000"/>
              <w:right w:val="single" w:sz="6" w:space="0" w:color="000000"/>
            </w:tcBorders>
            <w:vAlign w:val="center"/>
          </w:tcPr>
          <w:p>
            <w:pPr>
              <w:pStyle w:val="25"/>
            </w:pPr>
            <w:r>
              <w:t>功能分类科目</w:t>
            </w:r>
          </w:p>
        </w:tc>
        <w:tc>
          <w:tcPr>
            <w:tcW w:w="1361" w:type="dxa"/>
            <w:vMerge w:val="restart"/>
            <w:tcBorders>
              <w:top w:val="single" w:sz="6" w:space="0" w:color="000000"/>
              <w:left w:val="single" w:sz="6" w:space="0" w:color="000000"/>
              <w:right w:val="single" w:sz="6" w:space="0" w:color="000000"/>
            </w:tcBorders>
            <w:vAlign w:val="center"/>
          </w:tcPr>
          <w:p>
            <w:pPr>
              <w:pStyle w:val="25"/>
            </w:pPr>
            <w:r>
              <w:t>合计</w:t>
            </w:r>
          </w:p>
        </w:tc>
        <w:tc>
          <w:tcPr>
            <w:tcW w:w="1361" w:type="dxa"/>
            <w:vMerge w:val="restart"/>
            <w:tcBorders>
              <w:top w:val="single" w:sz="6" w:space="0" w:color="000000"/>
              <w:left w:val="single" w:sz="6" w:space="0" w:color="000000"/>
              <w:right w:val="single" w:sz="6" w:space="0" w:color="000000"/>
            </w:tcBorders>
            <w:vAlign w:val="center"/>
          </w:tcPr>
          <w:p>
            <w:pPr>
              <w:pStyle w:val="25"/>
            </w:pPr>
            <w:r>
              <w:t>基本支出</w:t>
            </w:r>
          </w:p>
        </w:tc>
        <w:tc>
          <w:tcPr>
            <w:tcW w:w="1361" w:type="dxa"/>
            <w:vMerge w:val="restart"/>
            <w:tcBorders>
              <w:top w:val="single" w:sz="6" w:space="0" w:color="000000"/>
              <w:left w:val="single" w:sz="6" w:space="0" w:color="000000"/>
              <w:right w:val="single" w:sz="6" w:space="0" w:color="000000"/>
            </w:tcBorders>
            <w:vAlign w:val="center"/>
          </w:tcPr>
          <w:p>
            <w:pPr>
              <w:pStyle w:val="25"/>
            </w:pPr>
            <w:r>
              <w:t>项目支出</w:t>
            </w:r>
          </w:p>
        </w:tc>
        <w:tc>
          <w:tcPr>
            <w:tcW w:w="1361" w:type="dxa"/>
            <w:vMerge w:val="restart"/>
            <w:tcBorders>
              <w:top w:val="single" w:sz="6" w:space="0" w:color="000000"/>
              <w:left w:val="single" w:sz="6" w:space="0" w:color="000000"/>
              <w:right w:val="single" w:sz="6" w:space="0" w:color="000000"/>
            </w:tcBorders>
            <w:vAlign w:val="center"/>
          </w:tcPr>
          <w:p>
            <w:pPr>
              <w:pStyle w:val="25"/>
            </w:pPr>
            <w:r>
              <w:t>经营支出</w:t>
            </w:r>
          </w:p>
        </w:tc>
        <w:tc>
          <w:tcPr>
            <w:tcW w:w="1361" w:type="dxa"/>
            <w:vMerge w:val="restart"/>
            <w:tcBorders>
              <w:top w:val="single" w:sz="6" w:space="0" w:color="000000"/>
              <w:left w:val="single" w:sz="6" w:space="0" w:color="000000"/>
              <w:right w:val="single" w:sz="6" w:space="0" w:color="000000"/>
            </w:tcBorders>
            <w:vAlign w:val="center"/>
          </w:tcPr>
          <w:p>
            <w:pPr>
              <w:pStyle w:val="25"/>
            </w:pPr>
            <w:r>
              <w:t>上解上级     支出</w:t>
            </w:r>
          </w:p>
        </w:tc>
        <w:tc>
          <w:tcPr>
            <w:tcW w:w="1361" w:type="dxa"/>
            <w:vMerge w:val="restart"/>
            <w:tcBorders>
              <w:top w:val="single" w:sz="6" w:space="0" w:color="000000"/>
              <w:left w:val="single" w:sz="6" w:space="0" w:color="000000"/>
              <w:right w:val="single" w:sz="6" w:space="0" w:color="000000"/>
            </w:tcBorders>
            <w:vAlign w:val="center"/>
          </w:tcPr>
          <w:p>
            <w:pPr>
              <w:pStyle w:val="25"/>
            </w:pPr>
            <w:r>
              <w:t>对附属单位补助支出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992" w:type="dxa"/>
            <w:tcBorders>
              <w:top w:val="single" w:sz="6" w:space="0" w:color="000000"/>
              <w:left w:val="single" w:sz="6" w:space="0" w:color="000000"/>
              <w:right w:val="single" w:sz="6" w:space="0" w:color="000000"/>
            </w:tcBorders>
            <w:vAlign w:val="center"/>
          </w:tcPr>
          <w:p>
            <w:pPr>
              <w:pStyle w:val="25"/>
            </w:pPr>
            <w:r>
              <w:t>科目    编码</w:t>
            </w:r>
          </w:p>
        </w:tc>
        <w:tc>
          <w:tcPr>
            <w:tcW w:w="4535" w:type="dxa"/>
            <w:tcBorders>
              <w:top w:val="single" w:sz="6" w:space="0" w:color="000000"/>
              <w:left w:val="single" w:sz="6" w:space="0" w:color="000000"/>
              <w:right w:val="single" w:sz="6" w:space="0" w:color="000000"/>
            </w:tcBorders>
            <w:vAlign w:val="center"/>
          </w:tcPr>
          <w:p>
            <w:pPr>
              <w:pStyle w:val="25"/>
            </w:pPr>
            <w:r>
              <w:t>科目名称</w:t>
            </w: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c>
          <w:tcPr>
            <w:tcW w:w="136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992"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5"/>
            </w:pPr>
            <w:r>
              <w:t>2</w:t>
            </w:r>
          </w:p>
        </w:tc>
        <w:tc>
          <w:tcPr>
            <w:tcW w:w="1361" w:type="dxa"/>
            <w:tcBorders>
              <w:top w:val="single" w:sz="6" w:space="0" w:color="000000"/>
              <w:left w:val="single" w:sz="6" w:space="0" w:color="000000"/>
              <w:right w:val="single" w:sz="6" w:space="0" w:color="000000"/>
            </w:tcBorders>
            <w:vAlign w:val="center"/>
          </w:tcPr>
          <w:p>
            <w:pPr>
              <w:pStyle w:val="25"/>
            </w:pPr>
            <w:r>
              <w:t>3</w:t>
            </w:r>
          </w:p>
        </w:tc>
        <w:tc>
          <w:tcPr>
            <w:tcW w:w="1361" w:type="dxa"/>
            <w:tcBorders>
              <w:top w:val="single" w:sz="6" w:space="0" w:color="000000"/>
              <w:left w:val="single" w:sz="6" w:space="0" w:color="000000"/>
              <w:right w:val="single" w:sz="6" w:space="0" w:color="000000"/>
            </w:tcBorders>
            <w:vAlign w:val="center"/>
          </w:tcPr>
          <w:p>
            <w:pPr>
              <w:pStyle w:val="25"/>
            </w:pPr>
            <w:r>
              <w:t>4</w:t>
            </w:r>
          </w:p>
        </w:tc>
        <w:tc>
          <w:tcPr>
            <w:tcW w:w="1361" w:type="dxa"/>
            <w:tcBorders>
              <w:top w:val="single" w:sz="6" w:space="0" w:color="000000"/>
              <w:left w:val="single" w:sz="6" w:space="0" w:color="000000"/>
              <w:right w:val="single" w:sz="6" w:space="0" w:color="000000"/>
            </w:tcBorders>
            <w:vAlign w:val="center"/>
          </w:tcPr>
          <w:p>
            <w:pPr>
              <w:pStyle w:val="25"/>
            </w:pPr>
            <w:r>
              <w:t>5</w:t>
            </w:r>
          </w:p>
        </w:tc>
        <w:tc>
          <w:tcPr>
            <w:tcW w:w="1361" w:type="dxa"/>
            <w:tcBorders>
              <w:top w:val="single" w:sz="6" w:space="0" w:color="000000"/>
              <w:left w:val="single" w:sz="6" w:space="0" w:color="000000"/>
              <w:right w:val="single" w:sz="6" w:space="0" w:color="000000"/>
            </w:tcBorders>
            <w:vAlign w:val="center"/>
          </w:tcPr>
          <w:p>
            <w:pPr>
              <w:pStyle w:val="25"/>
            </w:pPr>
            <w:r>
              <w:t>6</w:t>
            </w:r>
          </w:p>
        </w:tc>
        <w:tc>
          <w:tcPr>
            <w:tcW w:w="1361" w:type="dxa"/>
            <w:tcBorders>
              <w:top w:val="single" w:sz="6" w:space="0" w:color="000000"/>
              <w:left w:val="single" w:sz="6" w:space="0" w:color="000000"/>
              <w:right w:val="single" w:sz="6" w:space="0" w:color="000000"/>
            </w:tcBorders>
            <w:vAlign w:val="center"/>
          </w:tcPr>
          <w:p>
            <w:pPr>
              <w:pStyle w:val="25"/>
            </w:pPr>
            <w:r>
              <w:t>7</w:t>
            </w:r>
          </w:p>
        </w:tc>
        <w:tc>
          <w:tcPr>
            <w:tcW w:w="1361" w:type="dxa"/>
            <w:tcBorders>
              <w:top w:val="single" w:sz="6" w:space="0" w:color="000000"/>
              <w:left w:val="single" w:sz="6" w:space="0" w:color="000000"/>
              <w:right w:val="single" w:sz="6" w:space="0" w:color="000000"/>
            </w:tcBorders>
            <w:vAlign w:val="center"/>
          </w:tcPr>
          <w:p>
            <w:pPr>
              <w:pStyle w:val="25"/>
            </w:pPr>
            <w:r>
              <w:t>8</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6</w:t>
            </w:r>
          </w:p>
        </w:tc>
        <w:tc>
          <w:tcPr>
            <w:tcW w:w="992" w:type="dxa"/>
            <w:tcBorders>
              <w:top w:val="single" w:sz="6" w:space="0" w:color="000000"/>
              <w:left w:val="single" w:sz="6" w:space="0" w:color="000000"/>
              <w:right w:val="single" w:sz="6" w:space="0" w:color="000000"/>
            </w:tcBorders>
          </w:tcPr>
          <w:p>
            <w:pPr>
              <w:pStyle w:val="31"/>
            </w:pPr>
          </w:p>
        </w:tc>
        <w:tc>
          <w:tcPr>
            <w:tcW w:w="4535"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合计</w:t>
            </w:r>
          </w:p>
        </w:tc>
        <w:tc>
          <w:tcPr>
            <w:tcW w:w="136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36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135.83</w:t>
            </w:r>
          </w:p>
        </w:tc>
        <w:tc>
          <w:tcPr>
            <w:tcW w:w="136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1040.30</w:t>
            </w:r>
          </w:p>
        </w:tc>
        <w:tc>
          <w:tcPr>
            <w:tcW w:w="1361" w:type="dxa"/>
            <w:tcBorders>
              <w:top w:val="single" w:sz="6" w:space="0" w:color="000000"/>
              <w:left w:val="single" w:sz="6" w:space="0" w:color="000000"/>
              <w:right w:val="single" w:sz="6" w:space="0" w:color="000000"/>
            </w:tcBorders>
            <w:vAlign w:val="center"/>
          </w:tcPr>
          <w:p>
            <w:pPr>
              <w:pStyle w:val="30"/>
            </w:pPr>
          </w:p>
        </w:tc>
        <w:tc>
          <w:tcPr>
            <w:tcW w:w="1361" w:type="dxa"/>
            <w:tcBorders>
              <w:top w:val="single" w:sz="6" w:space="0" w:color="000000"/>
              <w:left w:val="single" w:sz="6" w:space="0" w:color="000000"/>
              <w:right w:val="single" w:sz="6" w:space="0" w:color="000000"/>
            </w:tcBorders>
            <w:vAlign w:val="center"/>
          </w:tcPr>
          <w:p>
            <w:pPr>
              <w:pStyle w:val="30"/>
            </w:pPr>
          </w:p>
        </w:tc>
        <w:tc>
          <w:tcPr>
            <w:tcW w:w="1361" w:type="dxa"/>
            <w:tcBorders>
              <w:top w:val="single" w:sz="6" w:space="0" w:color="000000"/>
              <w:left w:val="single" w:sz="6" w:space="0" w:color="000000"/>
              <w:right w:val="single" w:sz="6" w:space="0" w:color="000000"/>
            </w:tcBorders>
            <w:vAlign w:val="center"/>
          </w:tcPr>
          <w:p>
            <w:pPr>
              <w:pStyle w:val="30"/>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7</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节能环保支出</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1040.30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8</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环境保护管理事务</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148.22</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9</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行政运行</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1361" w:type="dxa"/>
            <w:tcBorders>
              <w:top w:val="single" w:sz="6" w:space="0" w:color="000000"/>
              <w:left w:val="single" w:sz="6" w:space="0" w:color="000000"/>
              <w:right w:val="single" w:sz="6" w:space="0" w:color="000000"/>
            </w:tcBorders>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10</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其他环境保护管理事务支出</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11</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环境监测与监察</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12</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其他环境监测与监察支出</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13</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污染防治</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14</w:t>
            </w:r>
          </w:p>
        </w:tc>
        <w:tc>
          <w:tcPr>
            <w:tcW w:w="99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大气</w:t>
            </w: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rPr>
                <w:rFonts w:ascii="宋体" w:eastAsia="宋体" w:cs="Arial"/>
                <w:color w:val="auto"/>
                <w:sz w:val="18"/>
              </w:rPr>
            </w:pPr>
            <w:r>
              <w:rPr>
                <w:rFonts w:ascii="宋体" w:eastAsia="宋体" w:cs="Arial"/>
                <w:color w:val="auto"/>
                <w:sz w:val="18"/>
              </w:rPr>
              <w:t>15</w:t>
            </w:r>
          </w:p>
        </w:tc>
        <w:tc>
          <w:tcPr>
            <w:tcW w:w="992"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2110302</w:t>
            </w:r>
          </w:p>
        </w:tc>
        <w:tc>
          <w:tcPr>
            <w:tcW w:w="4535"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水体</w:t>
            </w:r>
          </w:p>
        </w:tc>
        <w:tc>
          <w:tcPr>
            <w:tcW w:w="1361"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42.39</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42.39</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rPr>
                <w:rFonts w:ascii="宋体" w:eastAsia="宋体" w:cs="Arial"/>
                <w:color w:val="auto"/>
                <w:sz w:val="18"/>
              </w:rPr>
            </w:pPr>
            <w:r>
              <w:rPr>
                <w:rFonts w:ascii="宋体" w:eastAsia="宋体" w:cs="Arial"/>
                <w:color w:val="auto"/>
                <w:sz w:val="18"/>
              </w:rPr>
              <w:t>16</w:t>
            </w:r>
          </w:p>
        </w:tc>
        <w:tc>
          <w:tcPr>
            <w:tcW w:w="992"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2110304</w:t>
            </w:r>
          </w:p>
        </w:tc>
        <w:tc>
          <w:tcPr>
            <w:tcW w:w="4535" w:type="dxa"/>
            <w:tcBorders>
              <w:top w:val="single" w:sz="6" w:space="0" w:color="000000"/>
              <w:left w:val="single" w:sz="6" w:space="0" w:color="000000"/>
              <w:right w:val="single" w:sz="6" w:space="0" w:color="000000"/>
            </w:tcBorders>
            <w:vAlign w:val="center"/>
          </w:tcPr>
          <w:p>
            <w:pPr>
              <w:pStyle w:val="27"/>
              <w:rPr>
                <w:rFonts w:ascii="宋体" w:eastAsia="宋体"/>
                <w:color w:val="auto"/>
                <w:sz w:val="18"/>
              </w:rPr>
            </w:pPr>
            <w:r>
              <w:rPr>
                <w:rFonts w:ascii="宋体" w:eastAsia="宋体"/>
                <w:color w:val="auto"/>
                <w:sz w:val="18"/>
              </w:rPr>
              <w:t>固体废弃物与化学品</w:t>
            </w:r>
          </w:p>
        </w:tc>
        <w:tc>
          <w:tcPr>
            <w:tcW w:w="1361"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3.65</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rPr>
                <w:rFonts w:ascii="宋体" w:eastAsia="宋体"/>
                <w:color w:val="auto"/>
                <w:sz w:val="18"/>
              </w:rPr>
            </w:pPr>
            <w:r>
              <w:rPr>
                <w:rFonts w:ascii="宋体" w:eastAsia="宋体"/>
                <w:color w:val="auto"/>
                <w:sz w:val="18"/>
              </w:rPr>
              <w:t>3.65</w:t>
            </w: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c>
          <w:tcPr>
            <w:tcW w:w="1361" w:type="dxa"/>
            <w:tcBorders>
              <w:top w:val="single" w:sz="6" w:space="0" w:color="000000"/>
              <w:left w:val="single" w:sz="6" w:space="0" w:color="000000"/>
              <w:right w:val="single" w:sz="6" w:space="0" w:color="000000"/>
            </w:tcBorders>
            <w:vAlign w:val="center"/>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rPr>
          <w:trHeight w:val="369"/>
          <w:tblHeader/>
        </w:trPr>
        <w:tc>
          <w:tcPr>
            <w:tcW w:w="3696"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1232" w:type="dxa"/>
            <w:tcBorders>
              <w:top w:val="single" w:sz="6" w:space="0" w:color="FFFFFF"/>
              <w:left w:val="single" w:sz="6" w:space="0" w:color="FFFFFF"/>
              <w:right w:val="single" w:sz="6" w:space="0" w:color="FFFFFF"/>
            </w:tcBorders>
            <w:vAlign w:val="center"/>
          </w:tcPr>
          <w:p>
            <w:pPr>
              <w:pStyle w:val="23"/>
            </w:pPr>
            <w:r>
              <w:t>预算年度：2021</w:t>
            </w:r>
          </w:p>
        </w:tc>
        <w:tc>
          <w:tcPr>
            <w:tcW w:w="4928" w:type="dxa"/>
            <w:gridSpan w:val="4"/>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1232" w:type="dxa"/>
            <w:vMerge w:val="restart"/>
            <w:tcBorders>
              <w:top w:val="single" w:sz="6" w:space="0" w:color="000000"/>
              <w:left w:val="single" w:sz="6" w:space="0" w:color="000000"/>
              <w:right w:val="single" w:sz="6" w:space="0" w:color="000000"/>
            </w:tcBorders>
            <w:vAlign w:val="center"/>
          </w:tcPr>
          <w:p>
            <w:pPr>
              <w:pStyle w:val="25"/>
            </w:pPr>
            <w:r>
              <w:t>序号</w:t>
            </w:r>
          </w:p>
        </w:tc>
        <w:tc>
          <w:tcPr>
            <w:tcW w:w="2464" w:type="dxa"/>
            <w:gridSpan w:val="2"/>
            <w:tcBorders>
              <w:top w:val="single" w:sz="6" w:space="0" w:color="000000"/>
              <w:left w:val="single" w:sz="6" w:space="0" w:color="000000"/>
              <w:right w:val="single" w:sz="6" w:space="0" w:color="000000"/>
            </w:tcBorders>
            <w:vAlign w:val="center"/>
          </w:tcPr>
          <w:p>
            <w:pPr>
              <w:pStyle w:val="25"/>
            </w:pPr>
            <w:r>
              <w:t>收入</w:t>
            </w:r>
          </w:p>
        </w:tc>
        <w:tc>
          <w:tcPr>
            <w:tcW w:w="6160" w:type="dxa"/>
            <w:gridSpan w:val="5"/>
            <w:tcBorders>
              <w:top w:val="single" w:sz="6" w:space="0" w:color="000000"/>
              <w:left w:val="single" w:sz="6" w:space="0" w:color="000000"/>
              <w:right w:val="single" w:sz="6" w:space="0" w:color="000000"/>
            </w:tcBorders>
            <w:vAlign w:val="center"/>
          </w:tcPr>
          <w:p>
            <w:pPr>
              <w:pStyle w:val="25"/>
            </w:pPr>
            <w:r>
              <w:t>支出</w:t>
            </w:r>
          </w:p>
        </w:tc>
      </w:tr>
      <w:tr>
        <w:trPr>
          <w:trHeight w:val="369"/>
          <w:tblHeader/>
        </w:trPr>
        <w:tc>
          <w:tcPr>
            <w:tcW w:w="1232" w:type="dxa"/>
            <w:vMerge/>
            <w:tcBorders>
              <w:top w:val="single" w:sz="6" w:space="0" w:color="000000"/>
              <w:left w:val="single" w:sz="6" w:space="0" w:color="000000"/>
              <w:right w:val="single" w:sz="6" w:space="0" w:color="000000"/>
            </w:tcBorders>
          </w:tcPr>
          <w:p/>
        </w:tc>
        <w:tc>
          <w:tcPr>
            <w:tcW w:w="1232" w:type="dxa"/>
            <w:tcBorders>
              <w:top w:val="single" w:sz="6" w:space="0" w:color="000000"/>
              <w:left w:val="single" w:sz="6" w:space="0" w:color="000000"/>
              <w:right w:val="single" w:sz="6" w:space="0" w:color="000000"/>
            </w:tcBorders>
            <w:vAlign w:val="center"/>
          </w:tcPr>
          <w:p>
            <w:pPr>
              <w:pStyle w:val="25"/>
            </w:pPr>
            <w:r>
              <w:t>项  目</w:t>
            </w:r>
          </w:p>
        </w:tc>
        <w:tc>
          <w:tcPr>
            <w:tcW w:w="1232" w:type="dxa"/>
            <w:tcBorders>
              <w:top w:val="single" w:sz="6" w:space="0" w:color="000000"/>
              <w:left w:val="single" w:sz="6" w:space="0" w:color="000000"/>
              <w:right w:val="single" w:sz="6" w:space="0" w:color="000000"/>
            </w:tcBorders>
            <w:vAlign w:val="center"/>
          </w:tcPr>
          <w:p>
            <w:pPr>
              <w:pStyle w:val="25"/>
            </w:pPr>
            <w:r>
              <w:t>金额</w:t>
            </w:r>
          </w:p>
        </w:tc>
        <w:tc>
          <w:tcPr>
            <w:tcW w:w="1232" w:type="dxa"/>
            <w:tcBorders>
              <w:top w:val="single" w:sz="6" w:space="0" w:color="000000"/>
              <w:left w:val="single" w:sz="6" w:space="0" w:color="000000"/>
              <w:right w:val="single" w:sz="6" w:space="0" w:color="000000"/>
            </w:tcBorders>
            <w:vAlign w:val="center"/>
          </w:tcPr>
          <w:p>
            <w:pPr>
              <w:pStyle w:val="25"/>
            </w:pPr>
            <w:r>
              <w:t>项  目</w:t>
            </w:r>
          </w:p>
        </w:tc>
        <w:tc>
          <w:tcPr>
            <w:tcW w:w="1232" w:type="dxa"/>
            <w:tcBorders>
              <w:top w:val="single" w:sz="6" w:space="0" w:color="000000"/>
              <w:left w:val="single" w:sz="6" w:space="0" w:color="000000"/>
              <w:right w:val="single" w:sz="6" w:space="0" w:color="000000"/>
            </w:tcBorders>
            <w:vAlign w:val="center"/>
          </w:tcPr>
          <w:p>
            <w:pPr>
              <w:pStyle w:val="25"/>
            </w:pPr>
            <w:r>
              <w:t>合计</w:t>
            </w:r>
          </w:p>
        </w:tc>
        <w:tc>
          <w:tcPr>
            <w:tcW w:w="1232" w:type="dxa"/>
            <w:tcBorders>
              <w:top w:val="single" w:sz="6" w:space="0" w:color="000000"/>
              <w:left w:val="single" w:sz="6" w:space="0" w:color="000000"/>
              <w:right w:val="single" w:sz="6" w:space="0" w:color="000000"/>
            </w:tcBorders>
            <w:vAlign w:val="center"/>
          </w:tcPr>
          <w:p>
            <w:pPr>
              <w:pStyle w:val="25"/>
            </w:pPr>
            <w:r>
              <w:t>一般公共预算财政拨款</w:t>
            </w:r>
          </w:p>
        </w:tc>
        <w:tc>
          <w:tcPr>
            <w:tcW w:w="1232" w:type="dxa"/>
            <w:tcBorders>
              <w:top w:val="single" w:sz="6" w:space="0" w:color="000000"/>
              <w:left w:val="single" w:sz="6" w:space="0" w:color="000000"/>
              <w:right w:val="single" w:sz="6" w:space="0" w:color="000000"/>
            </w:tcBorders>
            <w:vAlign w:val="center"/>
          </w:tcPr>
          <w:p>
            <w:pPr>
              <w:pStyle w:val="25"/>
            </w:pPr>
            <w:r>
              <w:t>政府性基金预算财政    拨款</w:t>
            </w:r>
          </w:p>
        </w:tc>
        <w:tc>
          <w:tcPr>
            <w:tcW w:w="1232" w:type="dxa"/>
            <w:tcBorders>
              <w:top w:val="single" w:sz="6" w:space="0" w:color="000000"/>
              <w:left w:val="single" w:sz="6" w:space="0" w:color="000000"/>
              <w:right w:val="single" w:sz="6" w:space="0" w:color="000000"/>
            </w:tcBorders>
            <w:vAlign w:val="center"/>
          </w:tcPr>
          <w:p>
            <w:pPr>
              <w:pStyle w:val="25"/>
            </w:pPr>
            <w:r>
              <w:t>国有资本经营预算财政拨款</w:t>
            </w:r>
          </w:p>
        </w:tc>
      </w:tr>
      <w:tr>
        <w:trPr>
          <w:trHeight w:val="369"/>
          <w:tblHeader/>
        </w:trPr>
        <w:tc>
          <w:tcPr>
            <w:tcW w:w="1232" w:type="dxa"/>
            <w:tcBorders>
              <w:top w:val="single" w:sz="6" w:space="0" w:color="000000"/>
              <w:left w:val="single" w:sz="6" w:space="0" w:color="000000"/>
              <w:right w:val="single" w:sz="6" w:space="0" w:color="000000"/>
            </w:tcBorders>
            <w:vAlign w:val="center"/>
          </w:tcPr>
          <w:p>
            <w:pPr>
              <w:pStyle w:val="25"/>
            </w:pPr>
            <w:r>
              <w:t>栏次</w:t>
            </w:r>
          </w:p>
        </w:tc>
        <w:tc>
          <w:tcPr>
            <w:tcW w:w="1232" w:type="dxa"/>
            <w:tcBorders>
              <w:top w:val="single" w:sz="6" w:space="0" w:color="000000"/>
              <w:left w:val="single" w:sz="6" w:space="0" w:color="000000"/>
              <w:right w:val="single" w:sz="6" w:space="0" w:color="000000"/>
            </w:tcBorders>
            <w:vAlign w:val="center"/>
          </w:tcPr>
          <w:p>
            <w:pPr>
              <w:pStyle w:val="25"/>
            </w:pPr>
            <w:r>
              <w:t>1</w:t>
            </w:r>
          </w:p>
        </w:tc>
        <w:tc>
          <w:tcPr>
            <w:tcW w:w="1232" w:type="dxa"/>
            <w:tcBorders>
              <w:top w:val="single" w:sz="6" w:space="0" w:color="000000"/>
              <w:left w:val="single" w:sz="6" w:space="0" w:color="000000"/>
              <w:right w:val="single" w:sz="6" w:space="0" w:color="000000"/>
            </w:tcBorders>
            <w:vAlign w:val="center"/>
          </w:tcPr>
          <w:p>
            <w:pPr>
              <w:pStyle w:val="25"/>
            </w:pPr>
            <w:r>
              <w:t>2</w:t>
            </w:r>
          </w:p>
        </w:tc>
        <w:tc>
          <w:tcPr>
            <w:tcW w:w="1232" w:type="dxa"/>
            <w:tcBorders>
              <w:top w:val="single" w:sz="6" w:space="0" w:color="000000"/>
              <w:left w:val="single" w:sz="6" w:space="0" w:color="000000"/>
              <w:right w:val="single" w:sz="6" w:space="0" w:color="000000"/>
            </w:tcBorders>
            <w:vAlign w:val="center"/>
          </w:tcPr>
          <w:p>
            <w:pPr>
              <w:pStyle w:val="25"/>
            </w:pPr>
            <w:r>
              <w:t>3</w:t>
            </w:r>
          </w:p>
        </w:tc>
        <w:tc>
          <w:tcPr>
            <w:tcW w:w="1232" w:type="dxa"/>
            <w:tcBorders>
              <w:top w:val="single" w:sz="6" w:space="0" w:color="000000"/>
              <w:left w:val="single" w:sz="6" w:space="0" w:color="000000"/>
              <w:right w:val="single" w:sz="6" w:space="0" w:color="000000"/>
            </w:tcBorders>
            <w:vAlign w:val="center"/>
          </w:tcPr>
          <w:p>
            <w:pPr>
              <w:pStyle w:val="25"/>
            </w:pPr>
            <w:r>
              <w:t>4</w:t>
            </w:r>
          </w:p>
        </w:tc>
        <w:tc>
          <w:tcPr>
            <w:tcW w:w="1232" w:type="dxa"/>
            <w:tcBorders>
              <w:top w:val="single" w:sz="6" w:space="0" w:color="000000"/>
              <w:left w:val="single" w:sz="6" w:space="0" w:color="000000"/>
              <w:right w:val="single" w:sz="6" w:space="0" w:color="000000"/>
            </w:tcBorders>
            <w:vAlign w:val="center"/>
          </w:tcPr>
          <w:p>
            <w:pPr>
              <w:pStyle w:val="25"/>
            </w:pPr>
            <w:r>
              <w:t>5</w:t>
            </w:r>
          </w:p>
        </w:tc>
        <w:tc>
          <w:tcPr>
            <w:tcW w:w="1232" w:type="dxa"/>
            <w:tcBorders>
              <w:top w:val="single" w:sz="6" w:space="0" w:color="000000"/>
              <w:left w:val="single" w:sz="6" w:space="0" w:color="000000"/>
              <w:right w:val="single" w:sz="6" w:space="0" w:color="000000"/>
            </w:tcBorders>
            <w:vAlign w:val="center"/>
          </w:tcPr>
          <w:p>
            <w:pPr>
              <w:pStyle w:val="25"/>
            </w:pPr>
            <w:r>
              <w:t>6</w:t>
            </w:r>
          </w:p>
        </w:tc>
        <w:tc>
          <w:tcPr>
            <w:tcW w:w="1232" w:type="dxa"/>
            <w:tcBorders>
              <w:top w:val="single" w:sz="6" w:space="0" w:color="000000"/>
              <w:left w:val="single" w:sz="6" w:space="0" w:color="000000"/>
              <w:right w:val="single" w:sz="6" w:space="0" w:color="000000"/>
            </w:tcBorders>
            <w:vAlign w:val="center"/>
          </w:tcPr>
          <w:p>
            <w:pPr>
              <w:pStyle w:val="25"/>
            </w:pPr>
            <w:r>
              <w:t>7</w:t>
            </w: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一、一般公共预算拨款</w:t>
            </w:r>
          </w:p>
        </w:tc>
        <w:tc>
          <w:tcPr>
            <w:tcW w:w="1232"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一、一般公共服务支出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二、政府性基金预算拨款</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二、外交支出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三、国有资本经营预算拨款</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三、国防支出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4</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四、公共安全支出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5</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五、教育支出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6</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六、科学技术支出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7</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七、文化旅游体育与传媒支出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8</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八、社会保障和就业支出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9</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九、社会保险基金支出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10</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十、卫生健康支出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11</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十一、节能环保支出</w:t>
            </w:r>
          </w:p>
        </w:tc>
        <w:tc>
          <w:tcPr>
            <w:tcW w:w="1232"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12</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十二、城乡社区支出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13</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十三、农林水支出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14</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十四、交通运输支出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15</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十五、资源勘探工业信息等支出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16</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十六、商业服务业等支出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17</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十七、金融支出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18</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十八、援助其他地区支出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19</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十九、自然资源海洋气象等支出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20</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二十、住房保障支出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21</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二十一、粮油物资储备支出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22</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二十二、国有资本经营预算支出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23</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二十三、灾害防治及应急管理支出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24</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二十四、预备费</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25</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二十五、其他支出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26</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二十六、转移性支出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27</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二十七、债务还本支出</w:t>
            </w: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28</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二十八、债务付息支出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29</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二十九、债务发行费用支出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30</w:t>
            </w: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三十、抗疫特别国债安排的支出</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31</w:t>
            </w:r>
          </w:p>
        </w:tc>
        <w:tc>
          <w:tcPr>
            <w:tcW w:w="1232"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本年收入合计</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本年支出合计</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30"/>
            </w:pPr>
          </w:p>
        </w:tc>
        <w:tc>
          <w:tcPr>
            <w:tcW w:w="1232" w:type="dxa"/>
            <w:tcBorders>
              <w:top w:val="single" w:sz="6" w:space="0" w:color="000000"/>
              <w:left w:val="single" w:sz="6" w:space="0" w:color="000000"/>
              <w:right w:val="single" w:sz="6" w:space="0" w:color="000000"/>
            </w:tcBorders>
            <w:vAlign w:val="center"/>
          </w:tcPr>
          <w:p>
            <w:pPr>
              <w:pStyle w:val="30"/>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32</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年初财政拨款结转和结余</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年末财政拨款结转和结余</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33</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一、一般公共预算拨款</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34</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二、政府性基金预算拨款</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35</w:t>
            </w:r>
          </w:p>
        </w:tc>
        <w:tc>
          <w:tcPr>
            <w:tcW w:w="1232"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三、国有资本经营预算拨款</w:t>
            </w: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7"/>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c>
          <w:tcPr>
            <w:tcW w:w="1232" w:type="dxa"/>
            <w:tcBorders>
              <w:top w:val="single" w:sz="6" w:space="0" w:color="000000"/>
              <w:left w:val="single" w:sz="6" w:space="0" w:color="000000"/>
              <w:right w:val="single" w:sz="6" w:space="0" w:color="000000"/>
            </w:tcBorders>
            <w:vAlign w:val="center"/>
          </w:tcPr>
          <w:p>
            <w:pPr>
              <w:pStyle w:val="26"/>
            </w:pPr>
          </w:p>
        </w:tc>
      </w:tr>
      <w:tr>
        <w:trPr>
          <w:trHeight w:val="369"/>
        </w:trPr>
        <w:tc>
          <w:tcPr>
            <w:tcW w:w="1232"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36</w:t>
            </w:r>
          </w:p>
        </w:tc>
        <w:tc>
          <w:tcPr>
            <w:tcW w:w="1232"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收入总计</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支出总计</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1232" w:type="dxa"/>
            <w:tcBorders>
              <w:top w:val="single" w:sz="6" w:space="0" w:color="000000"/>
              <w:left w:val="single" w:sz="6" w:space="0" w:color="000000"/>
              <w:right w:val="single" w:sz="6" w:space="0" w:color="000000"/>
            </w:tcBorders>
            <w:vAlign w:val="center"/>
          </w:tcPr>
          <w:p>
            <w:pPr>
              <w:pStyle w:val="30"/>
            </w:pPr>
          </w:p>
        </w:tc>
        <w:tc>
          <w:tcPr>
            <w:tcW w:w="1232" w:type="dxa"/>
            <w:tcBorders>
              <w:top w:val="single" w:sz="6" w:space="0" w:color="000000"/>
              <w:left w:val="single" w:sz="6" w:space="0" w:color="000000"/>
              <w:right w:val="single" w:sz="6" w:space="0" w:color="000000"/>
            </w:tcBorders>
            <w:vAlign w:val="center"/>
          </w:tcPr>
          <w:p>
            <w:pPr>
              <w:pStyle w:val="30"/>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5726" w:type="dxa"/>
            <w:gridSpan w:val="2"/>
            <w:tcBorders>
              <w:top w:val="single" w:sz="6" w:space="0" w:color="000000"/>
              <w:left w:val="single" w:sz="6" w:space="0" w:color="000000"/>
              <w:right w:val="single" w:sz="6" w:space="0" w:color="000000"/>
            </w:tcBorders>
            <w:vAlign w:val="center"/>
          </w:tcPr>
          <w:p>
            <w:pPr>
              <w:pStyle w:val="25"/>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5"/>
            </w:pPr>
            <w:r>
              <w:t>合计</w:t>
            </w:r>
          </w:p>
        </w:tc>
        <w:tc>
          <w:tcPr>
            <w:tcW w:w="2551" w:type="dxa"/>
            <w:vMerge w:val="restart"/>
            <w:tcBorders>
              <w:top w:val="single" w:sz="6" w:space="0" w:color="000000"/>
              <w:left w:val="single" w:sz="6" w:space="0" w:color="000000"/>
              <w:right w:val="single" w:sz="6" w:space="0" w:color="000000"/>
            </w:tcBorders>
            <w:vAlign w:val="center"/>
          </w:tcPr>
          <w:p>
            <w:pPr>
              <w:pStyle w:val="25"/>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5"/>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5"/>
            </w:pPr>
            <w:r>
              <w:t>科目编码</w:t>
            </w:r>
          </w:p>
        </w:tc>
        <w:tc>
          <w:tcPr>
            <w:tcW w:w="4535" w:type="dxa"/>
            <w:tcBorders>
              <w:top w:val="single" w:sz="6" w:space="0" w:color="000000"/>
              <w:left w:val="single" w:sz="6" w:space="0" w:color="000000"/>
              <w:right w:val="single" w:sz="6" w:space="0" w:color="000000"/>
            </w:tcBorders>
            <w:vAlign w:val="center"/>
          </w:tcPr>
          <w:p>
            <w:pPr>
              <w:pStyle w:val="25"/>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1191"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5"/>
            </w:pPr>
            <w:r>
              <w:t>2</w:t>
            </w:r>
          </w:p>
        </w:tc>
        <w:tc>
          <w:tcPr>
            <w:tcW w:w="2551" w:type="dxa"/>
            <w:tcBorders>
              <w:top w:val="single" w:sz="6" w:space="0" w:color="000000"/>
              <w:left w:val="single" w:sz="6" w:space="0" w:color="000000"/>
              <w:right w:val="single" w:sz="6" w:space="0" w:color="000000"/>
            </w:tcBorders>
            <w:vAlign w:val="center"/>
          </w:tcPr>
          <w:p>
            <w:pPr>
              <w:pStyle w:val="25"/>
            </w:pPr>
            <w:r>
              <w:t>3</w:t>
            </w:r>
          </w:p>
        </w:tc>
        <w:tc>
          <w:tcPr>
            <w:tcW w:w="2551" w:type="dxa"/>
            <w:tcBorders>
              <w:top w:val="single" w:sz="6" w:space="0" w:color="000000"/>
              <w:left w:val="single" w:sz="6" w:space="0" w:color="000000"/>
              <w:right w:val="single" w:sz="6" w:space="0" w:color="000000"/>
            </w:tcBorders>
            <w:vAlign w:val="center"/>
          </w:tcPr>
          <w:p>
            <w:pPr>
              <w:pStyle w:val="25"/>
            </w:pPr>
            <w:r>
              <w:t>4</w:t>
            </w:r>
          </w:p>
        </w:tc>
        <w:tc>
          <w:tcPr>
            <w:tcW w:w="2551" w:type="dxa"/>
            <w:tcBorders>
              <w:top w:val="single" w:sz="6" w:space="0" w:color="000000"/>
              <w:left w:val="single" w:sz="6" w:space="0" w:color="000000"/>
              <w:right w:val="single" w:sz="6" w:space="0" w:color="000000"/>
            </w:tcBorders>
            <w:vAlign w:val="center"/>
          </w:tcPr>
          <w:p>
            <w:pPr>
              <w:pStyle w:val="25"/>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6</w:t>
            </w:r>
          </w:p>
        </w:tc>
        <w:tc>
          <w:tcPr>
            <w:tcW w:w="1191" w:type="dxa"/>
            <w:tcBorders>
              <w:top w:val="single" w:sz="6" w:space="0" w:color="000000"/>
              <w:left w:val="single" w:sz="6" w:space="0" w:color="000000"/>
              <w:right w:val="single" w:sz="6" w:space="0" w:color="000000"/>
            </w:tcBorders>
            <w:vAlign w:val="center"/>
          </w:tcPr>
          <w:p>
            <w:pPr>
              <w:pStyle w:val="31"/>
            </w:pPr>
          </w:p>
        </w:tc>
        <w:tc>
          <w:tcPr>
            <w:tcW w:w="4535"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合计</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1176.13</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78.76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7</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节能环保支出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1176.13</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8</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环境保护管理事务</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148.22</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9</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行政运行</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78.76</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10</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2110199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其他环境保护管理事务支出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12.39</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11</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环境监测与监察</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12</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2110299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其他环境监测与监察支出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241.00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13</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污染防治</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786.91</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14</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大气</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740.87</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15</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2110302</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水体</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42.39</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16</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2110304</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固体废弃物与化学品</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3.65</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tcPr>
          <w:p>
            <w:pPr>
              <w:pStyle w:val="2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5726" w:type="dxa"/>
            <w:gridSpan w:val="2"/>
            <w:tcBorders>
              <w:top w:val="single" w:sz="6" w:space="0" w:color="000000"/>
              <w:left w:val="single" w:sz="6" w:space="0" w:color="000000"/>
              <w:right w:val="single" w:sz="6" w:space="0" w:color="000000"/>
            </w:tcBorders>
            <w:vAlign w:val="center"/>
          </w:tcPr>
          <w:p>
            <w:pPr>
              <w:pStyle w:val="25"/>
            </w:pPr>
            <w:r>
              <w:t>支出部门经济分类科目</w:t>
            </w:r>
          </w:p>
        </w:tc>
        <w:tc>
          <w:tcPr>
            <w:tcW w:w="7654" w:type="dxa"/>
            <w:gridSpan w:val="3"/>
            <w:tcBorders>
              <w:top w:val="single" w:sz="6" w:space="0" w:color="000000"/>
              <w:left w:val="single" w:sz="6" w:space="0" w:color="000000"/>
              <w:right w:val="single" w:sz="6" w:space="0" w:color="000000"/>
            </w:tcBorders>
            <w:vAlign w:val="center"/>
          </w:tcPr>
          <w:p>
            <w:pPr>
              <w:pStyle w:val="25"/>
            </w:pPr>
            <w:r>
              <w:t>一般公共预算基本支出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5"/>
            </w:pPr>
            <w:r>
              <w:t>科目编码</w:t>
            </w:r>
          </w:p>
        </w:tc>
        <w:tc>
          <w:tcPr>
            <w:tcW w:w="4535" w:type="dxa"/>
            <w:tcBorders>
              <w:top w:val="single" w:sz="6" w:space="0" w:color="000000"/>
              <w:left w:val="single" w:sz="6" w:space="0" w:color="000000"/>
              <w:right w:val="single" w:sz="6" w:space="0" w:color="000000"/>
            </w:tcBorders>
            <w:vAlign w:val="center"/>
          </w:tcPr>
          <w:p>
            <w:pPr>
              <w:pStyle w:val="25"/>
            </w:pPr>
            <w:r>
              <w:t>科目名称</w:t>
            </w:r>
          </w:p>
        </w:tc>
        <w:tc>
          <w:tcPr>
            <w:tcW w:w="2551" w:type="dxa"/>
            <w:tcBorders>
              <w:top w:val="single" w:sz="6" w:space="0" w:color="000000"/>
              <w:left w:val="single" w:sz="6" w:space="0" w:color="000000"/>
              <w:right w:val="single" w:sz="6" w:space="0" w:color="000000"/>
            </w:tcBorders>
            <w:vAlign w:val="center"/>
          </w:tcPr>
          <w:p>
            <w:pPr>
              <w:pStyle w:val="25"/>
            </w:pPr>
            <w:r>
              <w:t>合计</w:t>
            </w:r>
          </w:p>
        </w:tc>
        <w:tc>
          <w:tcPr>
            <w:tcW w:w="2551" w:type="dxa"/>
            <w:tcBorders>
              <w:top w:val="single" w:sz="6" w:space="0" w:color="000000"/>
              <w:left w:val="single" w:sz="6" w:space="0" w:color="000000"/>
              <w:right w:val="single" w:sz="6" w:space="0" w:color="000000"/>
            </w:tcBorders>
            <w:vAlign w:val="center"/>
          </w:tcPr>
          <w:p>
            <w:pPr>
              <w:pStyle w:val="25"/>
            </w:pPr>
            <w:r>
              <w:t>人员经费</w:t>
            </w:r>
          </w:p>
        </w:tc>
        <w:tc>
          <w:tcPr>
            <w:tcW w:w="2551" w:type="dxa"/>
            <w:tcBorders>
              <w:top w:val="single" w:sz="6" w:space="0" w:color="000000"/>
              <w:left w:val="single" w:sz="6" w:space="0" w:color="000000"/>
              <w:right w:val="single" w:sz="6" w:space="0" w:color="000000"/>
            </w:tcBorders>
            <w:vAlign w:val="center"/>
          </w:tcPr>
          <w:p>
            <w:pPr>
              <w:pStyle w:val="25"/>
            </w:pPr>
            <w:r>
              <w:t>公用经费</w:t>
            </w: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1191"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5"/>
            </w:pPr>
            <w:r>
              <w:t>2</w:t>
            </w:r>
          </w:p>
        </w:tc>
        <w:tc>
          <w:tcPr>
            <w:tcW w:w="2551" w:type="dxa"/>
            <w:tcBorders>
              <w:top w:val="single" w:sz="6" w:space="0" w:color="000000"/>
              <w:left w:val="single" w:sz="6" w:space="0" w:color="000000"/>
              <w:right w:val="single" w:sz="6" w:space="0" w:color="000000"/>
            </w:tcBorders>
            <w:vAlign w:val="center"/>
          </w:tcPr>
          <w:p>
            <w:pPr>
              <w:pStyle w:val="25"/>
            </w:pPr>
            <w:r>
              <w:t>3</w:t>
            </w:r>
          </w:p>
        </w:tc>
        <w:tc>
          <w:tcPr>
            <w:tcW w:w="2551" w:type="dxa"/>
            <w:tcBorders>
              <w:top w:val="single" w:sz="6" w:space="0" w:color="000000"/>
              <w:left w:val="single" w:sz="6" w:space="0" w:color="000000"/>
              <w:right w:val="single" w:sz="6" w:space="0" w:color="000000"/>
            </w:tcBorders>
            <w:vAlign w:val="center"/>
          </w:tcPr>
          <w:p>
            <w:pPr>
              <w:pStyle w:val="25"/>
            </w:pPr>
            <w:r>
              <w:t>4</w:t>
            </w:r>
          </w:p>
        </w:tc>
        <w:tc>
          <w:tcPr>
            <w:tcW w:w="2551" w:type="dxa"/>
            <w:tcBorders>
              <w:top w:val="single" w:sz="6" w:space="0" w:color="000000"/>
              <w:left w:val="single" w:sz="6" w:space="0" w:color="000000"/>
              <w:right w:val="single" w:sz="6" w:space="0" w:color="000000"/>
            </w:tcBorders>
            <w:vAlign w:val="center"/>
          </w:tcPr>
          <w:p>
            <w:pPr>
              <w:pStyle w:val="25"/>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6</w:t>
            </w:r>
          </w:p>
        </w:tc>
        <w:tc>
          <w:tcPr>
            <w:tcW w:w="1191" w:type="dxa"/>
            <w:tcBorders>
              <w:top w:val="single" w:sz="6" w:space="0" w:color="000000"/>
              <w:left w:val="single" w:sz="6" w:space="0" w:color="000000"/>
              <w:right w:val="single" w:sz="6" w:space="0" w:color="000000"/>
            </w:tcBorders>
          </w:tcPr>
          <w:p>
            <w:pPr>
              <w:pStyle w:val="31"/>
            </w:pPr>
          </w:p>
        </w:tc>
        <w:tc>
          <w:tcPr>
            <w:tcW w:w="4535" w:type="dxa"/>
            <w:tcBorders>
              <w:top w:val="single" w:sz="6" w:space="0" w:color="000000"/>
              <w:left w:val="single" w:sz="6" w:space="0" w:color="000000"/>
              <w:right w:val="single" w:sz="6" w:space="0" w:color="000000"/>
            </w:tcBorders>
            <w:vAlign w:val="center"/>
          </w:tcPr>
          <w:p>
            <w:pPr>
              <w:pStyle w:val="29"/>
            </w:pPr>
            <w:r>
              <w:rPr>
                <w:rFonts w:ascii="宋体" w:eastAsia="宋体"/>
                <w:color w:val="auto"/>
                <w:sz w:val="18"/>
              </w:rPr>
              <w:t>合计</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135.83</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78.76</w:t>
            </w:r>
          </w:p>
        </w:tc>
        <w:tc>
          <w:tcPr>
            <w:tcW w:w="2551" w:type="dxa"/>
            <w:tcBorders>
              <w:top w:val="single" w:sz="6" w:space="0" w:color="000000"/>
              <w:left w:val="single" w:sz="6" w:space="0" w:color="000000"/>
              <w:right w:val="single" w:sz="6" w:space="0" w:color="000000"/>
            </w:tcBorders>
            <w:vAlign w:val="center"/>
          </w:tcPr>
          <w:p>
            <w:pPr>
              <w:pStyle w:val="30"/>
            </w:pPr>
            <w:r>
              <w:rPr>
                <w:rFonts w:ascii="宋体" w:eastAsia="宋体"/>
                <w:color w:val="auto"/>
                <w:sz w:val="18"/>
              </w:rPr>
              <w:t>57.07</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7</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工资福利支出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78.76</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78.76</w:t>
            </w: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8</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30103</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奖金</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35.84</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35.84</w:t>
            </w: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9</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30199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其他工资福利支出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42.92</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42.92</w:t>
            </w:r>
          </w:p>
        </w:tc>
        <w:tc>
          <w:tcPr>
            <w:tcW w:w="2551" w:type="dxa"/>
            <w:tcBorders>
              <w:top w:val="single" w:sz="6" w:space="0" w:color="000000"/>
              <w:left w:val="single" w:sz="6" w:space="0" w:color="000000"/>
              <w:right w:val="single" w:sz="6" w:space="0" w:color="000000"/>
            </w:tcBorders>
          </w:tcPr>
          <w:p>
            <w:pPr>
              <w:pStyle w:val="26"/>
            </w:pP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10</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商品和服务支出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57.07</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57.07</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11</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办公费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41.87</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41.87</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12</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30202</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印刷费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13</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30205</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水费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14</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30206</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电费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15</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30207</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邮电费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1.00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16</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30209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物业管理费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0.20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0.20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17</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30211</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差旅费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3.00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3.00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18</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30213</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维修(护)费</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2.00</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19</w:t>
            </w:r>
          </w:p>
        </w:tc>
        <w:tc>
          <w:tcPr>
            <w:tcW w:w="1191"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30299</w:t>
            </w: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olor w:val="auto"/>
                <w:sz w:val="18"/>
              </w:rPr>
              <w:t>其他商品和服务支出</w:t>
            </w: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5.00</w:t>
            </w:r>
          </w:p>
        </w:tc>
        <w:tc>
          <w:tcPr>
            <w:tcW w:w="2551" w:type="dxa"/>
            <w:tcBorders>
              <w:top w:val="single" w:sz="6" w:space="0" w:color="000000"/>
              <w:left w:val="single" w:sz="6" w:space="0" w:color="000000"/>
              <w:right w:val="single" w:sz="6" w:space="0" w:color="000000"/>
            </w:tcBorders>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olor w:val="auto"/>
                <w:sz w:val="18"/>
              </w:rPr>
              <w:t>5.00</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5726" w:type="dxa"/>
            <w:gridSpan w:val="2"/>
            <w:tcBorders>
              <w:top w:val="single" w:sz="6" w:space="0" w:color="000000"/>
              <w:left w:val="single" w:sz="6" w:space="0" w:color="000000"/>
              <w:right w:val="single" w:sz="6" w:space="0" w:color="000000"/>
            </w:tcBorders>
            <w:vAlign w:val="center"/>
          </w:tcPr>
          <w:p>
            <w:pPr>
              <w:pStyle w:val="25"/>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5"/>
            </w:pPr>
            <w:r>
              <w:t>合计</w:t>
            </w:r>
          </w:p>
        </w:tc>
        <w:tc>
          <w:tcPr>
            <w:tcW w:w="2551" w:type="dxa"/>
            <w:vMerge w:val="restart"/>
            <w:tcBorders>
              <w:top w:val="single" w:sz="6" w:space="0" w:color="000000"/>
              <w:left w:val="single" w:sz="6" w:space="0" w:color="000000"/>
              <w:right w:val="single" w:sz="6" w:space="0" w:color="000000"/>
            </w:tcBorders>
            <w:vAlign w:val="center"/>
          </w:tcPr>
          <w:p>
            <w:pPr>
              <w:pStyle w:val="25"/>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5"/>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5"/>
            </w:pPr>
            <w:r>
              <w:t>科目编码</w:t>
            </w:r>
          </w:p>
        </w:tc>
        <w:tc>
          <w:tcPr>
            <w:tcW w:w="4535" w:type="dxa"/>
            <w:tcBorders>
              <w:top w:val="single" w:sz="6" w:space="0" w:color="000000"/>
              <w:left w:val="single" w:sz="6" w:space="0" w:color="000000"/>
              <w:right w:val="single" w:sz="6" w:space="0" w:color="000000"/>
            </w:tcBorders>
            <w:vAlign w:val="center"/>
          </w:tcPr>
          <w:p>
            <w:pPr>
              <w:pStyle w:val="25"/>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1191"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5"/>
            </w:pPr>
            <w:r>
              <w:t>2</w:t>
            </w:r>
          </w:p>
        </w:tc>
        <w:tc>
          <w:tcPr>
            <w:tcW w:w="2551" w:type="dxa"/>
            <w:tcBorders>
              <w:top w:val="single" w:sz="6" w:space="0" w:color="000000"/>
              <w:left w:val="single" w:sz="6" w:space="0" w:color="000000"/>
              <w:right w:val="single" w:sz="6" w:space="0" w:color="000000"/>
            </w:tcBorders>
            <w:vAlign w:val="center"/>
          </w:tcPr>
          <w:p>
            <w:pPr>
              <w:pStyle w:val="25"/>
            </w:pPr>
            <w:r>
              <w:t>3</w:t>
            </w:r>
          </w:p>
        </w:tc>
        <w:tc>
          <w:tcPr>
            <w:tcW w:w="2551" w:type="dxa"/>
            <w:tcBorders>
              <w:top w:val="single" w:sz="6" w:space="0" w:color="000000"/>
              <w:left w:val="single" w:sz="6" w:space="0" w:color="000000"/>
              <w:right w:val="single" w:sz="6" w:space="0" w:color="000000"/>
            </w:tcBorders>
            <w:vAlign w:val="center"/>
          </w:tcPr>
          <w:p>
            <w:pPr>
              <w:pStyle w:val="25"/>
            </w:pPr>
            <w:r>
              <w:t>4</w:t>
            </w:r>
          </w:p>
        </w:tc>
        <w:tc>
          <w:tcPr>
            <w:tcW w:w="2551" w:type="dxa"/>
            <w:tcBorders>
              <w:top w:val="single" w:sz="6" w:space="0" w:color="000000"/>
              <w:left w:val="single" w:sz="6" w:space="0" w:color="000000"/>
              <w:right w:val="single" w:sz="6" w:space="0" w:color="000000"/>
            </w:tcBorders>
            <w:vAlign w:val="center"/>
          </w:tcPr>
          <w:p>
            <w:pPr>
              <w:pStyle w:val="25"/>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s="Arial"/>
                <w:color w:val="auto"/>
                <w:sz w:val="18"/>
              </w:rPr>
              <w:t>合计</w:t>
            </w:r>
          </w:p>
        </w:tc>
        <w:tc>
          <w:tcPr>
            <w:tcW w:w="2551"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注：我单位无政府基金预算，空表列示.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551" w:type="dxa"/>
            <w:tcBorders>
              <w:top w:val="single" w:sz="6" w:space="0" w:color="FFFFFF"/>
              <w:left w:val="single" w:sz="6" w:space="0" w:color="FFFFFF"/>
              <w:right w:val="single" w:sz="6" w:space="0" w:color="FFFFFF"/>
            </w:tcBorders>
            <w:vAlign w:val="center"/>
          </w:tcPr>
          <w:p>
            <w:pPr>
              <w:pStyle w:val="23"/>
            </w:pPr>
            <w:r>
              <w:t>预算年度：2021</w:t>
            </w:r>
          </w:p>
        </w:tc>
        <w:tc>
          <w:tcPr>
            <w:tcW w:w="510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5726" w:type="dxa"/>
            <w:gridSpan w:val="2"/>
            <w:tcBorders>
              <w:top w:val="single" w:sz="6" w:space="0" w:color="000000"/>
              <w:left w:val="single" w:sz="6" w:space="0" w:color="000000"/>
              <w:right w:val="single" w:sz="6" w:space="0" w:color="000000"/>
            </w:tcBorders>
            <w:vAlign w:val="center"/>
          </w:tcPr>
          <w:p>
            <w:pPr>
              <w:pStyle w:val="25"/>
            </w:pPr>
            <w:r>
              <w:t>功能分类科目</w:t>
            </w:r>
          </w:p>
        </w:tc>
        <w:tc>
          <w:tcPr>
            <w:tcW w:w="2551" w:type="dxa"/>
            <w:vMerge w:val="restart"/>
            <w:tcBorders>
              <w:top w:val="single" w:sz="6" w:space="0" w:color="000000"/>
              <w:left w:val="single" w:sz="6" w:space="0" w:color="000000"/>
              <w:right w:val="single" w:sz="6" w:space="0" w:color="000000"/>
            </w:tcBorders>
            <w:vAlign w:val="center"/>
          </w:tcPr>
          <w:p>
            <w:pPr>
              <w:pStyle w:val="25"/>
            </w:pPr>
            <w:r>
              <w:t>合计</w:t>
            </w:r>
          </w:p>
        </w:tc>
        <w:tc>
          <w:tcPr>
            <w:tcW w:w="2551" w:type="dxa"/>
            <w:vMerge w:val="restart"/>
            <w:tcBorders>
              <w:top w:val="single" w:sz="6" w:space="0" w:color="000000"/>
              <w:left w:val="single" w:sz="6" w:space="0" w:color="000000"/>
              <w:right w:val="single" w:sz="6" w:space="0" w:color="000000"/>
            </w:tcBorders>
            <w:vAlign w:val="center"/>
          </w:tcPr>
          <w:p>
            <w:pPr>
              <w:pStyle w:val="25"/>
            </w:pPr>
            <w:r>
              <w:t>基本支出</w:t>
            </w:r>
          </w:p>
        </w:tc>
        <w:tc>
          <w:tcPr>
            <w:tcW w:w="2551" w:type="dxa"/>
            <w:vMerge w:val="restart"/>
            <w:tcBorders>
              <w:top w:val="single" w:sz="6" w:space="0" w:color="000000"/>
              <w:left w:val="single" w:sz="6" w:space="0" w:color="000000"/>
              <w:right w:val="single" w:sz="6" w:space="0" w:color="000000"/>
            </w:tcBorders>
            <w:vAlign w:val="center"/>
          </w:tcPr>
          <w:p>
            <w:pPr>
              <w:pStyle w:val="25"/>
            </w:pPr>
            <w:r>
              <w:t>项目支出</w:t>
            </w:r>
          </w:p>
        </w:tc>
      </w:tr>
      <w:tr>
        <w:trPr>
          <w:trHeight w:val="369"/>
          <w:tblHeader/>
        </w:trPr>
        <w:tc>
          <w:tcPr>
            <w:tcW w:w="850" w:type="dxa"/>
            <w:vMerge/>
            <w:tcBorders>
              <w:top w:val="single" w:sz="6" w:space="0" w:color="000000"/>
              <w:left w:val="single" w:sz="6" w:space="0" w:color="000000"/>
              <w:right w:val="single" w:sz="6" w:space="0" w:color="000000"/>
            </w:tcBorders>
          </w:tcPr>
          <w:p/>
        </w:tc>
        <w:tc>
          <w:tcPr>
            <w:tcW w:w="1191" w:type="dxa"/>
            <w:tcBorders>
              <w:top w:val="single" w:sz="6" w:space="0" w:color="000000"/>
              <w:left w:val="single" w:sz="6" w:space="0" w:color="000000"/>
              <w:right w:val="single" w:sz="6" w:space="0" w:color="000000"/>
            </w:tcBorders>
            <w:vAlign w:val="center"/>
          </w:tcPr>
          <w:p>
            <w:pPr>
              <w:pStyle w:val="25"/>
            </w:pPr>
            <w:r>
              <w:t>科目编码</w:t>
            </w:r>
          </w:p>
        </w:tc>
        <w:tc>
          <w:tcPr>
            <w:tcW w:w="4535" w:type="dxa"/>
            <w:tcBorders>
              <w:top w:val="single" w:sz="6" w:space="0" w:color="000000"/>
              <w:left w:val="single" w:sz="6" w:space="0" w:color="000000"/>
              <w:right w:val="single" w:sz="6" w:space="0" w:color="000000"/>
            </w:tcBorders>
            <w:vAlign w:val="center"/>
          </w:tcPr>
          <w:p>
            <w:pPr>
              <w:pStyle w:val="25"/>
            </w:pPr>
            <w:r>
              <w:t>科目名称</w:t>
            </w: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c>
          <w:tcPr>
            <w:tcW w:w="2551" w:type="dxa"/>
            <w:vMerge/>
            <w:tcBorders>
              <w:top w:val="single" w:sz="6" w:space="0" w:color="000000"/>
              <w:left w:val="single" w:sz="6" w:space="0" w:color="000000"/>
              <w:right w:val="single" w:sz="6" w:space="0" w:color="000000"/>
            </w:tcBorders>
          </w:tcPr>
          <w:p/>
        </w:tc>
      </w:tr>
      <w:tr>
        <w:trPr>
          <w:trHeight w:val="369"/>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1191" w:type="dxa"/>
            <w:tcBorders>
              <w:top w:val="single" w:sz="6" w:space="0" w:color="000000"/>
              <w:left w:val="single" w:sz="6" w:space="0" w:color="000000"/>
              <w:right w:val="single" w:sz="6" w:space="0" w:color="000000"/>
            </w:tcBorders>
            <w:vAlign w:val="center"/>
          </w:tcPr>
          <w:p>
            <w:pPr>
              <w:pStyle w:val="25"/>
            </w:pPr>
            <w:r>
              <w:t>1</w:t>
            </w:r>
          </w:p>
        </w:tc>
        <w:tc>
          <w:tcPr>
            <w:tcW w:w="4535" w:type="dxa"/>
            <w:tcBorders>
              <w:top w:val="single" w:sz="6" w:space="0" w:color="000000"/>
              <w:left w:val="single" w:sz="6" w:space="0" w:color="000000"/>
              <w:right w:val="single" w:sz="6" w:space="0" w:color="000000"/>
            </w:tcBorders>
            <w:vAlign w:val="center"/>
          </w:tcPr>
          <w:p>
            <w:pPr>
              <w:pStyle w:val="25"/>
            </w:pPr>
            <w:r>
              <w:t>2</w:t>
            </w:r>
          </w:p>
        </w:tc>
        <w:tc>
          <w:tcPr>
            <w:tcW w:w="2551" w:type="dxa"/>
            <w:tcBorders>
              <w:top w:val="single" w:sz="6" w:space="0" w:color="000000"/>
              <w:left w:val="single" w:sz="6" w:space="0" w:color="000000"/>
              <w:right w:val="single" w:sz="6" w:space="0" w:color="000000"/>
            </w:tcBorders>
            <w:vAlign w:val="center"/>
          </w:tcPr>
          <w:p>
            <w:pPr>
              <w:pStyle w:val="25"/>
            </w:pPr>
            <w:r>
              <w:t>3</w:t>
            </w:r>
          </w:p>
        </w:tc>
        <w:tc>
          <w:tcPr>
            <w:tcW w:w="2551" w:type="dxa"/>
            <w:tcBorders>
              <w:top w:val="single" w:sz="6" w:space="0" w:color="000000"/>
              <w:left w:val="single" w:sz="6" w:space="0" w:color="000000"/>
              <w:right w:val="single" w:sz="6" w:space="0" w:color="000000"/>
            </w:tcBorders>
            <w:vAlign w:val="center"/>
          </w:tcPr>
          <w:p>
            <w:pPr>
              <w:pStyle w:val="25"/>
            </w:pPr>
            <w:r>
              <w:t>4</w:t>
            </w:r>
          </w:p>
        </w:tc>
        <w:tc>
          <w:tcPr>
            <w:tcW w:w="2551" w:type="dxa"/>
            <w:tcBorders>
              <w:top w:val="single" w:sz="6" w:space="0" w:color="000000"/>
              <w:left w:val="single" w:sz="6" w:space="0" w:color="000000"/>
              <w:right w:val="single" w:sz="6" w:space="0" w:color="000000"/>
            </w:tcBorders>
            <w:vAlign w:val="center"/>
          </w:tcPr>
          <w:p>
            <w:pPr>
              <w:pStyle w:val="25"/>
            </w:pPr>
            <w:r>
              <w:t>5</w:t>
            </w:r>
          </w:p>
        </w:tc>
      </w:tr>
      <w:tr>
        <w:trPr>
          <w:trHeight w:val="369"/>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w:t>
            </w:r>
          </w:p>
        </w:tc>
        <w:tc>
          <w:tcPr>
            <w:tcW w:w="1191" w:type="dxa"/>
            <w:tcBorders>
              <w:top w:val="single" w:sz="6" w:space="0" w:color="000000"/>
              <w:left w:val="single" w:sz="6" w:space="0" w:color="000000"/>
              <w:right w:val="single" w:sz="6" w:space="0" w:color="000000"/>
            </w:tcBorders>
            <w:vAlign w:val="center"/>
          </w:tcPr>
          <w:p>
            <w:pPr>
              <w:pStyle w:val="27"/>
            </w:pPr>
          </w:p>
        </w:tc>
        <w:tc>
          <w:tcPr>
            <w:tcW w:w="4535" w:type="dxa"/>
            <w:tcBorders>
              <w:top w:val="single" w:sz="6" w:space="0" w:color="000000"/>
              <w:left w:val="single" w:sz="6" w:space="0" w:color="000000"/>
              <w:right w:val="single" w:sz="6" w:space="0" w:color="000000"/>
            </w:tcBorders>
            <w:vAlign w:val="center"/>
          </w:tcPr>
          <w:p>
            <w:pPr>
              <w:pStyle w:val="27"/>
            </w:pPr>
            <w:r>
              <w:rPr>
                <w:rFonts w:ascii="宋体" w:eastAsia="宋体" w:cs="Arial"/>
                <w:color w:val="auto"/>
                <w:sz w:val="18"/>
              </w:rPr>
              <w:t>合计</w:t>
            </w:r>
          </w:p>
        </w:tc>
        <w:tc>
          <w:tcPr>
            <w:tcW w:w="2551" w:type="dxa"/>
            <w:tcBorders>
              <w:top w:val="single" w:sz="6" w:space="0" w:color="000000"/>
              <w:left w:val="single" w:sz="6" w:space="0" w:color="000000"/>
              <w:right w:val="single" w:sz="6" w:space="0" w:color="000000"/>
            </w:tcBorders>
            <w:vAlign w:val="center"/>
          </w:tcPr>
          <w:p>
            <w:pPr>
              <w:pStyle w:val="26"/>
            </w:pPr>
          </w:p>
        </w:tc>
        <w:tc>
          <w:tcPr>
            <w:tcW w:w="2551" w:type="dxa"/>
            <w:tcBorders>
              <w:top w:val="single" w:sz="6" w:space="0" w:color="000000"/>
              <w:left w:val="single" w:sz="6" w:space="0" w:color="000000"/>
              <w:right w:val="single" w:sz="6" w:space="0" w:color="000000"/>
            </w:tcBorders>
            <w:vAlign w:val="center"/>
          </w:tcPr>
          <w:p>
            <w:pPr>
              <w:pStyle w:val="26"/>
            </w:pPr>
            <w:r>
              <w:rPr>
                <w:rFonts w:ascii="宋体" w:eastAsia="宋体" w:cs="Arial"/>
                <w:color w:val="auto"/>
                <w:sz w:val="18"/>
              </w:rPr>
              <w:t>0.00</w:t>
            </w:r>
          </w:p>
        </w:tc>
        <w:tc>
          <w:tcPr>
            <w:tcW w:w="2551" w:type="dxa"/>
            <w:tcBorders>
              <w:top w:val="single" w:sz="6" w:space="0" w:color="000000"/>
              <w:left w:val="single" w:sz="6" w:space="0" w:color="000000"/>
              <w:right w:val="single" w:sz="6" w:space="0" w:color="000000"/>
            </w:tcBorders>
            <w:vAlign w:val="center"/>
          </w:tcPr>
          <w:p>
            <w:pPr>
              <w:pStyle w:val="26"/>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注：我单位无国有资经营预算，空表列示。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24"/>
            </w:pPr>
            <w:r>
              <w:t>467001保定市生态环境局涞源县分局本级</w:t>
            </w:r>
          </w:p>
        </w:tc>
        <w:tc>
          <w:tcPr>
            <w:tcW w:w="2381" w:type="dxa"/>
            <w:tcBorders>
              <w:top w:val="single" w:sz="6" w:space="0" w:color="FFFFFF"/>
              <w:left w:val="single" w:sz="6" w:space="0" w:color="FFFFFF"/>
              <w:right w:val="single" w:sz="6" w:space="0" w:color="FFFFFF"/>
            </w:tcBorders>
            <w:vAlign w:val="center"/>
          </w:tcPr>
          <w:p>
            <w:pPr>
              <w:pStyle w:val="23"/>
            </w:pPr>
            <w:r>
              <w:t>预算年度：2021</w:t>
            </w:r>
          </w:p>
        </w:tc>
        <w:tc>
          <w:tcPr>
            <w:tcW w:w="4762" w:type="dxa"/>
            <w:gridSpan w:val="2"/>
            <w:tcBorders>
              <w:top w:val="single" w:sz="6" w:space="0" w:color="FFFFFF"/>
              <w:left w:val="single" w:sz="6" w:space="0" w:color="FFFFFF"/>
              <w:right w:val="single" w:sz="6" w:space="0" w:color="FFFFFF"/>
            </w:tcBorders>
            <w:vAlign w:val="center"/>
          </w:tcPr>
          <w:p>
            <w:pPr>
              <w:pStyle w:val="22"/>
            </w:pPr>
            <w:r>
              <w:t>单位：万元</w:t>
            </w:r>
          </w:p>
        </w:tc>
      </w:tr>
      <w:tr>
        <w:trPr>
          <w:trHeight w:val="369"/>
          <w:tblHeader/>
        </w:trPr>
        <w:tc>
          <w:tcPr>
            <w:tcW w:w="850" w:type="dxa"/>
            <w:vMerge w:val="restart"/>
            <w:tcBorders>
              <w:top w:val="single" w:sz="6" w:space="0" w:color="000000"/>
              <w:left w:val="single" w:sz="6" w:space="0" w:color="000000"/>
              <w:right w:val="single" w:sz="6" w:space="0" w:color="000000"/>
            </w:tcBorders>
            <w:vAlign w:val="center"/>
          </w:tcPr>
          <w:p>
            <w:pPr>
              <w:pStyle w:val="25"/>
            </w:pPr>
            <w:r>
              <w:t>序号</w:t>
            </w:r>
          </w:p>
        </w:tc>
        <w:tc>
          <w:tcPr>
            <w:tcW w:w="3798" w:type="dxa"/>
            <w:vMerge w:val="restart"/>
            <w:tcBorders>
              <w:top w:val="single" w:sz="6" w:space="0" w:color="000000"/>
              <w:left w:val="single" w:sz="6" w:space="0" w:color="000000"/>
              <w:right w:val="single" w:sz="6" w:space="0" w:color="000000"/>
            </w:tcBorders>
            <w:vAlign w:val="center"/>
          </w:tcPr>
          <w:p>
            <w:pPr>
              <w:pStyle w:val="25"/>
            </w:pPr>
            <w:r>
              <w:t>项  目</w:t>
            </w:r>
          </w:p>
        </w:tc>
        <w:tc>
          <w:tcPr>
            <w:tcW w:w="9524" w:type="dxa"/>
            <w:gridSpan w:val="4"/>
            <w:tcBorders>
              <w:top w:val="single" w:sz="6" w:space="0" w:color="000000"/>
              <w:left w:val="single" w:sz="6" w:space="0" w:color="000000"/>
              <w:right w:val="single" w:sz="6" w:space="0" w:color="000000"/>
            </w:tcBorders>
            <w:vAlign w:val="center"/>
          </w:tcPr>
          <w:p>
            <w:pPr>
              <w:pStyle w:val="25"/>
            </w:pPr>
            <w:r>
              <w:t>资 金 性 质</w:t>
            </w:r>
          </w:p>
        </w:tc>
      </w:tr>
      <w:tr>
        <w:trPr>
          <w:trHeight w:val="567"/>
          <w:tblHeader/>
        </w:trPr>
        <w:tc>
          <w:tcPr>
            <w:tcW w:w="850" w:type="dxa"/>
            <w:vMerge/>
            <w:tcBorders>
              <w:top w:val="single" w:sz="6" w:space="0" w:color="000000"/>
              <w:left w:val="single" w:sz="6" w:space="0" w:color="000000"/>
              <w:right w:val="single" w:sz="6" w:space="0" w:color="000000"/>
            </w:tcBorders>
          </w:tcPr>
          <w:p/>
        </w:tc>
        <w:tc>
          <w:tcPr>
            <w:tcW w:w="3798" w:type="dxa"/>
            <w:vMerge/>
            <w:tcBorders>
              <w:top w:val="single" w:sz="6" w:space="0" w:color="000000"/>
              <w:left w:val="single" w:sz="6" w:space="0" w:color="000000"/>
              <w:right w:val="single" w:sz="6" w:space="0" w:color="000000"/>
            </w:tcBorders>
          </w:tcPr>
          <w:p/>
        </w:tc>
        <w:tc>
          <w:tcPr>
            <w:tcW w:w="2381" w:type="dxa"/>
            <w:tcBorders>
              <w:top w:val="single" w:sz="6" w:space="0" w:color="000000"/>
              <w:left w:val="single" w:sz="6" w:space="0" w:color="000000"/>
              <w:right w:val="single" w:sz="6" w:space="0" w:color="000000"/>
            </w:tcBorders>
            <w:vAlign w:val="center"/>
          </w:tcPr>
          <w:p>
            <w:pPr>
              <w:pStyle w:val="25"/>
            </w:pPr>
            <w:r>
              <w:t>合计</w:t>
            </w:r>
          </w:p>
        </w:tc>
        <w:tc>
          <w:tcPr>
            <w:tcW w:w="2381" w:type="dxa"/>
            <w:tcBorders>
              <w:top w:val="single" w:sz="6" w:space="0" w:color="000000"/>
              <w:left w:val="single" w:sz="6" w:space="0" w:color="000000"/>
              <w:right w:val="single" w:sz="6" w:space="0" w:color="000000"/>
            </w:tcBorders>
            <w:vAlign w:val="center"/>
          </w:tcPr>
          <w:p>
            <w:pPr>
              <w:pStyle w:val="25"/>
            </w:pPr>
            <w:r>
              <w:t>一般公共预算              财政拨款</w:t>
            </w:r>
          </w:p>
        </w:tc>
        <w:tc>
          <w:tcPr>
            <w:tcW w:w="2381" w:type="dxa"/>
            <w:tcBorders>
              <w:top w:val="single" w:sz="6" w:space="0" w:color="000000"/>
              <w:left w:val="single" w:sz="6" w:space="0" w:color="000000"/>
              <w:right w:val="single" w:sz="6" w:space="0" w:color="000000"/>
            </w:tcBorders>
            <w:vAlign w:val="center"/>
          </w:tcPr>
          <w:p>
            <w:pPr>
              <w:pStyle w:val="25"/>
            </w:pPr>
            <w:r>
              <w:t>政府性基金                  预算拨款</w:t>
            </w:r>
          </w:p>
        </w:tc>
        <w:tc>
          <w:tcPr>
            <w:tcW w:w="2381" w:type="dxa"/>
            <w:tcBorders>
              <w:top w:val="single" w:sz="6" w:space="0" w:color="000000"/>
              <w:left w:val="single" w:sz="6" w:space="0" w:color="000000"/>
              <w:right w:val="single" w:sz="6" w:space="0" w:color="000000"/>
            </w:tcBorders>
            <w:vAlign w:val="center"/>
          </w:tcPr>
          <w:p>
            <w:pPr>
              <w:pStyle w:val="25"/>
            </w:pPr>
            <w:r>
              <w:t>国有资本经营              预算财政拨款</w:t>
            </w:r>
          </w:p>
        </w:tc>
      </w:tr>
      <w:tr>
        <w:trPr>
          <w:trHeight w:val="567"/>
          <w:tblHeader/>
        </w:trPr>
        <w:tc>
          <w:tcPr>
            <w:tcW w:w="850" w:type="dxa"/>
            <w:tcBorders>
              <w:top w:val="single" w:sz="6" w:space="0" w:color="000000"/>
              <w:left w:val="single" w:sz="6" w:space="0" w:color="000000"/>
              <w:right w:val="single" w:sz="6" w:space="0" w:color="000000"/>
            </w:tcBorders>
            <w:vAlign w:val="center"/>
          </w:tcPr>
          <w:p>
            <w:pPr>
              <w:pStyle w:val="25"/>
            </w:pPr>
            <w:r>
              <w:t>栏次</w:t>
            </w:r>
          </w:p>
        </w:tc>
        <w:tc>
          <w:tcPr>
            <w:tcW w:w="3798" w:type="dxa"/>
            <w:tcBorders>
              <w:top w:val="single" w:sz="6" w:space="0" w:color="000000"/>
              <w:left w:val="single" w:sz="6" w:space="0" w:color="000000"/>
              <w:right w:val="single" w:sz="6" w:space="0" w:color="000000"/>
            </w:tcBorders>
            <w:vAlign w:val="center"/>
          </w:tcPr>
          <w:p>
            <w:pPr>
              <w:pStyle w:val="25"/>
            </w:pPr>
            <w:r>
              <w:t>1</w:t>
            </w:r>
          </w:p>
        </w:tc>
        <w:tc>
          <w:tcPr>
            <w:tcW w:w="2381" w:type="dxa"/>
            <w:tcBorders>
              <w:top w:val="single" w:sz="6" w:space="0" w:color="000000"/>
              <w:left w:val="single" w:sz="6" w:space="0" w:color="000000"/>
              <w:right w:val="single" w:sz="6" w:space="0" w:color="000000"/>
            </w:tcBorders>
            <w:vAlign w:val="center"/>
          </w:tcPr>
          <w:p>
            <w:pPr>
              <w:pStyle w:val="25"/>
            </w:pPr>
            <w:r>
              <w:t>2</w:t>
            </w:r>
          </w:p>
        </w:tc>
        <w:tc>
          <w:tcPr>
            <w:tcW w:w="2381" w:type="dxa"/>
            <w:tcBorders>
              <w:top w:val="single" w:sz="6" w:space="0" w:color="000000"/>
              <w:left w:val="single" w:sz="6" w:space="0" w:color="000000"/>
              <w:right w:val="single" w:sz="6" w:space="0" w:color="000000"/>
            </w:tcBorders>
            <w:vAlign w:val="center"/>
          </w:tcPr>
          <w:p>
            <w:pPr>
              <w:pStyle w:val="25"/>
            </w:pPr>
            <w:r>
              <w:t>3</w:t>
            </w:r>
          </w:p>
        </w:tc>
        <w:tc>
          <w:tcPr>
            <w:tcW w:w="2381" w:type="dxa"/>
            <w:tcBorders>
              <w:top w:val="single" w:sz="6" w:space="0" w:color="000000"/>
              <w:left w:val="single" w:sz="6" w:space="0" w:color="000000"/>
              <w:right w:val="single" w:sz="6" w:space="0" w:color="000000"/>
            </w:tcBorders>
            <w:vAlign w:val="center"/>
          </w:tcPr>
          <w:p>
            <w:pPr>
              <w:pStyle w:val="25"/>
            </w:pPr>
            <w:r>
              <w:t>4</w:t>
            </w:r>
          </w:p>
        </w:tc>
        <w:tc>
          <w:tcPr>
            <w:tcW w:w="2381" w:type="dxa"/>
            <w:tcBorders>
              <w:top w:val="single" w:sz="6" w:space="0" w:color="000000"/>
              <w:left w:val="single" w:sz="6" w:space="0" w:color="000000"/>
              <w:right w:val="single" w:sz="6" w:space="0" w:color="000000"/>
            </w:tcBorders>
            <w:vAlign w:val="center"/>
          </w:tcPr>
          <w:p>
            <w:pPr>
              <w:pStyle w:val="25"/>
            </w:pPr>
            <w:r>
              <w:t>5</w:t>
            </w:r>
          </w:p>
        </w:tc>
      </w:tr>
      <w:tr>
        <w:trPr>
          <w:trHeight w:val="567"/>
        </w:trPr>
        <w:tc>
          <w:tcPr>
            <w:tcW w:w="850" w:type="dxa"/>
            <w:tcBorders>
              <w:top w:val="single" w:sz="6" w:space="0" w:color="000000"/>
              <w:left w:val="single" w:sz="6" w:space="0" w:color="000000"/>
              <w:right w:val="single" w:sz="6" w:space="0" w:color="000000"/>
            </w:tcBorders>
            <w:vAlign w:val="center"/>
          </w:tcPr>
          <w:p>
            <w:pPr>
              <w:pStyle w:val="28"/>
            </w:pPr>
            <w:r>
              <w:rPr>
                <w:rFonts w:ascii="宋体" w:eastAsia="宋体" w:cs="Arial"/>
                <w:color w:val="auto"/>
                <w:sz w:val="18"/>
              </w:rPr>
              <w:t>1</w:t>
            </w:r>
          </w:p>
        </w:tc>
        <w:tc>
          <w:tcPr>
            <w:tcW w:w="3798" w:type="dxa"/>
            <w:tcBorders>
              <w:top w:val="single" w:sz="6" w:space="0" w:color="000000"/>
              <w:left w:val="single" w:sz="6" w:space="0" w:color="000000"/>
              <w:right w:val="single" w:sz="6" w:space="0" w:color="000000"/>
            </w:tcBorders>
            <w:vAlign w:val="center"/>
          </w:tcPr>
          <w:p>
            <w:pPr>
              <w:pStyle w:val="27"/>
            </w:pPr>
            <w:r>
              <w:rPr>
                <w:rFonts w:ascii="宋体" w:eastAsia="宋体" w:cs="Arial"/>
                <w:color w:val="auto"/>
                <w:sz w:val="18"/>
              </w:rPr>
              <w:t>合计</w:t>
            </w:r>
          </w:p>
        </w:tc>
        <w:tc>
          <w:tcPr>
            <w:tcW w:w="2381" w:type="dxa"/>
            <w:tcBorders>
              <w:top w:val="single" w:sz="6" w:space="0" w:color="000000"/>
              <w:left w:val="single" w:sz="6" w:space="0" w:color="000000"/>
              <w:right w:val="single" w:sz="6" w:space="0" w:color="000000"/>
            </w:tcBorders>
            <w:vAlign w:val="center"/>
          </w:tcPr>
          <w:p>
            <w:pPr>
              <w:pStyle w:val="26"/>
            </w:pPr>
            <w:r>
              <w:rPr>
                <w:rFonts w:ascii="宋体" w:eastAsia="宋体" w:cs="Arial"/>
                <w:color w:val="auto"/>
                <w:sz w:val="18"/>
              </w:rPr>
              <w:t>0.00</w:t>
            </w:r>
          </w:p>
        </w:tc>
        <w:tc>
          <w:tcPr>
            <w:tcW w:w="2381" w:type="dxa"/>
            <w:tcBorders>
              <w:top w:val="single" w:sz="6" w:space="0" w:color="000000"/>
              <w:left w:val="single" w:sz="6" w:space="0" w:color="000000"/>
              <w:right w:val="single" w:sz="6" w:space="0" w:color="000000"/>
            </w:tcBorders>
            <w:vAlign w:val="center"/>
          </w:tcPr>
          <w:p>
            <w:pPr>
              <w:pStyle w:val="26"/>
            </w:pPr>
          </w:p>
        </w:tc>
        <w:tc>
          <w:tcPr>
            <w:tcW w:w="2381" w:type="dxa"/>
            <w:tcBorders>
              <w:top w:val="single" w:sz="6" w:space="0" w:color="000000"/>
              <w:left w:val="single" w:sz="6" w:space="0" w:color="000000"/>
              <w:right w:val="single" w:sz="6" w:space="0" w:color="000000"/>
            </w:tcBorders>
            <w:vAlign w:val="center"/>
          </w:tcPr>
          <w:p>
            <w:pPr>
              <w:pStyle w:val="26"/>
            </w:pPr>
          </w:p>
        </w:tc>
        <w:tc>
          <w:tcPr>
            <w:tcW w:w="2381" w:type="dxa"/>
            <w:tcBorders>
              <w:top w:val="single" w:sz="6" w:space="0" w:color="000000"/>
              <w:left w:val="single" w:sz="6" w:space="0" w:color="000000"/>
              <w:right w:val="single" w:sz="6" w:space="0" w:color="000000"/>
            </w:tcBorders>
            <w:vAlign w:val="center"/>
          </w:tcPr>
          <w:p>
            <w:pPr>
              <w:pStyle w:val="26"/>
            </w:pPr>
          </w:p>
        </w:tc>
      </w:tr>
    </w:tbl>
    <w:p>
      <w:pPr>
        <w:spacing w:before="0" w:after="0" w:line="240" w:lineRule="auto"/>
        <w:ind w:firstLine="420"/>
        <w:jc w:val="left"/>
        <w:outlineLvl w:val="9"/>
        <w:sectPr>
          <w:pgSz w:w="16840" w:h="11900" w:orient="landscape"/>
          <w:pgMar w:top="1361" w:right="1020" w:bottom="1361" w:left="1020" w:header="720" w:footer="720" w:gutter="0"/>
          <w:docGrid w:linePitch="326" w:charSpace="0"/>
        </w:sectPr>
      </w:pPr>
      <w:r>
        <w:rPr>
          <w:rFonts w:ascii="方正书宋_GBK" w:eastAsia="方正书宋_GBK" w:cs="方正书宋_GBK"/>
          <w:color w:val="000000"/>
          <w:sz w:val="21"/>
        </w:rPr>
        <w:t>注：我单位无“三公”经费支出表预算，空表列示。</w:t>
      </w:r>
    </w:p>
    <w:p>
      <w:pPr>
        <w:spacing w:before="0" w:after="0" w:line="240" w:lineRule="auto"/>
        <w:ind w:firstLine="0"/>
        <w:jc w:val="center"/>
        <w:outlineLvl w:val="4"/>
      </w:pPr>
      <w:r>
        <w:rPr>
          <w:rFonts w:ascii="方正小标宋_GBK" w:eastAsia="方正小标宋_GBK" w:cs="方正小标宋_GBK"/>
          <w:b w:val="0"/>
          <w:color w:val="000000"/>
          <w:sz w:val="44"/>
        </w:rPr>
        <w:t>保定市生态环境局涞源县分局本级2021年单位预算信息公开情况说明</w:t>
      </w:r>
    </w:p>
    <w:p>
      <w:pPr>
        <w:spacing w:before="0" w:after="0" w:line="500" w:lineRule="exact"/>
        <w:ind w:firstLine="560"/>
        <w:jc w:val="left"/>
        <w:outlineLvl w:val="9"/>
      </w:pPr>
      <w:r>
        <w:rPr>
          <w:rFonts w:ascii="Times New Roman" w:eastAsia="方正仿宋_GBK" w:cs="Times New Roman" w:hAnsi="Times New Roman"/>
          <w:b w:val="0"/>
          <w:color w:val="000000"/>
          <w:sz w:val="28"/>
        </w:rPr>
        <w:t>按照《中华人民共和国预算法》、《地方预决算公开操作规程》和《关于进一步推进预算公开工作的实施意见》规定，现将保定市生态环境局涞源县分局本级2021年单位预算公开如下：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40"/>
      </w:pPr>
      <w:r>
        <w:t>根据《保定市生态环境局涞源县分局职能配置、内设机构和人员编制规定》， 保定市生态环境局涞源县分局的主要职责是：</w:t>
      </w:r>
    </w:p>
    <w:p>
      <w:pPr>
        <w:pStyle w:val="40"/>
      </w:pPr>
      <w:r>
        <w:t>（一）贯彻执行国家、省环境保护的法律、法规和方针政策；制订全县环境保护政策和管理办法，并监督实施。</w:t>
      </w:r>
    </w:p>
    <w:p>
      <w:pPr>
        <w:pStyle w:val="40"/>
      </w:pPr>
      <w:r>
        <w:t>（二）制订全县环境保护规划和计划并组织实施；审核县城总体规划中的环境保护内容；组织编制全县环境功能区划；监督管理环境保护资金和环境保护补助资金的使用。</w:t>
      </w:r>
    </w:p>
    <w:p>
      <w:pPr>
        <w:pStyle w:val="40"/>
      </w:pPr>
      <w:r>
        <w:t>（三）制订环保产业政策和发展规划，贯彻执行并组织实施国家有关大气、水体、土壤、噪声、固体废物、有毒化学品及机动车等污染防治的法律和法规；贯彻执行国家、省环境质量和污染物排放标准，制定有关环境保护规范性文件。</w:t>
      </w:r>
    </w:p>
    <w:p>
      <w:pPr>
        <w:pStyle w:val="40"/>
      </w:pPr>
      <w:r>
        <w:t>（四）负责全县大气、水体、土壤等环境保护工作；监督管理全县废水、废气、废渣、粉尘、恶臭、放射性物质，有毒化学品及噪声、振动、电磁辐射等污染防治工作；调查处理重大污染事故和生态破坏事件；受县政府委托协调处理县际环境污染纠纷；处理县内、跨行政区的污染纠纷；组织开展全县环境执法检查活动。</w:t>
      </w:r>
    </w:p>
    <w:p>
      <w:pPr>
        <w:pStyle w:val="40"/>
      </w:pPr>
      <w:r>
        <w:t>（五）负责全县建设项目的环境管理工作；组织全县环境质量状况调查和区域环境质量评价；组织实施排污申报登记、排污许可证、环境影响评价、“三同时”（建设项目主体与环保设施同时设计、同时施工、同时投产）等环境管理工作。</w:t>
      </w:r>
    </w:p>
    <w:p>
      <w:pPr>
        <w:pStyle w:val="40"/>
      </w:pPr>
      <w:r>
        <w:t>（六）负责全县环境监测、环境统计、环境信息工作；建立环境监测制度；组织全县环境质量监测和污染源监督性监测；编报涞源县环境质量报告书；按规定发布城镇各流域环境质量状况。</w:t>
      </w:r>
    </w:p>
    <w:p>
      <w:pPr>
        <w:pStyle w:val="40"/>
      </w:pPr>
      <w:r>
        <w:t>（七）监督管理全县自然环境保护和农村生态环境保护工作；指导城乡环境综合整治；指导全县生态示范区和生态农业建设。</w:t>
      </w:r>
    </w:p>
    <w:p>
      <w:pPr>
        <w:pStyle w:val="40"/>
      </w:pPr>
      <w:r>
        <w:t>（八）组织环境科研攻关，管理环境科技成果；跟踪国内外最新环境保护科技动态，吸收消化实用科技成果，推动环境科学技术进步；组织协调全县环境保护国际间交流与合作；负责环保产品认证，环境标志的管理和推荐工作。</w:t>
      </w:r>
    </w:p>
    <w:p>
      <w:pPr>
        <w:pStyle w:val="40"/>
      </w:pPr>
      <w:r>
        <w:t>（九）指导全县环境保护队伍建设；负责组织开展全县环境保护宣传教育工作。</w:t>
      </w:r>
    </w:p>
    <w:p>
      <w:pPr>
        <w:pStyle w:val="40"/>
      </w:pPr>
      <w:r>
        <w:t>（十）承办县政府交办的其它工作。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1843"/>
        <w:gridCol w:w="2126"/>
        <w:gridCol w:w="3827"/>
      </w:tblGrid>
      <w:tr>
        <w:trPr>
          <w:trHeight w:val="567"/>
          <w:tblHeader/>
        </w:trPr>
        <w:tc>
          <w:tcPr>
            <w:tcW w:w="5669" w:type="dxa"/>
            <w:tcBorders>
              <w:left w:val="single" w:sz="6" w:space="0" w:color="000000"/>
              <w:right w:val="single" w:sz="6" w:space="0" w:color="000000"/>
            </w:tcBorders>
            <w:vAlign w:val="center"/>
          </w:tcPr>
          <w:p>
            <w:pPr>
              <w:pStyle w:val="25"/>
            </w:pPr>
            <w:r>
              <w:t>单位名称</w:t>
            </w:r>
          </w:p>
        </w:tc>
        <w:tc>
          <w:tcPr>
            <w:tcW w:w="1843" w:type="dxa"/>
            <w:tcBorders>
              <w:left w:val="single" w:sz="6" w:space="0" w:color="000000"/>
              <w:right w:val="single" w:sz="6" w:space="0" w:color="000000"/>
            </w:tcBorders>
            <w:vAlign w:val="center"/>
          </w:tcPr>
          <w:p>
            <w:pPr>
              <w:pStyle w:val="25"/>
            </w:pPr>
            <w:r>
              <w:t>单位性质</w:t>
            </w:r>
          </w:p>
        </w:tc>
        <w:tc>
          <w:tcPr>
            <w:tcW w:w="2126" w:type="dxa"/>
            <w:tcBorders>
              <w:left w:val="single" w:sz="6" w:space="0" w:color="000000"/>
              <w:right w:val="single" w:sz="6" w:space="0" w:color="000000"/>
            </w:tcBorders>
            <w:vAlign w:val="center"/>
          </w:tcPr>
          <w:p>
            <w:pPr>
              <w:pStyle w:val="25"/>
            </w:pPr>
            <w:r>
              <w:t>单位规格</w:t>
            </w:r>
          </w:p>
        </w:tc>
        <w:tc>
          <w:tcPr>
            <w:tcW w:w="3827" w:type="dxa"/>
            <w:tcBorders>
              <w:left w:val="single" w:sz="6" w:space="0" w:color="000000"/>
              <w:right w:val="single" w:sz="6" w:space="0" w:color="000000"/>
            </w:tcBorders>
            <w:vAlign w:val="center"/>
          </w:tcPr>
          <w:p>
            <w:pPr>
              <w:pStyle w:val="25"/>
            </w:pPr>
            <w:r>
              <w:t>经费保障形式</w:t>
            </w:r>
          </w:p>
        </w:tc>
      </w:tr>
      <w:tr>
        <w:trPr>
          <w:trHeight w:val="369"/>
        </w:trPr>
        <w:tc>
          <w:tcPr>
            <w:tcW w:w="5669" w:type="dxa"/>
            <w:tcBorders>
              <w:top w:val="single" w:sz="6" w:space="0" w:color="000000"/>
              <w:left w:val="single" w:sz="6" w:space="0" w:color="000000"/>
              <w:right w:val="single" w:sz="6" w:space="0" w:color="000000"/>
            </w:tcBorders>
            <w:vAlign w:val="center"/>
          </w:tcPr>
          <w:p>
            <w:pPr>
              <w:pStyle w:val="27"/>
            </w:pPr>
            <w:r>
              <w:t>保定市生态环境局涞源县分局本级</w:t>
            </w:r>
          </w:p>
        </w:tc>
        <w:tc>
          <w:tcPr>
            <w:tcW w:w="1843" w:type="dxa"/>
            <w:tcBorders>
              <w:top w:val="single" w:sz="6" w:space="0" w:color="000000"/>
              <w:left w:val="single" w:sz="6" w:space="0" w:color="000000"/>
              <w:right w:val="single" w:sz="6" w:space="0" w:color="000000"/>
            </w:tcBorders>
            <w:vAlign w:val="center"/>
          </w:tcPr>
          <w:p>
            <w:pPr>
              <w:pStyle w:val="28"/>
            </w:pPr>
            <w:r>
              <w:t>行政</w:t>
            </w:r>
          </w:p>
        </w:tc>
        <w:tc>
          <w:tcPr>
            <w:tcW w:w="2126" w:type="dxa"/>
            <w:tcBorders>
              <w:top w:val="single" w:sz="6" w:space="0" w:color="000000"/>
              <w:left w:val="single" w:sz="6" w:space="0" w:color="000000"/>
              <w:right w:val="single" w:sz="6" w:space="0" w:color="000000"/>
            </w:tcBorders>
            <w:vAlign w:val="center"/>
          </w:tcPr>
          <w:p>
            <w:pPr>
              <w:pStyle w:val="28"/>
            </w:pPr>
            <w:r>
              <w:t>正科级</w:t>
            </w:r>
          </w:p>
        </w:tc>
        <w:tc>
          <w:tcPr>
            <w:tcW w:w="3827" w:type="dxa"/>
            <w:tcBorders>
              <w:top w:val="single" w:sz="6" w:space="0" w:color="000000"/>
              <w:left w:val="single" w:sz="6" w:space="0" w:color="000000"/>
              <w:right w:val="single" w:sz="6" w:space="0" w:color="000000"/>
            </w:tcBorders>
            <w:vAlign w:val="center"/>
          </w:tcPr>
          <w:p>
            <w:pPr>
              <w:pStyle w:val="28"/>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b w:val="0"/>
          <w:color w:val="000000"/>
          <w:sz w:val="28"/>
        </w:rPr>
        <w:t>按照预算管理有关规定，目前我单位预算的编制实行综合预算管理，即全部收入和支出都反映在预算中。</w:t>
      </w:r>
    </w:p>
    <w:p>
      <w:pPr>
        <w:pStyle w:val="41"/>
      </w:pPr>
      <w:r>
        <w:t>1、收入说明</w:t>
      </w:r>
    </w:p>
    <w:p>
      <w:pPr>
        <w:pStyle w:val="41"/>
      </w:pPr>
      <w:r>
        <w:t>反映本部门当年全部收入。2021年预算收入1176.13万元，其中：一般公共预算收入1176.13万元，基金预算收入0万元，国有资本经营预算收入0万元，财政专户核拨收入0万元，单位资金收入0万元，上年结转结余0万元。</w:t>
      </w:r>
    </w:p>
    <w:p>
      <w:pPr>
        <w:pStyle w:val="41"/>
      </w:pPr>
      <w:r>
        <w:t>2、支出说明</w:t>
      </w:r>
    </w:p>
    <w:p>
      <w:pPr>
        <w:pStyle w:val="41"/>
      </w:pPr>
      <w:r>
        <w:t>收支预算总表支出栏、基本支出表、项目支出表按经济分类和支出功能分类科目编制，反映保定市生态环境局涞源县分局预算中支出预算的总体情况。2021年支出预算1176.13万元，其中基本支出135.83万元，包括人员经费78.76万元和日常公用经费57.07万元；项目支出1040.3万元，主要为项目支出里面的人员经费和公用经费支出。</w:t>
      </w:r>
    </w:p>
    <w:p>
      <w:pPr>
        <w:pStyle w:val="41"/>
      </w:pPr>
      <w:r>
        <w:t>3、比上年增减情况</w:t>
      </w:r>
    </w:p>
    <w:p>
      <w:pPr>
        <w:pStyle w:val="41"/>
      </w:pPr>
      <w:r>
        <w:t>2021年预算收支安排1176.13万元，较2020年预算减少168.54万元，其中：基本支出增加124.65万元，主要为增加人员经费支出和公用经费；项目支出减少293.19万元，主要是污染防治专项资金减少。</w:t>
      </w:r>
    </w:p>
    <w:p>
      <w:pPr>
        <w:spacing w:before="10" w:after="10" w:line="240" w:lineRule="auto"/>
        <w:ind w:firstLine="640"/>
        <w:jc w:val="left"/>
        <w:outlineLvl w:val="5"/>
      </w:pPr>
      <w:r>
        <w:rPr>
          <w:rFonts w:ascii="黑体" w:eastAsia="黑体" w:cs="黑体"/>
          <w:color w:val="000000"/>
          <w:sz w:val="32"/>
        </w:rPr>
        <w:t>三、机关运行经费安排情况</w:t>
      </w:r>
    </w:p>
    <w:p>
      <w:pPr>
        <w:pStyle w:val="42"/>
        <w:rPr>
          <w:rFonts w:eastAsia="方正仿宋_GBK"/>
          <w:lang w:val="en-US" w:eastAsia="zh-CN"/>
        </w:rPr>
      </w:pPr>
      <w:r>
        <w:rPr>
          <w:rFonts w:hint="eastAsia"/>
          <w:lang w:val="en-US" w:eastAsia="zh-CN"/>
        </w:rPr>
        <w:t>本年度我部门机关运行经费</w:t>
      </w:r>
      <w:r>
        <w:rPr>
          <w:lang w:val="en-US" w:eastAsia="zh-CN"/>
        </w:rPr>
        <w:t>57.07</w:t>
      </w:r>
      <w:r>
        <w:rPr>
          <w:rFonts w:hint="eastAsia"/>
          <w:lang w:val="en-US" w:eastAsia="zh-CN"/>
        </w:rPr>
        <w:t>万元，主要用于办公经费。</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pStyle w:val="43"/>
      </w:pPr>
      <w:r>
        <w:t>20</w:t>
      </w:r>
      <w:r>
        <w:rPr>
          <w:rFonts w:hint="eastAsia"/>
          <w:lang w:val="en-US" w:eastAsia="zh-CN"/>
        </w:rPr>
        <w:t>19年机构改革</w:t>
      </w:r>
      <w:r>
        <w:t>，</w:t>
      </w:r>
      <w:r>
        <w:rPr>
          <w:rFonts w:hint="eastAsia"/>
          <w:lang w:val="en-US" w:eastAsia="zh-CN"/>
        </w:rPr>
        <w:t>上划到市生态环境局，</w:t>
      </w:r>
      <w:r>
        <w:t>“三公经费”</w:t>
      </w:r>
      <w:r>
        <w:rPr>
          <w:rFonts w:hint="eastAsia"/>
          <w:lang w:val="en-US" w:eastAsia="zh-CN"/>
        </w:rPr>
        <w:t>在市局做预算</w:t>
      </w:r>
      <w:r>
        <w:t>。</w:t>
      </w:r>
    </w:p>
    <w:p>
      <w:pPr>
        <w:numPr>
          <w:ilvl w:val="0"/>
          <w:numId w:val="1"/>
        </w:numPr>
        <w:spacing w:before="10" w:after="10" w:line="240" w:lineRule="auto"/>
        <w:ind w:left="0" w:firstLine="640"/>
        <w:jc w:val="left"/>
        <w:outlineLvl w:val="5"/>
        <w:rPr>
          <w:rFonts w:ascii="黑体" w:eastAsia="黑体" w:cs="黑体"/>
          <w:color w:val="000000"/>
          <w:sz w:val="32"/>
        </w:rPr>
      </w:pPr>
      <w:r>
        <w:rPr>
          <w:rFonts w:ascii="黑体" w:eastAsia="黑体" w:cs="黑体"/>
          <w:color w:val="000000"/>
          <w:sz w:val="32"/>
        </w:rPr>
        <w:t>预算绩效信息</w:t>
      </w:r>
    </w:p>
    <w:p>
      <w:pPr>
        <w:spacing w:line="600" w:lineRule="exact"/>
        <w:ind w:firstLineChars="200" w:firstLine="480"/>
        <w:outlineLvl w:val="0"/>
        <w:rPr>
          <w:rFonts w:ascii="仿宋" w:eastAsia="仿宋" w:cs="仿宋" w:hint="eastAsia"/>
          <w:sz w:val="32"/>
          <w:szCs w:val="32"/>
        </w:rPr>
      </w:pPr>
      <w:r>
        <w:t>（一）</w:t>
      </w:r>
      <w:r>
        <w:rPr>
          <w:rFonts w:ascii="仿宋" w:eastAsia="仿宋" w:cs="仿宋" w:hint="eastAsia"/>
          <w:sz w:val="32"/>
          <w:szCs w:val="32"/>
        </w:rPr>
        <w:t>总体绩效目标</w:t>
      </w:r>
    </w:p>
    <w:p>
      <w:pPr>
        <w:spacing w:line="500" w:lineRule="exact"/>
        <w:ind w:firstLineChars="200" w:firstLine="560"/>
        <w:jc w:val="left"/>
        <w:rPr>
          <w:rFonts w:eastAsia="方正仿宋_GBK" w:cs="仿宋" w:hint="eastAsia"/>
          <w:sz w:val="28"/>
        </w:rPr>
      </w:pPr>
      <w:r>
        <w:rPr>
          <w:rFonts w:eastAsia="方正仿宋_GBK" w:cs="仿宋" w:hint="eastAsia"/>
          <w:sz w:val="28"/>
        </w:rPr>
        <w:t>总体绩效目标：</w:t>
      </w:r>
    </w:p>
    <w:p>
      <w:pPr>
        <w:spacing w:line="500" w:lineRule="exact"/>
        <w:ind w:firstLineChars="200" w:firstLine="560"/>
        <w:jc w:val="left"/>
        <w:rPr>
          <w:rFonts w:eastAsia="方正仿宋_GBK" w:cs="仿宋" w:hint="eastAsia"/>
          <w:sz w:val="28"/>
        </w:rPr>
      </w:pPr>
      <w:r>
        <w:rPr>
          <w:rFonts w:eastAsia="方正仿宋_GBK" w:cs="仿宋" w:hint="eastAsia"/>
          <w:sz w:val="28"/>
        </w:rPr>
        <w:t>负责全县大气、水体、土壤等环境保护工作，监 督管理全县废 水、废气、废渣、粉尘、恶臭、放射性物质，有毒化学品及噪声、振动、电磁辐射等 污染防治工作，调查处理重大污妙棋事故和生态破坏事件，受县政府委托协调处理县际环境污染纠纷，处理县内、跨行政区的污染纠纷，组织开展全县环境执法检查活动，全县环境质量状况调查和区域环境质理评价，全县环境监测和污染源监督性监测，发布城镇各流域环境质量状况，全县自然环境保护和农村生态环境保护工作——指导全县生态示范区和生态农业建设，努力为我县创造青山，绿水，蓝天的城市。</w:t>
      </w:r>
    </w:p>
    <w:p>
      <w:pPr>
        <w:spacing w:line="600" w:lineRule="exact"/>
        <w:outlineLvl w:val="0"/>
      </w:pPr>
      <w:r>
        <w:rPr>
          <w:rFonts w:ascii="仿宋" w:eastAsia="仿宋" w:cs="仿宋" w:hint="eastAsia"/>
          <w:sz w:val="32"/>
          <w:szCs w:val="32"/>
        </w:rPr>
        <w:t xml:space="preserve">   </w:t>
      </w:r>
      <w:r>
        <w:rPr>
          <w:rFonts w:ascii="Times New Roman" w:eastAsia="方正仿宋_GBK" w:cs="Times New Roman" w:hAnsi="Times New Roman"/>
          <w:color w:val="000000"/>
          <w:sz w:val="28"/>
        </w:rPr>
        <w:t>（二）分项绩效目标</w:t>
      </w:r>
    </w:p>
    <w:p>
      <w:pPr>
        <w:spacing w:line="500" w:lineRule="exact"/>
        <w:ind w:firstLineChars="200" w:firstLine="560"/>
        <w:jc w:val="left"/>
        <w:outlineLvl w:val="1"/>
        <w:rPr>
          <w:rFonts w:ascii="仿宋" w:eastAsia="仿宋" w:cs="仿宋" w:hint="eastAsia"/>
          <w:sz w:val="28"/>
        </w:rPr>
      </w:pPr>
      <w:r>
        <w:rPr>
          <w:rFonts w:ascii="仿宋" w:eastAsia="仿宋" w:cs="仿宋" w:hint="eastAsia"/>
          <w:sz w:val="28"/>
        </w:rPr>
        <w:t>二、分项绩效目标</w:t>
      </w:r>
      <w:r>
        <w:rPr>
          <w:rFonts w:ascii="仿宋" w:eastAsia="仿宋" w:cs="仿宋" w:hint="eastAsia"/>
          <w:vanish/>
        </w:rPr>
        <w:t>{</w:t>
      </w:r>
      <w:r>
        <w:rPr>
          <w:rFonts w:ascii="仿宋" w:eastAsia="仿宋" w:cs="仿宋" w:hint="eastAsia"/>
          <w:vanish/>
          <w:sz w:val="28"/>
        </w:rPr>
        <w:t xml:space="preserve"> TC </w:t>
      </w:r>
      <w:bookmarkStart w:id="0" w:name="_Toc31733466"/>
      <w:r>
        <w:rPr>
          <w:rFonts w:ascii="仿宋" w:eastAsia="仿宋" w:cs="仿宋" w:hint="eastAsia"/>
          <w:vanish/>
          <w:sz w:val="28"/>
        </w:rPr>
        <w:t>分项绩效目标</w:t>
      </w:r>
      <w:bookmarkEnd w:id="0"/>
      <w:r>
        <w:rPr>
          <w:rFonts w:ascii="仿宋" w:eastAsia="仿宋" w:cs="仿宋" w:hint="eastAsia"/>
          <w:vanish/>
          <w:sz w:val="28"/>
        </w:rPr>
        <w:t xml:space="preserve"> \f A \l 1 }</w:t>
      </w:r>
    </w:p>
    <w:p>
      <w:pPr>
        <w:spacing w:line="500" w:lineRule="exact"/>
        <w:ind w:firstLineChars="200" w:firstLine="560"/>
        <w:rPr>
          <w:rFonts w:eastAsia="方正仿宋_GBK" w:cs="仿宋" w:hint="eastAsia"/>
          <w:sz w:val="28"/>
        </w:rPr>
      </w:pPr>
      <w:r>
        <w:rPr>
          <w:rFonts w:eastAsia="方正仿宋_GBK" w:cs="仿宋" w:hint="eastAsia"/>
          <w:sz w:val="28"/>
        </w:rPr>
        <w:t>1、环境监测与信息，组织和实施全县各项环境要素的监测、调查、预报预警、统计分析及评价，开展污染监督 监测，污染事故应急监测，污染纠纷监测，保障环境质量自动监测站（网）正常运行，进行环境信息系统建设，为环境管理提供技术支持 ，组织全县监测培训，完成环境数据的综合分析，数据发布，环境质量预警等多项工作，环境应急监测，保证政府及时采取对策，降低或减少环境灾害，完成全县火电行业的监督监测，维护好全县水质自动站及空气自动站的运行。</w:t>
      </w:r>
    </w:p>
    <w:p>
      <w:pPr>
        <w:spacing w:line="500" w:lineRule="exact"/>
        <w:ind w:firstLineChars="200" w:firstLine="560"/>
        <w:rPr>
          <w:rFonts w:eastAsia="方正仿宋_GBK" w:cs="仿宋" w:hint="eastAsia"/>
          <w:sz w:val="28"/>
        </w:rPr>
      </w:pPr>
      <w:r>
        <w:rPr>
          <w:rFonts w:eastAsia="方正仿宋_GBK" w:cs="仿宋" w:hint="eastAsia"/>
          <w:sz w:val="28"/>
        </w:rPr>
        <w:t>2、环境监察与督查，组织全县环境监察人员岗位培训，落实全县稽查工作，对环境违法案件进行查处，开展全县环境保护督察工作。完成环境监察人员岗位培训，切实提高环境监察基层人员的素质，严厉打击企业自动监控设施不正常运行，偷排漏放，超标排放，自动监控数据弄虚作假等违法行为，有效提升我县环境监管能力和水平，确保县电力企业排污费足额征收，对重占案件进行直接查处，促进全县环境质量整体改进。</w:t>
      </w:r>
    </w:p>
    <w:p>
      <w:pPr>
        <w:spacing w:line="500" w:lineRule="exact"/>
        <w:ind w:firstLineChars="200" w:firstLine="560"/>
        <w:rPr>
          <w:rFonts w:eastAsia="方正仿宋_GBK" w:cs="仿宋" w:hint="eastAsia"/>
          <w:sz w:val="28"/>
        </w:rPr>
      </w:pPr>
      <w:r>
        <w:rPr>
          <w:rFonts w:eastAsia="方正仿宋_GBK" w:cs="仿宋" w:hint="eastAsia"/>
          <w:sz w:val="28"/>
        </w:rPr>
        <w:t>3、环境安全与应急处置 。坚持 预防为主，防范环境风险，完善环境应急管理体系建设，环境应急值守工作规范化，系统化，建立健全本县重污染应急演练工作，建立事预防、事中响应，事后管理的环境应急工作机制，妥善处置 突发环境事件，建立健全应急救援体系，有效控制、减轻环境风险，最大程度避免突发环境事件对环境造成的损失和危害。通过开展《重污染天气应急预案》的备案工作，使本县有效的应对重污染天气，有效减轻恶劣天气造成的危害。</w:t>
      </w:r>
    </w:p>
    <w:p>
      <w:pPr>
        <w:spacing w:line="500" w:lineRule="exact"/>
        <w:ind w:firstLineChars="200" w:firstLine="560"/>
        <w:rPr>
          <w:rFonts w:eastAsia="方正仿宋_GBK" w:cs="仿宋" w:hint="eastAsia"/>
          <w:sz w:val="28"/>
        </w:rPr>
      </w:pPr>
      <w:r>
        <w:rPr>
          <w:rFonts w:eastAsia="方正仿宋_GBK" w:cs="仿宋" w:hint="eastAsia"/>
          <w:sz w:val="28"/>
        </w:rPr>
        <w:t>4、水污染防治，加强河流湖泊水污染防治，地下水污染防治、近岸海域水污染防治，饮用水源保护、污染水体整治，水污染源监督管理、水污染防治和水环境保护工程，编制本县重污染流域治理方案完善更新本县集中式地下水饮用水水源地和主要地下水污染源清单，同时动态更新城镇集中式地下水饮用水水源补给区内的污染源清单，对答合重点调查对象筛选原则的集中式城镇饮用水水源补给区、化工类工业污染源开展详细的地下水基础环境状况调查评估完成取样和分析工作，制定污染源的负荷削减和河道生态修算方案。</w:t>
      </w:r>
    </w:p>
    <w:p>
      <w:pPr>
        <w:spacing w:line="500" w:lineRule="exact"/>
        <w:ind w:firstLineChars="200" w:firstLine="560"/>
        <w:rPr>
          <w:rFonts w:eastAsia="方正仿宋_GBK" w:cs="仿宋" w:hint="eastAsia"/>
          <w:sz w:val="28"/>
        </w:rPr>
      </w:pPr>
      <w:r>
        <w:rPr>
          <w:rFonts w:eastAsia="方正仿宋_GBK" w:cs="仿宋" w:hint="eastAsia"/>
          <w:sz w:val="28"/>
        </w:rPr>
        <w:t xml:space="preserve"> 5、机动车污染防治，对机动车污染防治实施统一监督管理，加强机动车环保监测单位运行监督管理，配合完成对全县设施污染排放和老旧车黄标车的淘汰工作强化机动车污染监督管理工作，加强对机动车排放检验机构的监督管理，配合圆满完成老旧车淘汰工作，完成全县机动车污染监管平台的功能测试，并运行该 平台。</w:t>
      </w:r>
    </w:p>
    <w:p>
      <w:pPr>
        <w:spacing w:line="500" w:lineRule="exact"/>
        <w:ind w:firstLineChars="200" w:firstLine="560"/>
        <w:rPr>
          <w:rFonts w:eastAsia="方正仿宋_GBK" w:cs="仿宋" w:hint="eastAsia"/>
          <w:sz w:val="28"/>
        </w:rPr>
      </w:pPr>
      <w:r>
        <w:rPr>
          <w:rFonts w:eastAsia="方正仿宋_GBK" w:cs="仿宋" w:hint="eastAsia"/>
          <w:sz w:val="28"/>
        </w:rPr>
        <w:t>6.固体废弃物，化学品、重金属等污染防治，加强固体废弃物、重金属、土壤、进口废物等污染防治。强化危废规汇聚化管理，遏制非污转移，提高固体废物特别是危险废物的减量化，资源化和无害化处置 水平，降低环境风险，保障生态安全，核定废弃电器电子产品处理等污染防治管理水平，委托第三方机构开展废弃电器电子产品拆解处理企业技术性审核，保证处理企业申报拆除处理种类和数量的真实性。</w:t>
      </w:r>
    </w:p>
    <w:p>
      <w:pPr>
        <w:spacing w:line="500" w:lineRule="exact"/>
        <w:ind w:firstLineChars="200" w:firstLine="560"/>
        <w:rPr>
          <w:rFonts w:eastAsia="方正仿宋_GBK" w:cs="仿宋" w:hint="eastAsia"/>
          <w:sz w:val="28"/>
        </w:rPr>
      </w:pPr>
      <w:r>
        <w:rPr>
          <w:rFonts w:eastAsia="方正仿宋_GBK" w:cs="仿宋" w:hint="eastAsia"/>
          <w:sz w:val="28"/>
        </w:rPr>
        <w:t>7.重点污染治理工程，加强对影响全县环境质量的重点污染物排放进行防治，引导促进全县环境保护污染减排工程建设，推动污录歌综合防治活动开展，开展全县产能过剩行业环保认定、备案核查工作，推动污染防治工作开展，改善我县环境质量。</w:t>
      </w:r>
    </w:p>
    <w:p>
      <w:pPr>
        <w:spacing w:line="500" w:lineRule="exact"/>
        <w:ind w:firstLineChars="200" w:firstLine="560"/>
        <w:rPr>
          <w:rFonts w:eastAsia="方正仿宋_GBK" w:cs="仿宋" w:hint="eastAsia"/>
          <w:sz w:val="28"/>
        </w:rPr>
      </w:pPr>
      <w:r>
        <w:rPr>
          <w:rFonts w:eastAsia="方正仿宋_GBK" w:cs="仿宋" w:hint="eastAsia"/>
          <w:sz w:val="28"/>
        </w:rPr>
        <w:t>8、农村环境综合整治，解决影响群众生活和健康较为直接的饮用水安全保障，生活垃圾和污水治理等环境突出问题 。</w:t>
      </w:r>
    </w:p>
    <w:p>
      <w:pPr>
        <w:spacing w:line="500" w:lineRule="exact"/>
        <w:ind w:firstLineChars="200" w:firstLine="560"/>
        <w:rPr>
          <w:rFonts w:eastAsia="方正仿宋_GBK" w:cs="仿宋" w:hint="eastAsia"/>
          <w:sz w:val="28"/>
        </w:rPr>
      </w:pPr>
      <w:r>
        <w:rPr>
          <w:rFonts w:eastAsia="方正仿宋_GBK" w:cs="仿宋" w:hint="eastAsia"/>
          <w:sz w:val="28"/>
        </w:rPr>
        <w:t>9.生物及物种资源保护，提升自然保护区建设水平，加强生物多样性的保护力度，恢复区域生态功能。开展红线划定和管理工作，促进全县生态保护红线区域生态环境功能持续增强。</w:t>
      </w:r>
    </w:p>
    <w:p>
      <w:pPr>
        <w:spacing w:line="500" w:lineRule="exact"/>
        <w:ind w:firstLineChars="200" w:firstLine="560"/>
        <w:rPr>
          <w:rFonts w:eastAsia="方正仿宋_GBK" w:cs="仿宋" w:hint="eastAsia"/>
          <w:sz w:val="28"/>
        </w:rPr>
      </w:pPr>
      <w:r>
        <w:rPr>
          <w:rFonts w:eastAsia="方正仿宋_GBK" w:cs="仿宋" w:hint="eastAsia"/>
          <w:sz w:val="28"/>
        </w:rPr>
        <w:t>10.主要污染物排放总量控制，通过重点行业环保核查，促进企业提标乔级污染防治能力，运用信息化技术监督企业排污行为，严防排放数据造假行为，为环境执法、污染减排等提供数据支撑，提升污染源监控环境信息化水平。</w:t>
      </w:r>
    </w:p>
    <w:p>
      <w:pPr>
        <w:spacing w:line="500" w:lineRule="exact"/>
        <w:ind w:firstLineChars="200" w:firstLine="560"/>
        <w:rPr>
          <w:rFonts w:eastAsia="方正仿宋_GBK" w:cs="仿宋" w:hint="eastAsia"/>
          <w:sz w:val="28"/>
        </w:rPr>
      </w:pPr>
      <w:r>
        <w:rPr>
          <w:rFonts w:eastAsia="方正仿宋_GBK" w:cs="仿宋" w:hint="eastAsia"/>
          <w:sz w:val="28"/>
        </w:rPr>
        <w:t>11.全县重点污染源在线监控工作。保证全县环保业务专网安全稳定运行，按照电子政务要求实现全县环保系统业务应用统信息化，推广先进工艺和节能减排技术。</w:t>
      </w:r>
    </w:p>
    <w:p>
      <w:pPr>
        <w:spacing w:line="500" w:lineRule="exact"/>
        <w:ind w:firstLineChars="200" w:firstLine="560"/>
        <w:rPr>
          <w:rFonts w:eastAsia="方正仿宋_GBK" w:cs="仿宋" w:hint="eastAsia"/>
          <w:sz w:val="28"/>
        </w:rPr>
      </w:pPr>
      <w:r>
        <w:rPr>
          <w:rFonts w:eastAsia="方正仿宋_GBK" w:cs="仿宋" w:hint="eastAsia"/>
          <w:sz w:val="28"/>
        </w:rPr>
        <w:t>12.综合事务管理，加强调查研究，提高管理意识及业务能力，完成全县环境保护各项工作作务，保障机关正常工作高效运转。</w:t>
      </w:r>
    </w:p>
    <w:p>
      <w:pPr>
        <w:spacing w:line="500" w:lineRule="exact"/>
        <w:ind w:firstLineChars="200" w:firstLine="640"/>
        <w:jc w:val="left"/>
        <w:outlineLvl w:val="1"/>
        <w:rPr>
          <w:rFonts w:ascii="仿宋" w:eastAsia="仿宋" w:cs="仿宋" w:hint="eastAsia"/>
          <w:sz w:val="28"/>
        </w:rPr>
      </w:pPr>
      <w:r>
        <w:rPr>
          <w:rFonts w:ascii="黑体" w:eastAsia="黑体" w:cs="仿宋" w:hint="eastAsia"/>
          <w:sz w:val="32"/>
          <w:szCs w:val="32"/>
        </w:rPr>
        <w:t>三、工作保障措施</w:t>
      </w:r>
      <w:r>
        <w:rPr>
          <w:rFonts w:ascii="仿宋" w:eastAsia="仿宋" w:cs="仿宋" w:hint="eastAsia"/>
          <w:vanish/>
        </w:rPr>
        <w:t>{</w:t>
      </w:r>
      <w:r>
        <w:rPr>
          <w:rFonts w:ascii="仿宋" w:eastAsia="仿宋" w:cs="仿宋" w:hint="eastAsia"/>
          <w:vanish/>
          <w:sz w:val="28"/>
        </w:rPr>
        <w:t xml:space="preserve"> TC </w:t>
      </w:r>
      <w:bookmarkStart w:id="1" w:name="_Toc31733467"/>
      <w:r>
        <w:rPr>
          <w:rFonts w:ascii="仿宋" w:eastAsia="仿宋" w:cs="仿宋" w:hint="eastAsia"/>
          <w:vanish/>
          <w:sz w:val="28"/>
        </w:rPr>
        <w:t>工作保障措施</w:t>
      </w:r>
      <w:bookmarkEnd w:id="1"/>
      <w:r>
        <w:rPr>
          <w:rFonts w:ascii="仿宋" w:eastAsia="仿宋" w:cs="仿宋" w:hint="eastAsia"/>
          <w:vanish/>
          <w:sz w:val="28"/>
        </w:rPr>
        <w:t xml:space="preserve"> \f A \l 1 }</w:t>
      </w:r>
    </w:p>
    <w:p>
      <w:pPr>
        <w:spacing w:line="500" w:lineRule="exact"/>
        <w:ind w:firstLineChars="200" w:firstLine="560"/>
        <w:rPr>
          <w:rFonts w:eastAsia="方正仿宋_GBK" w:cs="仿宋" w:hint="eastAsia"/>
          <w:sz w:val="28"/>
        </w:rPr>
      </w:pPr>
      <w:r>
        <w:rPr>
          <w:rFonts w:eastAsia="方正仿宋_GBK" w:cs="仿宋" w:hint="eastAsia"/>
          <w:sz w:val="28"/>
        </w:rPr>
        <w:t>1、坚决打好秋冬季大气污染防治攻坚战，确保完成年度空气质量持 续改善目标任务，一是持续拆好县城两个省控监测点周边污染源整治工作，二是强化工业企业污染治理设施运行情况监管工作，三是推进重型柴油货车和非道路移动机械污染治理工作，四是加强秋冬季农作物秸秆禁烧现场执法工作，五是做好农村散煤复燃监督检查工作，六是认真落实秋冬季重污染天气应急响应减排措施。</w:t>
      </w:r>
    </w:p>
    <w:p>
      <w:pPr>
        <w:spacing w:line="500" w:lineRule="exact"/>
        <w:ind w:firstLineChars="200" w:firstLine="560"/>
        <w:rPr>
          <w:rFonts w:eastAsia="方正仿宋_GBK" w:cs="仿宋" w:hint="eastAsia"/>
          <w:sz w:val="28"/>
        </w:rPr>
      </w:pPr>
      <w:r>
        <w:rPr>
          <w:rFonts w:eastAsia="方正仿宋_GBK" w:cs="仿宋" w:hint="eastAsia"/>
          <w:sz w:val="28"/>
        </w:rPr>
        <w:t>2.加快对白洋淀上游 流域专项督察交办问题的整改进度，确保按期完成。</w:t>
      </w:r>
    </w:p>
    <w:p>
      <w:pPr>
        <w:spacing w:line="500" w:lineRule="exact"/>
        <w:ind w:firstLineChars="200" w:firstLine="560"/>
        <w:rPr>
          <w:rFonts w:eastAsia="方正仿宋_GBK" w:cs="仿宋" w:hint="eastAsia"/>
          <w:sz w:val="28"/>
        </w:rPr>
      </w:pPr>
      <w:r>
        <w:rPr>
          <w:rFonts w:eastAsia="方正仿宋_GBK" w:cs="仿宋" w:hint="eastAsia"/>
          <w:sz w:val="28"/>
        </w:rPr>
        <w:t>3.在全县范围内开展环境隐患 大排查，对发现的问题 立行立改，对整改完成的问题进行“回头看”</w:t>
        <w:br/>
        <w:t>，严防反弹，始终保持 打击环境违法行为的高压态势。</w:t>
      </w:r>
    </w:p>
    <w:p>
      <w:pPr>
        <w:spacing w:line="500" w:lineRule="exact"/>
        <w:ind w:firstLineChars="200" w:firstLine="560"/>
        <w:rPr>
          <w:rFonts w:eastAsia="方正仿宋_GBK" w:cs="仿宋" w:hint="eastAsia"/>
          <w:sz w:val="28"/>
        </w:rPr>
      </w:pPr>
      <w:r>
        <w:rPr>
          <w:rFonts w:eastAsia="方正仿宋_GBK" w:cs="仿宋" w:hint="eastAsia"/>
          <w:sz w:val="28"/>
        </w:rPr>
        <w:t>4、一是深化水污染防治工程，一是实施严格的生态环境推入清单和差别化环境准入政策，唐河和拒马河沿岸、重要饮用水补给区严禁新上高耗能、高污染项目。二是对已完成整改的“散乱污”企业开展“回头看”，对反弹的“散乱污”工业企业，发现一起取缔一起，坚决杜绝死灰复燃。三是加强湿地及河道综合治理工作，城乡生活垃圾实现集中处理，深化畜禽粪污资源化利用以及造林绿化工作。</w:t>
      </w:r>
    </w:p>
    <w:p>
      <w:pPr>
        <w:spacing w:line="500" w:lineRule="exact"/>
        <w:ind w:firstLineChars="200" w:firstLine="560"/>
        <w:rPr>
          <w:rFonts w:eastAsia="方正仿宋_GBK" w:cs="仿宋" w:hint="eastAsia"/>
          <w:sz w:val="28"/>
        </w:rPr>
      </w:pPr>
      <w:r>
        <w:rPr>
          <w:rFonts w:eastAsia="方正仿宋_GBK" w:cs="仿宋" w:hint="eastAsia"/>
          <w:sz w:val="28"/>
        </w:rPr>
        <w:t>5.强化农村生活污水治理工程，2021年，计划对重点河流沿线2个村庄开展农村生活污水治理工作。</w:t>
      </w:r>
    </w:p>
    <w:p>
      <w:pPr>
        <w:spacing w:line="500" w:lineRule="exact"/>
        <w:ind w:firstLineChars="200" w:firstLine="560"/>
        <w:rPr>
          <w:rFonts w:eastAsia="方正仿宋_GBK" w:cs="仿宋" w:hint="eastAsia"/>
          <w:sz w:val="28"/>
        </w:rPr>
      </w:pPr>
      <w:r>
        <w:rPr>
          <w:rFonts w:eastAsia="方正仿宋_GBK" w:cs="仿宋" w:hint="eastAsia"/>
          <w:sz w:val="28"/>
        </w:rPr>
        <w:t>6.狠抓固废物治理工程，对历史遗留的、非法倾倒的工业固废堆放地点进行全覆盖排查，限期完成清理转运处置 ，加强常态化监管，落实主体责任，严格执行国家法律法规和规范标准，推进固体废物减量化，资源化利用，严禁固体废物入河.</w:t>
      </w:r>
    </w:p>
    <w:p>
      <w:pPr>
        <w:spacing w:line="500" w:lineRule="exact"/>
        <w:ind w:firstLineChars="200" w:firstLine="560"/>
        <w:rPr>
          <w:rFonts w:eastAsia="方正仿宋_GBK" w:cs="仿宋" w:hint="eastAsia"/>
          <w:sz w:val="28"/>
        </w:rPr>
        <w:sectPr>
          <w:footerReference w:type="default" r:id="rId4"/>
          <w:pgSz w:w="16839" w:h="11907" w:orient="landscape"/>
          <w:pgMar w:top="1304" w:right="1984" w:bottom="1304" w:left="1134" w:header="851" w:footer="992" w:gutter="0"/>
          <w:docGrid w:type="lines" w:linePitch="312" w:charSpace="0"/>
        </w:sectPr>
      </w:pPr>
    </w:p>
    <w:p>
      <w:pPr>
        <w:spacing w:line="600" w:lineRule="exact"/>
        <w:outlineLvl w:val="0"/>
        <w:rPr>
          <w:rFonts w:ascii="仿宋" w:eastAsia="仿宋" w:cs="仿宋"/>
          <w:sz w:val="32"/>
          <w:szCs w:val="32"/>
        </w:rPr>
      </w:pPr>
    </w:p>
    <w:p>
      <w:pPr>
        <w:pStyle w:val="37"/>
      </w:pP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8"/>
      </w:pPr>
      <w:r>
        <w:t>工作保障措施</w:t>
      </w:r>
    </w:p>
    <w:p>
      <w:pPr>
        <w:pStyle w:val="38"/>
      </w:pPr>
      <w:r>
        <w:t>（一）、完善制度建设。建立涵盖绩效目标、绩效监控、绩效评价、绩效结果等管理制度。依据相关管理办法，制定系统规范的绩效管理工作流程。</w:t>
      </w:r>
    </w:p>
    <w:p>
      <w:pPr>
        <w:pStyle w:val="38"/>
      </w:pPr>
      <w:r>
        <w:t>（二）加强支出管理。坚持先有预算，后有支出，严格按照预算去执行。各项开支必须符合单位财务制度和有关规定，对开支必须经部门审定，领导审批，由财务室根据资金情况列支，同时严格落实计划财务内部控制制度。</w:t>
      </w:r>
    </w:p>
    <w:p>
      <w:pPr>
        <w:pStyle w:val="38"/>
      </w:pPr>
      <w:r>
        <w:t>（三）加强绩效运行监控。建立健全绩效管理制度。</w:t>
      </w:r>
    </w:p>
    <w:p>
      <w:pPr>
        <w:pStyle w:val="38"/>
      </w:pPr>
      <w:r>
        <w:t>（四）做好绩效自评。加强绩效评价结果与预算编制、执行有机衔接，实施绩效问责制度。</w:t>
      </w:r>
    </w:p>
    <w:p>
      <w:pPr>
        <w:pStyle w:val="38"/>
      </w:pPr>
      <w:r>
        <w:t>（五）规范财务资产管理。建立健全管理实施办法，进一步细化管理要求。</w:t>
      </w:r>
    </w:p>
    <w:p>
      <w:pPr>
        <w:pStyle w:val="38"/>
      </w:pPr>
      <w:r>
        <w:t>（六）加强内部监督。加强对绩效信息跟踪监控，是否符合预算确定的绩效目标。加强对财务监督管理，保障各类账目规范化、正规化、制度化。</w:t>
      </w:r>
    </w:p>
    <w:p>
      <w:pPr>
        <w:pStyle w:val="38"/>
      </w:pPr>
      <w:r>
        <w:t>（七）加强宣传培训调研。加强相关人员培训，提高本部门人员业务素质。加大宣传力度，强化预算绩效管理意识，促进预算绩效管理水平进一步提升。</w:t>
      </w:r>
    </w:p>
    <w:p>
      <w:pPr>
        <w:pStyle w:val="38"/>
      </w:pP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rPr>
          <w:rFonts w:eastAsia="方正楷体_GBK" w:hint="eastAsia"/>
          <w:lang w:val="en-US" w:eastAsia="zh-CN"/>
        </w:rPr>
        <w:sectPr>
          <w:pgSz w:w="16840" w:h="11900" w:orient="landscape"/>
          <w:pgMar w:top="1361" w:right="1020" w:bottom="1134" w:left="1020" w:header="720" w:footer="720" w:gutter="0"/>
          <w:docGrid w:linePitch="326" w:charSpace="0"/>
        </w:sectPr>
      </w:pPr>
      <w:r>
        <w:rPr>
          <w:rFonts w:ascii="方正楷体_GBK" w:eastAsia="方正楷体_GBK" w:cs="方正楷体_GBK"/>
          <w:b/>
          <w:color w:val="000000"/>
          <w:sz w:val="32"/>
        </w:rPr>
        <w:t>第三部分  预算项目绩效目</w:t>
      </w:r>
      <w:r>
        <w:rPr>
          <w:rFonts w:ascii="方正楷体_GBK" w:eastAsia="方正楷体_GBK" w:cs="方正楷体_GBK" w:hint="eastAsia"/>
          <w:b/>
          <w:color w:val="000000"/>
          <w:sz w:val="32"/>
          <w:lang w:val="en-US" w:eastAsia="zh-CN"/>
        </w:rPr>
        <w:t>标</w:t>
      </w:r>
    </w:p>
    <w:p>
      <w:pPr>
        <w:ind w:firstLineChars="200" w:firstLine="560"/>
        <w:rPr>
          <w:rFonts w:ascii="仿宋" w:eastAsia="仿宋" w:cs="仿宋" w:hint="eastAsia"/>
          <w:b/>
          <w:sz w:val="28"/>
        </w:rPr>
      </w:pPr>
      <w:r>
        <w:rPr>
          <w:rFonts w:ascii="仿宋" w:eastAsia="仿宋" w:cs="仿宋" w:hint="eastAsia"/>
          <w:b/>
          <w:sz w:val="28"/>
        </w:rPr>
        <w:t>二、预算项目绩效目标</w:t>
      </w:r>
    </w:p>
    <w:p>
      <w:pPr>
        <w:ind w:firstLineChars="200" w:firstLine="560"/>
        <w:rPr>
          <w:rFonts w:ascii="仿宋" w:eastAsia="仿宋" w:cs="仿宋" w:hint="eastAsia"/>
          <w:b/>
          <w:sz w:val="28"/>
        </w:rPr>
      </w:pPr>
      <w:r>
        <w:rPr>
          <w:rFonts w:ascii="仿宋" w:eastAsia="仿宋" w:cs="仿宋" w:hint="eastAsia"/>
          <w:b/>
          <w:sz w:val="28"/>
        </w:rPr>
        <w:t>1.关于2020年白洋淀流域入河排污口及国</w:t>
      </w:r>
      <w:r>
        <w:rPr>
          <w:rFonts w:ascii="仿宋" w:eastAsia="仿宋" w:cs="仿宋"/>
          <w:b/>
          <w:sz w:val="28"/>
        </w:rPr>
        <w:t>家、</w:t>
      </w:r>
      <w:r>
        <w:rPr>
          <w:rFonts w:ascii="仿宋" w:eastAsia="仿宋" w:cs="仿宋" w:hint="eastAsia"/>
          <w:b/>
          <w:sz w:val="28"/>
        </w:rPr>
        <w:t>省</w:t>
      </w:r>
      <w:r>
        <w:rPr>
          <w:rFonts w:ascii="仿宋" w:eastAsia="仿宋" w:cs="仿宋"/>
          <w:b/>
          <w:sz w:val="28"/>
        </w:rPr>
        <w:t>、</w:t>
      </w:r>
      <w:r>
        <w:rPr>
          <w:rFonts w:ascii="仿宋" w:eastAsia="仿宋" w:cs="仿宋" w:hint="eastAsia"/>
          <w:b/>
          <w:sz w:val="28"/>
        </w:rPr>
        <w:t>市考核断面水质检测工作经费绩效目标表</w:t>
      </w:r>
    </w:p>
    <w:tbl>
      <w:tblPr>
        <w:jc w:val="left"/>
        <w:tblInd w:w="0" w:type="dxa"/>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l2br w:val="nil"/>
              <w:tr2bl w:val="nil"/>
            </w:tcBorders>
            <w:shd w:val="clear" w:color="auto" w:fill="auto"/>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l2br w:val="nil"/>
              <w:tr2bl w:val="nil"/>
            </w:tcBorders>
            <w:shd w:val="clear" w:color="auto" w:fill="auto"/>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130630210ZIW5E3H6HKF5</w:t>
            </w:r>
          </w:p>
        </w:tc>
        <w:tc>
          <w:tcPr>
            <w:tcW w:w="1587"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hint="eastAsia"/>
              </w:rPr>
              <w:t>关于</w:t>
            </w:r>
            <w:r>
              <w:rPr>
                <w:rFonts w:ascii="方正书宋_GBK" w:eastAsia="方正书宋_GBK"/>
              </w:rPr>
              <w:t>2020</w:t>
            </w:r>
            <w:r>
              <w:rPr>
                <w:rFonts w:ascii="方正书宋_GBK" w:eastAsia="方正书宋_GBK" w:hint="eastAsia"/>
              </w:rPr>
              <w:t>年白洋淀流域入河排污口及国</w:t>
            </w:r>
            <w:r>
              <w:rPr>
                <w:rFonts w:ascii="方正书宋_GBK" w:eastAsia="方正书宋_GBK"/>
              </w:rPr>
              <w:t>家\</w:t>
            </w:r>
            <w:r>
              <w:rPr>
                <w:rFonts w:ascii="方正书宋_GBK" w:eastAsia="方正书宋_GBK" w:hint="eastAsia"/>
              </w:rPr>
              <w:t>省</w:t>
            </w:r>
            <w:r>
              <w:rPr>
                <w:rFonts w:ascii="方正书宋_GBK" w:eastAsia="方正书宋_GBK"/>
              </w:rPr>
              <w:t>\</w:t>
            </w:r>
            <w:r>
              <w:rPr>
                <w:rFonts w:ascii="方正书宋_GBK" w:eastAsia="方正书宋_GBK" w:hint="eastAsia"/>
              </w:rPr>
              <w:t>市考核断面水质检测工作经费</w:t>
            </w:r>
          </w:p>
        </w:tc>
      </w:tr>
      <w:tr>
        <w:trPr>
          <w:trHeight w:val="369"/>
        </w:trPr>
        <w:tc>
          <w:tcPr>
            <w:tcW w:w="1134" w:type="dxa"/>
            <w:vMerge w:val="restart"/>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42.3875</w:t>
            </w:r>
          </w:p>
        </w:tc>
        <w:tc>
          <w:tcPr>
            <w:tcW w:w="1587"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42.3875</w:t>
            </w:r>
          </w:p>
        </w:tc>
        <w:tc>
          <w:tcPr>
            <w:tcW w:w="1276"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tcPr>
          <w:p/>
        </w:tc>
        <w:tc>
          <w:tcPr>
            <w:tcW w:w="8278" w:type="dxa"/>
            <w:gridSpan w:val="6"/>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年白洋淀流域入河排污口及省、市考核断面水质检测工作经费</w:t>
            </w:r>
          </w:p>
        </w:tc>
      </w:tr>
      <w:tr>
        <w:trPr>
          <w:trHeight w:val="369"/>
        </w:trPr>
        <w:tc>
          <w:tcPr>
            <w:tcW w:w="1134" w:type="dxa"/>
            <w:vMerge w:val="restart"/>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tl2br w:val="nil"/>
              <w:tr2bl w:val="nil"/>
            </w:tcBorders>
            <w:shd w:val="clear" w:color="auto" w:fill="auto"/>
          </w:tcPr>
          <w:p/>
        </w:tc>
        <w:tc>
          <w:tcPr>
            <w:tcW w:w="2410" w:type="dxa"/>
            <w:gridSpan w:val="2"/>
            <w:tcBorders>
              <w:tl2br w:val="nil"/>
              <w:tr2bl w:val="nil"/>
            </w:tcBorders>
            <w:shd w:val="clear" w:color="auto" w:fill="auto"/>
          </w:tcPr>
          <w:p>
            <w:pPr>
              <w:spacing w:line="300" w:lineRule="exact"/>
              <w:jc w:val="center"/>
              <w:rPr>
                <w:rFonts w:ascii="方正书宋_GBK" w:eastAsia="方正书宋_GBK"/>
              </w:rPr>
            </w:pPr>
            <w:r>
              <w:rPr>
                <w:rFonts w:ascii="方正书宋_GBK" w:eastAsia="方正书宋_GBK"/>
              </w:rPr>
              <w:t>30.00%</w:t>
            </w:r>
          </w:p>
        </w:tc>
        <w:tc>
          <w:tcPr>
            <w:tcW w:w="1587" w:type="dxa"/>
            <w:tcBorders>
              <w:tl2br w:val="nil"/>
              <w:tr2bl w:val="nil"/>
            </w:tcBorders>
            <w:shd w:val="clear" w:color="auto" w:fill="auto"/>
          </w:tcPr>
          <w:p>
            <w:pPr>
              <w:spacing w:line="300" w:lineRule="exact"/>
              <w:jc w:val="center"/>
              <w:rPr>
                <w:rFonts w:ascii="方正书宋_GBK" w:eastAsia="方正书宋_GBK"/>
              </w:rPr>
            </w:pPr>
            <w:r>
              <w:rPr>
                <w:rFonts w:ascii="方正书宋_GBK" w:eastAsia="方正书宋_GBK"/>
              </w:rPr>
              <w:t>60.00%</w:t>
            </w:r>
          </w:p>
        </w:tc>
        <w:tc>
          <w:tcPr>
            <w:tcW w:w="1304" w:type="dxa"/>
            <w:tcBorders>
              <w:tl2br w:val="nil"/>
              <w:tr2bl w:val="nil"/>
            </w:tcBorders>
            <w:shd w:val="clear" w:color="auto" w:fill="auto"/>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tl2br w:val="nil"/>
              <w:tr2bl w:val="nil"/>
            </w:tcBorders>
            <w:shd w:val="clear" w:color="auto" w:fill="auto"/>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tl2br w:val="nil"/>
              <w:tr2bl w:val="nil"/>
            </w:tcBorders>
            <w:shd w:val="clear" w:color="auto" w:fill="auto"/>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tl2br w:val="nil"/>
              <w:tr2bl w:val="nil"/>
            </w:tcBorders>
            <w:shd w:val="clear" w:color="auto" w:fill="auto"/>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及时检测水质</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资金及时支付</w:t>
            </w:r>
          </w:p>
        </w:tc>
      </w:tr>
    </w:tbl>
    <w:p>
      <w:pPr>
        <w:rPr>
          <w:vanish/>
        </w:rPr>
      </w:pP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覆盖率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服务质量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项目实施进度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提高效率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生态影响</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生态影响</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提高执法效率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提高执法效率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人员满意度（</w:t>
            </w:r>
            <w:r>
              <w:rPr>
                <w:rFonts w:ascii="方正书宋_GBK" w:eastAsia="方正书宋_GBK"/>
              </w:rPr>
              <w:t>%</w:t>
            </w:r>
            <w:r>
              <w:rPr>
                <w:rFonts w:ascii="方正书宋_GBK" w:eastAsia="方正书宋_GBK" w:hint="eastAsia"/>
              </w:rPr>
              <w:t>）</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人员满意度（</w:t>
            </w:r>
            <w:r>
              <w:rPr>
                <w:rFonts w:ascii="方正书宋_GBK" w:eastAsia="方正书宋_GBK"/>
              </w:rPr>
              <w:t>%</w:t>
            </w:r>
            <w:r>
              <w:rPr>
                <w:rFonts w:ascii="方正书宋_GBK" w:eastAsia="方正书宋_GBK" w:hint="eastAsia"/>
              </w:rPr>
              <w:t>）</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根据调查结果</w:t>
            </w:r>
          </w:p>
        </w:tc>
      </w:tr>
    </w:tbl>
    <w:p>
      <w:pPr>
        <w:spacing w:line="300" w:lineRule="exact"/>
        <w:jc w:val="left"/>
      </w:pPr>
    </w:p>
    <w:p>
      <w:pPr>
        <w:ind w:firstLineChars="200" w:firstLine="560"/>
        <w:jc w:val="left"/>
        <w:outlineLvl w:val="3"/>
        <w:rPr>
          <w:rFonts w:ascii="方正仿宋_GBK" w:eastAsia="方正仿宋_GBK" w:hint="eastAsia"/>
          <w:b/>
          <w:sz w:val="28"/>
        </w:rPr>
      </w:pPr>
      <w:bookmarkStart w:id="2" w:name="_Toc65338886"/>
    </w:p>
    <w:p>
      <w:pPr>
        <w:ind w:firstLineChars="200" w:firstLine="560"/>
        <w:jc w:val="left"/>
        <w:outlineLvl w:val="3"/>
        <w:rPr>
          <w:rFonts w:ascii="方正仿宋_GBK" w:eastAsia="方正仿宋_GBK" w:hint="eastAsia"/>
          <w:b/>
          <w:sz w:val="28"/>
        </w:rPr>
      </w:pPr>
    </w:p>
    <w:p>
      <w:pPr>
        <w:ind w:firstLineChars="200" w:firstLine="560"/>
        <w:jc w:val="left"/>
        <w:outlineLvl w:val="3"/>
        <w:rPr>
          <w:rFonts w:ascii="方正仿宋_GBK" w:eastAsia="方正仿宋_GBK" w:hint="eastAsia"/>
          <w:b/>
          <w:sz w:val="28"/>
        </w:rPr>
      </w:pPr>
    </w:p>
    <w:p>
      <w:pPr>
        <w:ind w:firstLineChars="200" w:firstLine="560"/>
        <w:jc w:val="left"/>
        <w:outlineLvl w:val="3"/>
        <w:rPr>
          <w:b/>
          <w:sz w:val="28"/>
        </w:rPr>
      </w:pPr>
      <w:r>
        <w:rPr>
          <w:rFonts w:ascii="方正仿宋_GBK" w:eastAsia="方正仿宋_GBK" w:hint="eastAsia"/>
          <w:b/>
          <w:sz w:val="28"/>
        </w:rPr>
        <w:t>2.水自动监测第三方运营费及水质监测经费绩效目标表</w:t>
      </w:r>
      <w:bookmarkEnd w:id="2"/>
      <w:r>
        <w:rPr>
          <w:rFonts w:ascii="方正仿宋_GBK" w:eastAsia="方正仿宋_GBK"/>
          <w:b/>
          <w:vanish/>
          <w:sz w:val="28"/>
        </w:rPr>
        <w:t xml:space="preserve">{ </w:t>
      </w:r>
      <w:r>
        <w:rPr>
          <w:rFonts w:ascii="方正仿宋_GBK" w:eastAsia="方正仿宋_GBK" w:hint="eastAsia"/>
          <w:b/>
          <w:vanish/>
          <w:sz w:val="28"/>
        </w:rPr>
        <w:t>TC 2、水自动监测第三方运营费及水质监测经费绩效目标表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130630215003ANSMGOB9D</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水自动监测第三方运营费及水质监测经费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41.00</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41.00</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水自动监测第三方运营费及水质监测经费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完成水质监测</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防止水质污染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资金正常支付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监测报告</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完成标准</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保证质量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完成工作数占全部比率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成本控制</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根据相关文件</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计划指标完成率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计划指标完成率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监测能力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保障网络安全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保证工作顺利开展</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保障工作顺利开展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3" w:name="_Toc65338887"/>
      <w:r>
        <w:rPr>
          <w:rFonts w:ascii="方正仿宋_GBK" w:eastAsia="方正仿宋_GBK" w:hint="eastAsia"/>
          <w:b/>
          <w:sz w:val="28"/>
        </w:rPr>
        <w:t>3.2020年第三季度生态功能县监测服务费绩效目标表</w:t>
      </w:r>
      <w:bookmarkEnd w:id="3"/>
      <w:r>
        <w:rPr>
          <w:rFonts w:ascii="方正仿宋_GBK" w:eastAsia="方正仿宋_GBK"/>
          <w:b/>
          <w:vanish/>
          <w:sz w:val="28"/>
        </w:rPr>
        <w:t xml:space="preserve">{ </w:t>
      </w:r>
      <w:r>
        <w:rPr>
          <w:rFonts w:ascii="方正仿宋_GBK" w:eastAsia="方正仿宋_GBK" w:hint="eastAsia"/>
          <w:b/>
          <w:vanish/>
          <w:sz w:val="28"/>
        </w:rPr>
        <w:t>TC 3、2020年第三季度生态功能县监测服务费绩效目标表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130630217EPP4OINEQTU4</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年第三季度生态功能县监测服务费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27.9332</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27.9332</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年第三季度生态功能县监测服务费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加强日常监测</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资金及时支付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完成任务数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收集和发布相关政策法规</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项目合格率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按期完成率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预算控制数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提高效率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社会影响率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提高防治水平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提高防治水平</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4" w:name="_Toc65338888"/>
      <w:r>
        <w:rPr>
          <w:rFonts w:ascii="方正仿宋_GBK" w:eastAsia="方正仿宋_GBK" w:hint="eastAsia"/>
          <w:b/>
          <w:sz w:val="28"/>
        </w:rPr>
        <w:t>4.2018年乡镇小型空气站建设及运维项目绩效目标表</w:t>
      </w:r>
      <w:bookmarkEnd w:id="4"/>
      <w:r>
        <w:rPr>
          <w:rFonts w:ascii="方正仿宋_GBK" w:eastAsia="方正仿宋_GBK"/>
          <w:b/>
          <w:vanish/>
          <w:sz w:val="28"/>
        </w:rPr>
        <w:t xml:space="preserve">{ </w:t>
      </w:r>
      <w:r>
        <w:rPr>
          <w:rFonts w:ascii="方正仿宋_GBK" w:eastAsia="方正仿宋_GBK" w:hint="eastAsia"/>
          <w:b/>
          <w:vanish/>
          <w:sz w:val="28"/>
        </w:rPr>
        <w:t>TC 4、2018年乡镇小型空气站建设及运维项目绩效目标表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130630219WH97RT0SM5OZ</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年乡镇小型空气站建设及运维项目</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133.04</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133.04</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2018</w:t>
            </w:r>
            <w:r>
              <w:rPr>
                <w:rFonts w:ascii="方正书宋_GBK" w:eastAsia="方正书宋_GBK" w:hint="eastAsia"/>
              </w:rPr>
              <w:t>年乡镇小型空气站建设及运维</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空气正常监测</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空气正常运行</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资金及时支付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使用率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正常开展工作需要</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相关文件</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业务功能满足率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成本控制</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监测能力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保障网络安全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5" w:name="_Toc65338889"/>
      <w:r>
        <w:rPr>
          <w:rFonts w:ascii="方正仿宋_GBK" w:eastAsia="方正仿宋_GBK" w:hint="eastAsia"/>
          <w:b/>
          <w:sz w:val="28"/>
        </w:rPr>
        <w:t>5.2020年乡镇空气自动监测站运维项目绩效目标表</w:t>
      </w:r>
      <w:bookmarkEnd w:id="5"/>
      <w:r>
        <w:rPr>
          <w:rFonts w:ascii="方正仿宋_GBK" w:eastAsia="方正仿宋_GBK"/>
          <w:b/>
          <w:vanish/>
          <w:sz w:val="28"/>
        </w:rPr>
        <w:t xml:space="preserve">{ </w:t>
      </w:r>
      <w:r>
        <w:rPr>
          <w:rFonts w:ascii="方正仿宋_GBK" w:eastAsia="方正仿宋_GBK" w:hint="eastAsia"/>
          <w:b/>
          <w:vanish/>
          <w:sz w:val="28"/>
        </w:rPr>
        <w:t>TC 5、2020年乡镇空气自动监测站运维项目绩效目标表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13063021AYPU92GXG0C84</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年乡镇空气自动监测站运维项目</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169.76</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169.76</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年乡镇宽气自动监测站运维</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空气站正常运行</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正常检测</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资金支付及时率</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保障工作正常运转</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质量合格情况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成本控制</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工作环境正常</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监测能力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保障网络安全</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业务保障能力提升情况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相关文件要求</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6" w:name="_Toc65338890"/>
      <w:r>
        <w:rPr>
          <w:rFonts w:ascii="方正仿宋_GBK" w:eastAsia="方正仿宋_GBK" w:hint="eastAsia"/>
          <w:b/>
          <w:sz w:val="28"/>
        </w:rPr>
        <w:t>6.重点生态功能县域生态环境质量考核经费绩效目标表</w:t>
      </w:r>
      <w:bookmarkEnd w:id="6"/>
      <w:r>
        <w:rPr>
          <w:rFonts w:ascii="方正仿宋_GBK" w:eastAsia="方正仿宋_GBK"/>
          <w:b/>
          <w:vanish/>
          <w:sz w:val="28"/>
        </w:rPr>
        <w:t xml:space="preserve">{ </w:t>
      </w:r>
      <w:r>
        <w:rPr>
          <w:rFonts w:ascii="方正仿宋_GBK" w:eastAsia="方正仿宋_GBK" w:hint="eastAsia"/>
          <w:b/>
          <w:vanish/>
          <w:sz w:val="28"/>
        </w:rPr>
        <w:t>TC 6、重点生态功能县域生态环境质量考核经费绩效目标表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13063021CQHDPESG080K0</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重点生态功能县域生态环境质量考核经费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200.00</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重点生态功能县域生态环境质量考核经费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检测空气质量</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水质检测情况</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资金正常支付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ascii="方正书宋_GBK" w:eastAsia="方正书宋_GBK" w:hint="eastAsia"/>
              </w:rPr>
              <w:t>监测率（</w:t>
            </w:r>
            <w:r>
              <w:rPr>
                <w:rFonts w:ascii="方正书宋_GBK" w:eastAsia="方正书宋_GBK"/>
              </w:rPr>
              <w:t>%</w:t>
            </w:r>
            <w:r>
              <w:rPr>
                <w:rFonts w:ascii="方正书宋_GBK" w:eastAsia="方正书宋_GBK" w:hint="eastAsia"/>
              </w:rPr>
              <w:t>）</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根据监测数据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覆盖比例</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覆盖比例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根据监测数据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支付及时率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根据拨付情况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根据文件要求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生态环境监测工作顺利开展</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保障各项监测工作顺利开展</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根据文件要求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生态环境改善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业务保障能力提升情况</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根据相关文件</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服务对象问卷测评满意率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7" w:name="_Toc65338891"/>
      <w:r>
        <w:rPr>
          <w:rFonts w:ascii="方正仿宋_GBK" w:eastAsia="方正仿宋_GBK" w:hint="eastAsia"/>
          <w:b/>
          <w:sz w:val="28"/>
        </w:rPr>
        <w:t>7.2020年涞源县大气污染防治网格化管理咨询服务及微型站运维服务绩效目标表</w:t>
      </w:r>
      <w:bookmarkEnd w:id="7"/>
      <w:r>
        <w:rPr>
          <w:rFonts w:ascii="方正仿宋_GBK" w:eastAsia="方正仿宋_GBK"/>
          <w:b/>
          <w:vanish/>
          <w:sz w:val="28"/>
        </w:rPr>
        <w:t xml:space="preserve">{ </w:t>
      </w:r>
      <w:r>
        <w:rPr>
          <w:rFonts w:ascii="方正仿宋_GBK" w:eastAsia="方正仿宋_GBK" w:hint="eastAsia"/>
          <w:b/>
          <w:vanish/>
          <w:sz w:val="28"/>
        </w:rPr>
        <w:t>TC 7、2020年涞源县大气污染防治网格化管理咨询服务及微型站运维服务绩效目标表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13063021F2YCYQDZFRGGS</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年涞源县大气污染防治网格化管理咨询服务及微型站运维服务</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165.00</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165.00</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ascii="方正书宋_GBK" w:eastAsia="方正书宋_GBK" w:hint="eastAsia"/>
              </w:rPr>
              <w:t>年大气污染防治网格化管理咨询管理及微型站服务</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改善空气质量</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资金及时支付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覆盖率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服务质量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项目完成及时率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预算控制</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工作环境改善</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工作环境改善</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改善环境质量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满意</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8" w:name="_Toc65338892"/>
      <w:r>
        <w:rPr>
          <w:rFonts w:ascii="方正仿宋_GBK" w:eastAsia="方正仿宋_GBK" w:hint="eastAsia"/>
          <w:b/>
          <w:sz w:val="28"/>
        </w:rPr>
        <w:t>8.环保局白洋淀流域入河排污口及国</w:t>
      </w:r>
      <w:r>
        <w:rPr>
          <w:rFonts w:ascii="方正仿宋_GBK" w:eastAsia="方正仿宋_GBK"/>
          <w:b/>
          <w:sz w:val="28"/>
        </w:rPr>
        <w:t>家</w:t>
      </w:r>
      <w:r>
        <w:rPr>
          <w:rFonts w:ascii="方正仿宋_GBK" w:eastAsia="方正仿宋_GBK" w:hint="eastAsia"/>
          <w:b/>
          <w:sz w:val="28"/>
        </w:rPr>
        <w:t>、省、市考核断面水质监测绩效目标表</w:t>
      </w:r>
      <w:bookmarkEnd w:id="8"/>
      <w:r>
        <w:rPr>
          <w:rFonts w:ascii="方正仿宋_GBK" w:eastAsia="方正仿宋_GBK"/>
          <w:b/>
          <w:vanish/>
          <w:sz w:val="28"/>
        </w:rPr>
        <w:t xml:space="preserve">{ </w:t>
      </w:r>
      <w:r>
        <w:rPr>
          <w:rFonts w:ascii="方正仿宋_GBK" w:eastAsia="方正仿宋_GBK" w:hint="eastAsia"/>
          <w:b/>
          <w:vanish/>
          <w:sz w:val="28"/>
        </w:rPr>
        <w:t>TC 8、环保局白洋淀流域入河排污口及国、省、市考核断面水质监测绩效目标表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13063021GEX2XCDZMBGPD</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环保局白洋淀流域入河排污口及国</w:t>
            </w:r>
            <w:r>
              <w:rPr>
                <w:rFonts w:ascii="方正书宋_GBK" w:eastAsia="方正书宋_GBK"/>
              </w:rPr>
              <w:t>家</w:t>
            </w:r>
            <w:r>
              <w:rPr>
                <w:rFonts w:ascii="方正书宋_GBK" w:eastAsia="方正书宋_GBK" w:hint="eastAsia"/>
              </w:rPr>
              <w:t>、省、市考核断面水质监测</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80.14</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80.14</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白洋淀流域入河排污口及国</w:t>
            </w:r>
            <w:r>
              <w:rPr>
                <w:rFonts w:ascii="方正书宋_GBK" w:eastAsia="方正书宋_GBK"/>
              </w:rPr>
              <w:t>家</w:t>
            </w:r>
            <w:bookmarkStart w:id="9" w:name="_GoBack"/>
            <w:bookmarkEnd w:id="9"/>
            <w:r>
              <w:rPr>
                <w:rFonts w:ascii="方正书宋_GBK" w:eastAsia="方正书宋_GBK"/>
              </w:rPr>
              <w:t>\</w:t>
            </w:r>
            <w:r>
              <w:rPr>
                <w:rFonts w:ascii="方正书宋_GBK" w:eastAsia="方正书宋_GBK" w:hint="eastAsia"/>
              </w:rPr>
              <w:t>省</w:t>
            </w:r>
            <w:r>
              <w:rPr>
                <w:rFonts w:ascii="方正书宋_GBK" w:eastAsia="方正书宋_GBK"/>
              </w:rPr>
              <w:t>\</w:t>
            </w:r>
            <w:r>
              <w:rPr>
                <w:rFonts w:ascii="方正书宋_GBK" w:eastAsia="方正书宋_GBK" w:hint="eastAsia"/>
              </w:rPr>
              <w:t>市考核断面水质监测</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水质正常监测</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防止水污染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资金正常支付</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VOC</w:t>
            </w:r>
            <w:r>
              <w:rPr>
                <w:rFonts w:ascii="方正书宋_GBK" w:eastAsia="方正书宋_GBK" w:hint="eastAsia"/>
              </w:rPr>
              <w:t>监测率（</w:t>
            </w:r>
            <w:r>
              <w:rPr>
                <w:rFonts w:ascii="方正书宋_GBK" w:eastAsia="方正书宋_GBK"/>
              </w:rPr>
              <w:t>%</w:t>
            </w:r>
            <w:r>
              <w:rPr>
                <w:rFonts w:ascii="方正书宋_GBK" w:eastAsia="方正书宋_GBK" w:hint="eastAsia"/>
              </w:rPr>
              <w:t>）</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根据检测情况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合格率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支付及时率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资金到位情况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项目预算控制数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实现数字化，提高工作效率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根据相关文件</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社会稳定水平</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社会稳定水平提高率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根据支付情况</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群众满意度（率）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10" w:name="_Toc65338893"/>
      <w:r>
        <w:rPr>
          <w:rFonts w:ascii="方正仿宋_GBK" w:eastAsia="方正仿宋_GBK" w:hint="eastAsia"/>
          <w:b/>
          <w:sz w:val="28"/>
        </w:rPr>
        <w:t>9.偿还隐性债务绩效目标表</w:t>
      </w:r>
      <w:bookmarkEnd w:id="10"/>
      <w:r>
        <w:rPr>
          <w:rFonts w:ascii="方正仿宋_GBK" w:eastAsia="方正仿宋_GBK"/>
          <w:b/>
          <w:vanish/>
          <w:sz w:val="28"/>
        </w:rPr>
        <w:t xml:space="preserve">{ </w:t>
      </w:r>
      <w:r>
        <w:rPr>
          <w:rFonts w:ascii="方正仿宋_GBK" w:eastAsia="方正仿宋_GBK" w:hint="eastAsia"/>
          <w:b/>
          <w:vanish/>
          <w:sz w:val="28"/>
        </w:rPr>
        <w:t>TC 9、偿还隐性债务绩效目标表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13063021GZ6QT1D0VCBH6</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偿还隐性债务</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12.39</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12.39</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偿还隐性债务</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改善环境质量</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资金拨付及时</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监测率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全覆盖</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上报数据差错率（‰）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成本控制</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工程完成率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工程完成率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环保节能</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影响期限</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11" w:name="_Toc65338894"/>
      <w:r>
        <w:rPr>
          <w:rFonts w:ascii="方正仿宋_GBK" w:eastAsia="方正仿宋_GBK" w:hint="eastAsia"/>
          <w:b/>
          <w:sz w:val="28"/>
        </w:rPr>
        <w:t>10.处置危险废物防护物资绩效目标表</w:t>
      </w:r>
      <w:bookmarkEnd w:id="11"/>
      <w:r>
        <w:rPr>
          <w:rFonts w:ascii="方正仿宋_GBK" w:eastAsia="方正仿宋_GBK"/>
          <w:b/>
          <w:vanish/>
          <w:sz w:val="28"/>
        </w:rPr>
        <w:t xml:space="preserve">{ </w:t>
      </w:r>
      <w:r>
        <w:rPr>
          <w:rFonts w:ascii="方正仿宋_GBK" w:eastAsia="方正仿宋_GBK" w:hint="eastAsia"/>
          <w:b/>
          <w:vanish/>
          <w:sz w:val="28"/>
        </w:rPr>
        <w:t>TC 10、处置危险废物防护物资绩效目标表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13063021OO6U6CD4DC1QI</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处置危险废物防护物资</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3.65</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3.65</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处置危险废物防护物资</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消除污染</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确保水质不被污染</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资金拨付及时</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监测率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全覆盖</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设备正常运转</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成本指标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完成工作需要费用成本</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相关文件要求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经济效益指标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按时完成率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清理结果</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保障能力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物资储备保障能力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相关文件</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固体废弃物的处理效果</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清理结果</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w:t>
            </w:r>
            <w:r>
              <w:rPr>
                <w:rFonts w:ascii="方正书宋_GBK" w:eastAsia="方正书宋_GBK"/>
              </w:rPr>
              <w:t>%</w:t>
            </w:r>
            <w:r>
              <w:rPr>
                <w:rFonts w:ascii="方正书宋_GBK" w:eastAsia="方正书宋_GBK" w:hint="eastAsia"/>
              </w:rPr>
              <w:t>）</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调查结果</w:t>
            </w:r>
          </w:p>
        </w:tc>
      </w:tr>
    </w:tbl>
    <w:p>
      <w:pPr>
        <w:spacing w:line="300" w:lineRule="exact"/>
        <w:jc w:val="left"/>
        <w:sectPr>
          <w:pgSz w:w="11907" w:h="16839"/>
          <w:pgMar w:top="1984" w:right="1304" w:bottom="1134" w:left="1304" w:header="851" w:footer="992" w:gutter="0"/>
          <w:docGrid w:type="lines" w:linePitch="312" w:charSpace="0"/>
        </w:sectPr>
      </w:pPr>
    </w:p>
    <w:p>
      <w:pPr>
        <w:spacing w:line="300" w:lineRule="exact"/>
        <w:jc w:val="left"/>
      </w:pPr>
    </w:p>
    <w:p>
      <w:pPr>
        <w:ind w:firstLineChars="200" w:firstLine="560"/>
        <w:jc w:val="left"/>
        <w:outlineLvl w:val="3"/>
        <w:rPr>
          <w:b/>
          <w:sz w:val="28"/>
        </w:rPr>
      </w:pPr>
      <w:bookmarkStart w:id="12" w:name="_Toc65338895"/>
      <w:r>
        <w:rPr>
          <w:rFonts w:ascii="方正仿宋_GBK" w:eastAsia="方正仿宋_GBK" w:hint="eastAsia"/>
          <w:b/>
          <w:sz w:val="28"/>
        </w:rPr>
        <w:t>11.大气污染防治网络化管理咨询服务费及微型站运维服务经费绩效目标表</w:t>
      </w:r>
      <w:bookmarkEnd w:id="12"/>
      <w:r>
        <w:rPr>
          <w:rFonts w:ascii="方正仿宋_GBK" w:eastAsia="方正仿宋_GBK"/>
          <w:b/>
          <w:vanish/>
          <w:sz w:val="28"/>
        </w:rPr>
        <w:t xml:space="preserve">{ </w:t>
      </w:r>
      <w:r>
        <w:rPr>
          <w:rFonts w:ascii="方正仿宋_GBK" w:eastAsia="方正仿宋_GBK" w:hint="eastAsia"/>
          <w:b/>
          <w:vanish/>
          <w:sz w:val="28"/>
        </w:rPr>
        <w:t>TC 11、大气污染防治网络化管理咨询服务费及微型站运维服务经费绩效目标表 \f C \l 1</w:t>
      </w:r>
      <w:r>
        <w:rPr>
          <w:rFonts w:ascii="方正仿宋_GBK" w:eastAsia="方正仿宋_GBK"/>
          <w:b/>
          <w:vanish/>
          <w:sz w:val="28"/>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rPr>
          <w:trHeight w:val="397"/>
        </w:trPr>
        <w:tc>
          <w:tcPr>
            <w:tcW w:w="7711" w:type="dxa"/>
            <w:gridSpan w:val="6"/>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left"/>
              <w:rPr>
                <w:rFonts w:ascii="方正书宋_GBK" w:eastAsia="方正书宋_GBK"/>
                <w:b/>
              </w:rPr>
            </w:pPr>
            <w:r>
              <w:rPr>
                <w:rFonts w:ascii="方正书宋_GBK" w:eastAsia="方正书宋_GBK"/>
                <w:b/>
              </w:rPr>
              <w:t>467001</w:t>
            </w:r>
            <w:r>
              <w:rPr>
                <w:rFonts w:ascii="方正书宋_GBK" w:eastAsia="方正书宋_GBK" w:hint="eastAsia"/>
                <w:b/>
              </w:rPr>
              <w:t>保定市生态环境局涞源县分局本级</w:t>
            </w:r>
          </w:p>
        </w:tc>
        <w:tc>
          <w:tcPr>
            <w:tcW w:w="1701" w:type="dxa"/>
            <w:tcBorders>
              <w:top w:val="single" w:sz="6" w:space="0" w:color="FFFFFF"/>
              <w:left w:val="single" w:sz="6" w:space="0" w:color="FFFFFF"/>
              <w:right w:val="single" w:sz="6" w:space="0" w:color="FFFFFF"/>
              <w:tl2br w:val="nil"/>
              <w:tr2bl w:val="nil"/>
            </w:tcBorders>
            <w:shd w:val="clear" w:color="auto" w:fill="auto"/>
            <w:vAlign w:val="center"/>
          </w:tcPr>
          <w:p>
            <w:pPr>
              <w:spacing w:line="300" w:lineRule="exact"/>
              <w:jc w:val="right"/>
              <w:rPr>
                <w:rFonts w:ascii="方正书宋_GBK" w:eastAsia="方正书宋_GBK"/>
              </w:rPr>
            </w:pPr>
            <w:r>
              <w:rPr>
                <w:rFonts w:ascii="方正书宋_GBK" w:eastAsia="方正书宋_GBK" w:hint="eastAsia"/>
              </w:rPr>
              <w:t>单位：万元</w:t>
            </w:r>
          </w:p>
        </w:tc>
      </w:tr>
      <w:tr>
        <w:trPr>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13063021Z1L2HXCUEP8FD</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大气污染防治网络化管理咨询服务费及微型站运维服务经费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预算数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165.00</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165.00</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其他资金</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rPr>
          <w:trHeight w:val="369"/>
        </w:trPr>
        <w:tc>
          <w:tcPr>
            <w:tcW w:w="1134" w:type="dxa"/>
            <w:vMerge/>
            <w:tcBorders>
              <w:tl2br w:val="nil"/>
              <w:tr2bl w:val="nil"/>
            </w:tcBorders>
            <w:shd w:val="clear" w:color="auto" w:fill="auto"/>
            <w:vAlign w:val="center"/>
          </w:tcPr>
          <w:p/>
        </w:tc>
        <w:tc>
          <w:tcPr>
            <w:tcW w:w="8278" w:type="dxa"/>
            <w:gridSpan w:val="6"/>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涞源县大气污染防治网格化管理咨询服务及微型站运维服务项目经费</w:t>
            </w:r>
          </w:p>
        </w:tc>
      </w:tr>
      <w:tr>
        <w:trPr>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trPr>
          <w:trHeight w:val="369"/>
        </w:trPr>
        <w:tc>
          <w:tcPr>
            <w:tcW w:w="1134" w:type="dxa"/>
            <w:vMerge/>
            <w:tcBorders>
              <w:bottom w:val="single" w:sz="6" w:space="0" w:color="000000"/>
              <w:tl2br w:val="nil"/>
              <w:tr2bl w:val="nil"/>
            </w:tcBorders>
            <w:shd w:val="clear" w:color="auto" w:fill="auto"/>
            <w:vAlign w:val="center"/>
          </w:tcPr>
          <w:p/>
        </w:tc>
        <w:tc>
          <w:tcPr>
            <w:tcW w:w="2410"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sz="6" w:space="0" w:color="000000"/>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rPr>
          <w:trHeight w:val="369"/>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改善空气质量</w:t>
            </w:r>
          </w:p>
          <w:p>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资金正常拨付</w:t>
            </w:r>
          </w:p>
          <w:p>
            <w:pPr>
              <w:spacing w:line="300" w:lineRule="exact"/>
              <w:jc w:val="left"/>
              <w:rPr>
                <w:rFonts w:ascii="方正书宋_GBK" w:eastAsia="方正书宋_GBK"/>
              </w:rPr>
            </w:pPr>
            <w:r>
              <w:rPr>
                <w:rFonts w:ascii="方正书宋_GBK" w:eastAsia="方正书宋_GBK"/>
              </w:rPr>
              <w:t>3.</w:t>
            </w:r>
            <w:r>
              <w:rPr>
                <w:rFonts w:ascii="方正书宋_GBK" w:eastAsia="方正书宋_GBK" w:hint="eastAsia"/>
              </w:rPr>
              <w:t>环境得到改善</w:t>
            </w:r>
          </w:p>
        </w:tc>
      </w:tr>
    </w:tbl>
    <w:p>
      <w:pPr>
        <w:spacing w:line="14" w:lineRule="exact"/>
        <w:jc w:val="center"/>
      </w:pPr>
      <w:r>
        <w:rPr>
          <w:rFonts w:ascii="方正书宋_GBK" w:eastAsia="方正书宋_GBK"/>
        </w:rPr>
        <w:t xml:space="preserve"> </w:t>
      </w:r>
    </w:p>
    <w:tbl>
      <w:tblPr>
        <w:jc w:val="center"/>
        <w:tblW w:w="94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134"/>
        <w:gridCol w:w="1134"/>
        <w:gridCol w:w="1276"/>
        <w:gridCol w:w="2891"/>
        <w:gridCol w:w="1276"/>
        <w:gridCol w:w="1701"/>
      </w:tblGrid>
      <w:tr>
        <w:trPr>
          <w:cantSplit/>
          <w:trHeight w:val="397"/>
          <w:tblHead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ascii="方正书宋_GBK" w:eastAsia="方正书宋_GBK" w:hint="eastAsia"/>
                <w:b/>
              </w:rPr>
              <w:t>指标值确定依据</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ascii="方正书宋_GBK" w:eastAsia="方正书宋_GBK" w:hint="eastAsia"/>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对全省环境监测系统的质量管理</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组织开展外部监督、质量管理培训、技术交流与指导。组织开展能力考核。</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根据数据要求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质量指标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根据数据要求</w:t>
            </w:r>
          </w:p>
        </w:tc>
      </w:tr>
      <w:tr>
        <w:trPr>
          <w:cantSplit/>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按照要求和计划完成研究任务的项目在所有立项项目中的比例（百分比）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根据相关文件要求</w:t>
            </w:r>
          </w:p>
        </w:tc>
      </w:tr>
      <w:tr>
        <w:trPr>
          <w:cantSplit/>
          <w:trHeight w:val="369"/>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效益指标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社会影响力</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根据相关数据要求</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生态效益指标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生态效益指标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根据相关数据要求</w:t>
            </w:r>
          </w:p>
        </w:tc>
      </w:tr>
      <w:tr>
        <w:trPr>
          <w:trHeight w:val="369"/>
        </w:trPr>
        <w:tc>
          <w:tcPr>
            <w:tcW w:w="1134" w:type="dxa"/>
            <w:vMerg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数据质量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0</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根据相关数据</w:t>
            </w:r>
          </w:p>
        </w:tc>
      </w:tr>
      <w:tr>
        <w:trPr>
          <w:cantSplit/>
          <w:trHeight w:val="369"/>
        </w:trPr>
        <w:tc>
          <w:tcPr>
            <w:tcW w:w="1134" w:type="dxa"/>
            <w:tcBorders>
              <w:tl2br w:val="nil"/>
              <w:tr2bl w:val="nil"/>
            </w:tcBorders>
            <w:shd w:val="clear" w:color="auto" w:fill="auto"/>
            <w:vAlign w:val="center"/>
          </w:tcPr>
          <w:p>
            <w:pPr>
              <w:spacing w:line="300" w:lineRule="exact"/>
              <w:jc w:val="center"/>
              <w:rPr>
                <w:rFonts w:ascii="方正书宋_GBK" w:eastAsia="方正书宋_GBK" w:hint="eastAsia"/>
              </w:rPr>
            </w:pPr>
            <w:r>
              <w:rPr>
                <w:rFonts w:ascii="方正书宋_GBK" w:eastAsia="方正书宋_GBK" w:hint="eastAsia"/>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满意度评价</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hint="eastAsia"/>
              </w:rPr>
              <w:t>群众满意度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w:t>
            </w:r>
            <w:r>
              <w:rPr>
                <w:rFonts w:ascii="方正书宋_GBK" w:eastAsia="方正书宋_GBK"/>
              </w:rPr>
              <w:t>80%</w:t>
            </w:r>
          </w:p>
        </w:tc>
        <w:tc>
          <w:tcPr>
            <w:tcW w:w="1701" w:type="dxa"/>
            <w:tcBorders>
              <w:tl2br w:val="nil"/>
              <w:tr2bl w:val="nil"/>
            </w:tcBorders>
            <w:shd w:val="clear" w:color="auto" w:fill="auto"/>
            <w:vAlign w:val="center"/>
          </w:tcPr>
          <w:p>
            <w:pPr>
              <w:spacing w:line="300" w:lineRule="exact"/>
              <w:jc w:val="left"/>
              <w:rPr>
                <w:rFonts w:ascii="方正书宋_GBK" w:eastAsia="方正书宋_GBK" w:hint="eastAsia"/>
              </w:rPr>
            </w:pPr>
            <w:r>
              <w:rPr>
                <w:rFonts w:ascii="方正书宋_GBK" w:eastAsia="方正书宋_GBK" w:hint="eastAsia"/>
              </w:rPr>
              <w:t>根据调查</w:t>
            </w:r>
          </w:p>
        </w:tc>
      </w:tr>
    </w:tbl>
    <w:p>
      <w:pPr>
        <w:spacing w:line="600" w:lineRule="exact"/>
        <w:jc w:val="center"/>
        <w:rPr>
          <w:rFonts w:ascii="仿宋" w:eastAsia="仿宋" w:cs="仿宋" w:hint="eastAsia"/>
          <w:sz w:val="32"/>
          <w:szCs w:val="32"/>
        </w:rPr>
      </w:pPr>
    </w:p>
    <w:p>
      <w:pPr>
        <w:spacing w:before="10" w:after="10" w:line="240" w:lineRule="auto"/>
        <w:jc w:val="left"/>
        <w:outlineLvl w:val="5"/>
        <w:rPr>
          <w:rFonts w:ascii="黑体" w:eastAsia="黑体" w:cs="黑体"/>
          <w:color w:val="000000"/>
          <w:sz w:val="32"/>
        </w:rPr>
        <w:sectPr>
          <w:pgSz w:w="16840" w:h="11900" w:orient="landscape"/>
          <w:pgMar w:top="1361" w:right="1020" w:bottom="1361" w:left="1020" w:header="720" w:footer="720" w:gutter="0"/>
          <w:docGrid w:linePitch="326" w:charSpace="0"/>
        </w:sectPr>
      </w:pPr>
    </w:p>
    <w:p>
      <w:pPr>
        <w:spacing w:before="10" w:after="10" w:line="240" w:lineRule="auto"/>
        <w:ind w:left="0"/>
        <w:jc w:val="left"/>
        <w:outlineLvl w:val="5"/>
      </w:pPr>
      <w:r>
        <w:rPr>
          <w:rFonts w:ascii="黑体" w:eastAsia="黑体" w:cs="黑体"/>
          <w:color w:val="000000"/>
          <w:sz w:val="32"/>
        </w:rPr>
        <w:t>六、政府采购预算情况</w:t>
      </w:r>
    </w:p>
    <w:p>
      <w:pPr>
        <w:spacing w:before="0" w:after="0" w:line="500" w:lineRule="exact"/>
        <w:ind w:left="0" w:firstLineChars="200" w:firstLine="640"/>
        <w:jc w:val="left"/>
        <w:outlineLvl w:val="9"/>
        <w:rPr>
          <w:rFonts w:eastAsia="方正仿宋_GBK"/>
          <w:sz w:val="28"/>
        </w:rPr>
      </w:pPr>
      <w:r>
        <w:rPr>
          <w:rFonts w:ascii="仿宋" w:eastAsia="仿宋" w:cs="仿宋" w:hint="eastAsia"/>
          <w:sz w:val="32"/>
          <w:szCs w:val="32"/>
        </w:rPr>
        <w:t>我</w:t>
      </w:r>
      <w:r>
        <w:rPr>
          <w:rFonts w:eastAsia="方正仿宋_GBK" w:cs="仿宋" w:hint="eastAsia"/>
          <w:sz w:val="28"/>
        </w:rPr>
        <w:t>部门2021年无政府采购预算</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line="500" w:lineRule="exact"/>
        <w:ind w:left="0" w:firstLineChars="200" w:firstLine="640"/>
      </w:pPr>
      <w:r>
        <w:rPr>
          <w:rFonts w:ascii="黑体" w:eastAsia="黑体" w:cs="黑体"/>
          <w:color w:val="000000"/>
          <w:sz w:val="32"/>
        </w:rPr>
        <w:t>七、国有资产信息</w:t>
      </w:r>
    </w:p>
    <w:p>
      <w:pPr>
        <w:spacing w:line="600" w:lineRule="exact"/>
        <w:ind w:left="0"/>
        <w:jc w:val="left"/>
        <w:rPr>
          <w:rFonts w:eastAsia="方正仿宋_GBK" w:cs="仿宋" w:hint="eastAsia"/>
          <w:sz w:val="28"/>
        </w:rPr>
      </w:pPr>
      <w:r>
        <w:rPr>
          <w:rFonts w:eastAsia="方正仿宋_GBK" w:cs="仿宋" w:hint="eastAsia"/>
          <w:sz w:val="28"/>
        </w:rPr>
        <w:t>保定市生态环境局涞源县分局2020年末固定资产总金额1351.03万元（详见下表）。 2021年无拟购置情况。</w:t>
      </w:r>
    </w:p>
    <w:tbl>
      <w:tblPr>
        <w:jc w:val="left"/>
        <w:tblInd w:w="93"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800"/>
        <w:gridCol w:w="1586"/>
        <w:gridCol w:w="3394"/>
      </w:tblGrid>
      <w:tr>
        <w:trPr>
          <w:trHeight w:val="390"/>
        </w:trPr>
        <w:tc>
          <w:tcPr>
            <w:tcW w:w="8780" w:type="dxa"/>
            <w:gridSpan w:val="3"/>
            <w:tcBorders>
              <w:top w:val="nil"/>
              <w:left w:val="nil"/>
              <w:bottom w:val="nil"/>
              <w:right w:val="nil"/>
              <w:tl2br w:val="nil"/>
              <w:tr2bl w:val="nil"/>
            </w:tcBorders>
            <w:vAlign w:val="center"/>
          </w:tcPr>
          <w:p>
            <w:pPr>
              <w:widowControl/>
              <w:jc w:val="center"/>
              <w:rPr>
                <w:rFonts w:eastAsia="方正仿宋_GBK" w:cs="仿宋" w:hint="eastAsia"/>
                <w:sz w:val="28"/>
              </w:rPr>
            </w:pPr>
            <w:r>
              <w:rPr>
                <w:rFonts w:eastAsia="方正仿宋_GBK" w:cs="仿宋" w:hint="eastAsia"/>
                <w:sz w:val="28"/>
              </w:rPr>
              <w:t>保定市生态环境局涞源县分局固定资产占用情况表</w:t>
            </w:r>
          </w:p>
        </w:tc>
      </w:tr>
      <w:tr>
        <w:trPr>
          <w:trHeight w:val="360"/>
        </w:trPr>
        <w:tc>
          <w:tcPr>
            <w:tcW w:w="8780" w:type="dxa"/>
            <w:gridSpan w:val="3"/>
            <w:tcBorders>
              <w:top w:val="nil"/>
              <w:left w:val="nil"/>
              <w:bottom w:val="single" w:sz="4" w:space="0" w:color="auto"/>
              <w:right w:val="nil"/>
              <w:tl2br w:val="nil"/>
              <w:tr2bl w:val="nil"/>
            </w:tcBorders>
            <w:vAlign w:val="center"/>
          </w:tcPr>
          <w:p>
            <w:pPr>
              <w:widowControl/>
              <w:jc w:val="center"/>
              <w:rPr>
                <w:rFonts w:eastAsia="方正仿宋_GBK" w:cs="仿宋" w:hint="eastAsia"/>
                <w:sz w:val="28"/>
              </w:rPr>
            </w:pPr>
            <w:r>
              <w:rPr>
                <w:rFonts w:eastAsia="方正仿宋_GBK" w:cs="仿宋" w:hint="eastAsia"/>
                <w:bCs/>
                <w:sz w:val="28"/>
              </w:rPr>
              <w:t xml:space="preserve">                           截止时间：2020年12月31日</w:t>
            </w:r>
          </w:p>
        </w:tc>
      </w:tr>
      <w:tr>
        <w:trPr>
          <w:trHeight w:val="439"/>
        </w:trPr>
        <w:tc>
          <w:tcPr>
            <w:tcW w:w="380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方正仿宋_GBK" w:cs="仿宋" w:hint="eastAsia"/>
                <w:bCs/>
                <w:sz w:val="28"/>
              </w:rPr>
            </w:pPr>
            <w:r>
              <w:rPr>
                <w:rFonts w:eastAsia="方正仿宋_GBK" w:cs="仿宋" w:hint="eastAsia"/>
                <w:bCs/>
                <w:sz w:val="28"/>
              </w:rPr>
              <w:t>项　　目</w:t>
            </w:r>
          </w:p>
        </w:tc>
        <w:tc>
          <w:tcPr>
            <w:tcW w:w="1586"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bCs/>
                <w:sz w:val="28"/>
              </w:rPr>
            </w:pPr>
            <w:r>
              <w:rPr>
                <w:rFonts w:eastAsia="方正仿宋_GBK" w:cs="仿宋" w:hint="eastAsia"/>
                <w:bCs/>
                <w:sz w:val="28"/>
              </w:rPr>
              <w:t>数量</w:t>
            </w:r>
          </w:p>
        </w:tc>
        <w:tc>
          <w:tcPr>
            <w:tcW w:w="3394"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bCs/>
                <w:sz w:val="28"/>
              </w:rPr>
            </w:pPr>
            <w:r>
              <w:rPr>
                <w:rFonts w:eastAsia="方正仿宋_GBK" w:cs="仿宋" w:hint="eastAsia"/>
                <w:bCs/>
                <w:sz w:val="28"/>
              </w:rPr>
              <w:t>价值（单位：万元）</w:t>
            </w:r>
          </w:p>
        </w:tc>
      </w:tr>
      <w:tr>
        <w:trPr>
          <w:trHeight w:val="292"/>
        </w:trPr>
        <w:tc>
          <w:tcPr>
            <w:tcW w:w="3800" w:type="dxa"/>
            <w:tcBorders>
              <w:top w:val="nil"/>
              <w:left w:val="single" w:sz="4" w:space="0" w:color="auto"/>
              <w:bottom w:val="single" w:sz="4" w:space="0" w:color="auto"/>
              <w:right w:val="single" w:sz="4" w:space="0" w:color="auto"/>
              <w:tl2br w:val="nil"/>
              <w:tr2bl w:val="nil"/>
            </w:tcBorders>
            <w:vAlign w:val="center"/>
          </w:tcPr>
          <w:p>
            <w:pPr>
              <w:widowControl/>
              <w:jc w:val="center"/>
              <w:rPr>
                <w:rFonts w:eastAsia="方正仿宋_GBK" w:cs="仿宋" w:hint="eastAsia"/>
                <w:bCs/>
                <w:sz w:val="28"/>
              </w:rPr>
            </w:pPr>
            <w:r>
              <w:rPr>
                <w:rFonts w:eastAsia="方正仿宋_GBK" w:cs="仿宋" w:hint="eastAsia"/>
                <w:bCs/>
                <w:sz w:val="28"/>
              </w:rPr>
              <w:t>固定资产总额</w:t>
            </w:r>
          </w:p>
        </w:tc>
        <w:tc>
          <w:tcPr>
            <w:tcW w:w="1586"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w:t>
            </w:r>
          </w:p>
        </w:tc>
        <w:tc>
          <w:tcPr>
            <w:tcW w:w="3394"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1351.03</w:t>
            </w:r>
          </w:p>
        </w:tc>
      </w:tr>
      <w:tr>
        <w:trPr>
          <w:trHeight w:val="285"/>
        </w:trPr>
        <w:tc>
          <w:tcPr>
            <w:tcW w:w="38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方正仿宋_GBK" w:cs="仿宋" w:hint="eastAsia"/>
                <w:sz w:val="28"/>
              </w:rPr>
            </w:pPr>
            <w:r>
              <w:rPr>
                <w:rFonts w:eastAsia="方正仿宋_GBK" w:cs="仿宋" w:hint="eastAsia"/>
                <w:sz w:val="28"/>
              </w:rPr>
              <w:t xml:space="preserve">  1、房屋（平方米）</w:t>
            </w:r>
          </w:p>
        </w:tc>
        <w:tc>
          <w:tcPr>
            <w:tcW w:w="1586"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2600</w:t>
            </w:r>
          </w:p>
        </w:tc>
        <w:tc>
          <w:tcPr>
            <w:tcW w:w="3394"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574</w:t>
            </w:r>
          </w:p>
        </w:tc>
      </w:tr>
      <w:tr>
        <w:trPr>
          <w:trHeight w:val="248"/>
        </w:trPr>
        <w:tc>
          <w:tcPr>
            <w:tcW w:w="3800"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eastAsia="方正仿宋_GBK" w:cs="仿宋" w:hint="eastAsia"/>
                <w:sz w:val="28"/>
              </w:rPr>
            </w:pPr>
            <w:r>
              <w:rPr>
                <w:rFonts w:eastAsia="方正仿宋_GBK" w:cs="仿宋" w:hint="eastAsia"/>
                <w:sz w:val="28"/>
              </w:rPr>
              <w:t xml:space="preserve">   其中：办公用房（平方米）</w:t>
            </w:r>
          </w:p>
        </w:tc>
        <w:tc>
          <w:tcPr>
            <w:tcW w:w="1586" w:type="dxa"/>
            <w:tcBorders>
              <w:top w:val="single" w:sz="4" w:space="0" w:color="auto"/>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2400</w:t>
            </w:r>
          </w:p>
        </w:tc>
        <w:tc>
          <w:tcPr>
            <w:tcW w:w="3394" w:type="dxa"/>
            <w:tcBorders>
              <w:top w:val="single" w:sz="4" w:space="0" w:color="auto"/>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490</w:t>
            </w:r>
          </w:p>
        </w:tc>
      </w:tr>
      <w:tr>
        <w:trPr>
          <w:trHeight w:val="292"/>
        </w:trPr>
        <w:tc>
          <w:tcPr>
            <w:tcW w:w="38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方正仿宋_GBK" w:cs="仿宋" w:hint="eastAsia"/>
                <w:sz w:val="28"/>
              </w:rPr>
            </w:pPr>
            <w:r>
              <w:rPr>
                <w:rFonts w:eastAsia="方正仿宋_GBK" w:cs="仿宋" w:hint="eastAsia"/>
                <w:sz w:val="28"/>
              </w:rPr>
              <w:t xml:space="preserve">  2、车辆（台、辆）</w:t>
            </w:r>
          </w:p>
        </w:tc>
        <w:tc>
          <w:tcPr>
            <w:tcW w:w="1586"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8</w:t>
            </w:r>
          </w:p>
        </w:tc>
        <w:tc>
          <w:tcPr>
            <w:tcW w:w="3394"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53.18</w:t>
            </w:r>
          </w:p>
        </w:tc>
      </w:tr>
      <w:tr>
        <w:trPr>
          <w:trHeight w:val="359"/>
        </w:trPr>
        <w:tc>
          <w:tcPr>
            <w:tcW w:w="3800" w:type="dxa"/>
            <w:tcBorders>
              <w:top w:val="nil"/>
              <w:left w:val="single" w:sz="4" w:space="0" w:color="auto"/>
              <w:bottom w:val="single" w:sz="4" w:space="0" w:color="auto"/>
              <w:right w:val="single" w:sz="4" w:space="0" w:color="auto"/>
              <w:tl2br w:val="nil"/>
              <w:tr2bl w:val="nil"/>
            </w:tcBorders>
            <w:vAlign w:val="center"/>
          </w:tcPr>
          <w:p>
            <w:pPr>
              <w:widowControl/>
              <w:jc w:val="left"/>
              <w:rPr>
                <w:rFonts w:eastAsia="方正仿宋_GBK" w:cs="仿宋" w:hint="eastAsia"/>
                <w:sz w:val="28"/>
              </w:rPr>
            </w:pPr>
            <w:r>
              <w:rPr>
                <w:rFonts w:eastAsia="方正仿宋_GBK" w:cs="仿宋" w:hint="eastAsia"/>
                <w:sz w:val="28"/>
              </w:rPr>
              <w:t xml:space="preserve">  3、单价在20万元以上的设备</w:t>
            </w:r>
          </w:p>
        </w:tc>
        <w:tc>
          <w:tcPr>
            <w:tcW w:w="1586"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w:t>
            </w:r>
          </w:p>
        </w:tc>
        <w:tc>
          <w:tcPr>
            <w:tcW w:w="3394" w:type="dxa"/>
            <w:tcBorders>
              <w:top w:val="nil"/>
              <w:left w:val="nil"/>
              <w:bottom w:val="single" w:sz="4" w:space="0" w:color="auto"/>
              <w:right w:val="single" w:sz="4" w:space="0" w:color="auto"/>
              <w:tl2br w:val="nil"/>
              <w:tr2bl w:val="nil"/>
            </w:tcBorders>
            <w:vAlign w:val="center"/>
          </w:tcPr>
          <w:p>
            <w:pPr>
              <w:widowControl/>
              <w:jc w:val="center"/>
              <w:rPr>
                <w:rFonts w:eastAsia="方正仿宋_GBK" w:cs="仿宋" w:hint="eastAsia"/>
                <w:sz w:val="28"/>
              </w:rPr>
            </w:pPr>
            <w:r>
              <w:rPr>
                <w:rFonts w:eastAsia="方正仿宋_GBK" w:cs="仿宋" w:hint="eastAsia"/>
                <w:sz w:val="28"/>
              </w:rPr>
              <w:t>0</w:t>
            </w:r>
          </w:p>
        </w:tc>
      </w:tr>
      <w:tr>
        <w:trPr>
          <w:trHeight w:val="255"/>
        </w:trPr>
        <w:tc>
          <w:tcPr>
            <w:tcW w:w="3800" w:type="dxa"/>
            <w:tcBorders>
              <w:top w:val="single" w:sz="4" w:space="0" w:color="auto"/>
              <w:left w:val="single" w:sz="4" w:space="0" w:color="auto"/>
              <w:bottom w:val="single" w:sz="4" w:space="0" w:color="auto"/>
              <w:right w:val="single" w:sz="4" w:space="0" w:color="auto"/>
              <w:tl2br w:val="nil"/>
              <w:tr2bl w:val="nil"/>
            </w:tcBorders>
            <w:vAlign w:val="center"/>
          </w:tcPr>
          <w:p>
            <w:pPr>
              <w:jc w:val="left"/>
              <w:rPr>
                <w:rFonts w:eastAsia="方正仿宋_GBK" w:cs="仿宋" w:hint="eastAsia"/>
                <w:sz w:val="28"/>
              </w:rPr>
            </w:pPr>
            <w:r>
              <w:rPr>
                <w:rFonts w:eastAsia="方正仿宋_GBK" w:cs="仿宋" w:hint="eastAsia"/>
                <w:sz w:val="28"/>
              </w:rPr>
              <w:t xml:space="preserve">  4、其他固定资产</w:t>
            </w:r>
          </w:p>
        </w:tc>
        <w:tc>
          <w:tcPr>
            <w:tcW w:w="1586" w:type="dxa"/>
            <w:tcBorders>
              <w:top w:val="single" w:sz="4" w:space="0" w:color="auto"/>
              <w:left w:val="nil"/>
              <w:bottom w:val="single" w:sz="4" w:space="0" w:color="auto"/>
              <w:right w:val="single" w:sz="4" w:space="0" w:color="auto"/>
              <w:tl2br w:val="nil"/>
              <w:tr2bl w:val="nil"/>
            </w:tcBorders>
            <w:vAlign w:val="center"/>
          </w:tcPr>
          <w:p>
            <w:pPr>
              <w:jc w:val="center"/>
              <w:rPr>
                <w:rFonts w:eastAsia="方正仿宋_GBK" w:cs="仿宋" w:hint="eastAsia"/>
                <w:sz w:val="28"/>
              </w:rPr>
            </w:pPr>
            <w:r>
              <w:rPr>
                <w:rFonts w:eastAsia="方正仿宋_GBK" w:cs="仿宋" w:hint="eastAsia"/>
                <w:sz w:val="28"/>
              </w:rPr>
              <w:t>—</w:t>
            </w:r>
          </w:p>
        </w:tc>
        <w:tc>
          <w:tcPr>
            <w:tcW w:w="3394" w:type="dxa"/>
            <w:tcBorders>
              <w:top w:val="single" w:sz="4" w:space="0" w:color="auto"/>
              <w:left w:val="nil"/>
              <w:bottom w:val="single" w:sz="4" w:space="0" w:color="auto"/>
              <w:right w:val="single" w:sz="4" w:space="0" w:color="auto"/>
              <w:tl2br w:val="nil"/>
              <w:tr2bl w:val="nil"/>
            </w:tcBorders>
            <w:vAlign w:val="center"/>
          </w:tcPr>
          <w:p>
            <w:pPr>
              <w:jc w:val="center"/>
              <w:rPr>
                <w:rFonts w:eastAsia="方正仿宋_GBK" w:cs="仿宋" w:hint="eastAsia"/>
                <w:sz w:val="28"/>
              </w:rPr>
            </w:pPr>
            <w:r>
              <w:rPr>
                <w:rFonts w:eastAsia="方正仿宋_GBK" w:cs="仿宋" w:hint="eastAsia"/>
                <w:sz w:val="28"/>
              </w:rPr>
              <w:t>723.85</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line="600" w:lineRule="exact"/>
        <w:ind w:firstLineChars="200" w:firstLine="560"/>
        <w:jc w:val="left"/>
        <w:outlineLvl w:val="0"/>
        <w:rPr>
          <w:rFonts w:eastAsia="方正仿宋_GBK" w:cs="仿宋" w:hint="eastAsia"/>
          <w:sz w:val="28"/>
        </w:rPr>
      </w:pPr>
      <w:r>
        <w:rPr>
          <w:rFonts w:eastAsia="方正仿宋_GBK" w:cs="仿宋" w:hint="eastAsia"/>
          <w:sz w:val="28"/>
        </w:rPr>
        <w:t>1、财政拨款收入：指县级财政当年拨付的资金。</w:t>
      </w:r>
    </w:p>
    <w:p>
      <w:pPr>
        <w:spacing w:line="600" w:lineRule="exact"/>
        <w:ind w:firstLineChars="200" w:firstLine="640"/>
        <w:outlineLvl w:val="0"/>
        <w:rPr>
          <w:rFonts w:eastAsia="方正仿宋_GBK" w:cs="仿宋" w:hint="eastAsia"/>
          <w:sz w:val="28"/>
        </w:rPr>
      </w:pPr>
      <w:r>
        <w:rPr>
          <w:rFonts w:ascii="仿宋" w:eastAsia="仿宋" w:cs="仿宋" w:hint="eastAsia"/>
          <w:b/>
          <w:sz w:val="32"/>
          <w:szCs w:val="32"/>
        </w:rPr>
        <w:t>2</w:t>
      </w:r>
      <w:r>
        <w:rPr>
          <w:rFonts w:eastAsia="方正仿宋_GBK" w:cs="仿宋" w:hint="eastAsia"/>
          <w:sz w:val="28"/>
        </w:rPr>
        <w:t>、其他收入：指除上述“财政拨款收入”、“事业收入”等以外的收入。</w:t>
      </w:r>
    </w:p>
    <w:p>
      <w:pPr>
        <w:spacing w:line="600" w:lineRule="exact"/>
        <w:ind w:firstLineChars="200" w:firstLine="560"/>
        <w:outlineLvl w:val="0"/>
        <w:rPr>
          <w:rFonts w:eastAsia="方正仿宋_GBK" w:cs="仿宋" w:hint="eastAsia"/>
          <w:sz w:val="28"/>
        </w:rPr>
      </w:pPr>
      <w:r>
        <w:rPr>
          <w:rFonts w:eastAsia="方正仿宋_GBK" w:cs="仿宋" w:hint="eastAsia"/>
          <w:sz w:val="28"/>
        </w:rPr>
        <w:t>3、基本支出：指为保障机构正常运转、完成日常工作任务而发生的人员支出和公用支出。</w:t>
      </w:r>
    </w:p>
    <w:p>
      <w:pPr>
        <w:spacing w:line="600" w:lineRule="exact"/>
        <w:ind w:firstLineChars="200" w:firstLine="560"/>
        <w:outlineLvl w:val="0"/>
        <w:rPr>
          <w:rFonts w:eastAsia="方正仿宋_GBK" w:cs="仿宋" w:hint="eastAsia"/>
          <w:sz w:val="28"/>
        </w:rPr>
      </w:pPr>
      <w:r>
        <w:rPr>
          <w:rFonts w:eastAsia="方正仿宋_GBK" w:cs="仿宋" w:hint="eastAsia"/>
          <w:sz w:val="28"/>
        </w:rPr>
        <w:t>4、项目支出：指在基本支出之外为完成特定行政任务和事业发展目标所发生的支出。</w:t>
      </w:r>
    </w:p>
    <w:p>
      <w:pPr>
        <w:spacing w:line="600" w:lineRule="exact"/>
        <w:ind w:firstLineChars="200" w:firstLine="560"/>
        <w:outlineLvl w:val="0"/>
        <w:rPr>
          <w:rFonts w:eastAsia="方正仿宋_GBK" w:cs="仿宋" w:hint="eastAsia"/>
          <w:sz w:val="28"/>
        </w:rPr>
      </w:pPr>
      <w:r>
        <w:rPr>
          <w:rFonts w:eastAsia="方正仿宋_GBK" w:cs="仿宋" w:hint="eastAsia"/>
          <w:sz w:val="28"/>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ind w:firstLineChars="200" w:firstLine="560"/>
        <w:outlineLvl w:val="0"/>
        <w:rPr>
          <w:rFonts w:eastAsia="方正仿宋_GBK" w:cs="仿宋" w:hint="eastAsia"/>
          <w:sz w:val="28"/>
        </w:rPr>
      </w:pPr>
      <w:r>
        <w:rPr>
          <w:rFonts w:eastAsia="方正仿宋_GBK" w:cs="仿宋" w:hint="eastAsia"/>
          <w:sz w:val="28"/>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Chars="200" w:firstLine="560"/>
        <w:outlineLvl w:val="0"/>
        <w:rPr>
          <w:rFonts w:ascii="仿宋" w:eastAsia="仿宋" w:cs="仿宋" w:hint="eastAsia"/>
          <w:sz w:val="32"/>
          <w:szCs w:val="32"/>
        </w:rPr>
      </w:pPr>
      <w:r>
        <w:rPr>
          <w:rFonts w:eastAsia="方正仿宋_GBK" w:cs="仿宋" w:hint="eastAsia"/>
          <w:sz w:val="28"/>
        </w:rPr>
        <w:t>7、公务费：包括办公费、水电费、邮电费、取暖费、交通费、一般会议费和物业管理费之和。</w:t>
      </w:r>
    </w:p>
    <w:p>
      <w:pPr>
        <w:spacing w:before="10" w:after="10" w:line="240" w:lineRule="auto"/>
        <w:ind w:left="0" w:firstLineChars="150" w:firstLine="480"/>
        <w:jc w:val="left"/>
        <w:outlineLvl w:val="5"/>
      </w:pPr>
      <w:r>
        <w:rPr>
          <w:rFonts w:ascii="黑体" w:eastAsia="黑体" w:cs="黑体"/>
          <w:color w:val="000000"/>
          <w:sz w:val="32"/>
        </w:rPr>
        <w:t>九、其他需要说明的事项</w:t>
      </w:r>
    </w:p>
    <w:p>
      <w:pPr>
        <w:spacing w:line="600" w:lineRule="exact"/>
        <w:ind w:firstLineChars="200" w:firstLine="560"/>
        <w:jc w:val="left"/>
        <w:outlineLvl w:val="0"/>
        <w:rPr>
          <w:rFonts w:ascii="仿宋" w:eastAsia="仿宋" w:cs="仿宋" w:hint="eastAsia"/>
          <w:sz w:val="32"/>
          <w:szCs w:val="32"/>
        </w:rPr>
      </w:pPr>
      <w:r>
        <w:rPr>
          <w:rFonts w:ascii="Times New Roman" w:eastAsia="方正仿宋_GBK" w:cs="Times New Roman" w:hAnsi="Times New Roman"/>
          <w:b w:val="0"/>
          <w:color w:val="000000"/>
          <w:sz w:val="28"/>
        </w:rPr>
        <w:t>我单位无其他需要说明的事项。</w:t>
      </w:r>
    </w:p>
    <w:p>
      <w:pPr>
        <w:spacing w:before="0" w:after="0" w:line="500" w:lineRule="exact"/>
        <w:ind w:firstLine="560"/>
        <w:jc w:val="left"/>
        <w:outlineLvl w:val="9"/>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仿宋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2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298" distR="114298" simplePos="0" relativeHeight="14" behindDoc="0" locked="0" layoutInCell="1" hidden="0" allowOverlap="1">
              <wp:simplePos x="0" y="0"/>
              <wp:positionH relativeFrom="margin">
                <wp:align>center</wp:align>
              </wp:positionH>
              <wp:positionV relativeFrom="paragraph">
                <wp:posOffset>0</wp:posOffset>
              </wp:positionV>
              <wp:extent cx="57950" cy="139560"/>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560"/>
                      </a:xfrm>
                      <a:prstGeom prst="rect"/>
                      <a:noFill/>
                      <a:ln w="6350" cmpd="sng" cap="flat">
                        <a:noFill/>
                        <a:prstDash val="solid"/>
                        <a:round/>
                      </a:ln>
                    </wps:spPr>
                    <wps:txbx id="2">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4.56301pt;height:10.988999pt;z-index:14;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rPr>
        <w:sz w:val="24"/>
      </w:rPr>
      <mc:AlternateContent>
        <mc:Choice Requires="wps">
          <w:drawing>
            <wp:anchor distT="0" distB="0" distL="114298" distR="114298" simplePos="0" relativeHeight="16"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5">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2 6" o:spid="_x0000_s6" filled="f" stroked="f" strokeweight="0.5pt" style="position:absolute;margin-left:0.0pt;margin-top:0.0pt;width:9.12602pt;height:10.988999pt;z-index:16;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firstLineChars="5600" w:firstLine="10080"/>
    </w:pPr>
    <w:r>
      <w:rPr>
        <w:sz w:val="18"/>
      </w:rP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0</wp:posOffset>
              </wp:positionV>
              <wp:extent cx="115900" cy="139560"/>
              <wp:effectExtent l="0" t="0" r="0" b="0"/>
              <wp:wrapNone/>
              <wp:docPr id="7" name="文本框 3"/>
              <wp:cNvGraphicFramePr>
                <a:graphicFrameLocks noChangeAspect="0"/>
              </wp:cNvGraphicFramePr>
              <a:graphic>
                <a:graphicData uri="http://schemas.microsoft.com/office/word/2010/wordprocessingShape">
                  <wps:wsp>
                    <wps:cNvSpPr/>
                    <wps:spPr>
                      <a:xfrm rot="0">
                        <a:off x="0" y="0"/>
                        <a:ext cx="115900" cy="139560"/>
                      </a:xfrm>
                      <a:prstGeom prst="rect"/>
                      <a:noFill/>
                      <a:ln w="6350" cmpd="sng" cap="flat">
                        <a:noFill/>
                        <a:prstDash val="solid"/>
                        <a:round/>
                      </a:ln>
                    </wps:spPr>
                    <wps:txbx id="8">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type="#_x0000_t202" id="文本框 3 9" o:spid="_x0000_s9" filled="f" stroked="f" strokeweight="0.5pt" style="position:absolute;margin-left:0.0pt;margin-top:0.0pt;width:9.12602pt;height:10.988999pt;z-index:18;mso-position-horizontal:center;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6"/>
                      <w:tabs>
                        <w:tab w:val="center" w:pos="4153"/>
                        <w:tab w:val="right" w:pos="8306"/>
                      </w:tabs>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CE5F397"/>
    <w:multiLevelType w:val="singleLevel"/>
    <w:tmpl w:val="6CE5F397"/>
    <w:lvl w:ilvl="0">
      <w:start w:val="5"/>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4"/>
  </w:compat>
  <w:docVars>
    <w:docVar w:name="commondata" w:val="eyJoZGlkIjoiNDkxMTg2OWU3NzkxZmRlMjhkMTJkYWY1NzVmZGU0O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oc 3"/>
    <w:basedOn w:val="0"/>
    <w:next w:val="0"/>
    <w:pPr>
      <w:ind w:left="480"/>
    </w:pPr>
  </w:style>
  <w:style w:type="paragraph" w:styleId="16">
    <w:name w:val="footer"/>
    <w:basedOn w:val="0"/>
    <w:next w:val="17"/>
    <w:pPr>
      <w:widowControl w:val="0"/>
      <w:tabs>
        <w:tab w:val="center" w:pos="4153"/>
        <w:tab w:val="right" w:pos="8306"/>
      </w:tabs>
      <w:snapToGrid w:val="0"/>
      <w:jc w:val="left"/>
    </w:pPr>
    <w:rPr>
      <w:rFonts w:ascii="Calibri" w:eastAsia="宋体" w:cs="Times New Roman" w:hAnsi="Calibri"/>
      <w:kern w:val="2"/>
      <w:sz w:val="18"/>
      <w:szCs w:val="18"/>
      <w:lang w:val="en-US" w:eastAsia="zh-CN" w:bidi="ar-SA"/>
    </w:rPr>
  </w:style>
  <w:style w:type="paragraph" w:styleId="17">
    <w:name w:val="toc 4"/>
    <w:basedOn w:val="0"/>
    <w:next w:val="0"/>
    <w:pPr>
      <w:ind w:left="720"/>
    </w:pPr>
  </w:style>
  <w:style w:type="paragraph" w:styleId="18">
    <w:name w:val="header"/>
    <w:basedOn w:val="0"/>
    <w:pPr>
      <w:pBdr>
        <w:bottom w:val="single" w:sz="6" w:space="1" w:color="auto"/>
      </w:pBdr>
      <w:tabs>
        <w:tab w:val="center" w:pos="4153"/>
        <w:tab w:val="right" w:pos="8307"/>
      </w:tabs>
      <w:snapToGrid w:val="0"/>
      <w:jc w:val="center"/>
    </w:pPr>
    <w:rPr>
      <w:sz w:val="18"/>
      <w:szCs w:val="18"/>
    </w:rPr>
  </w:style>
  <w:style w:type="paragraph" w:styleId="19">
    <w:name w:val="toc 1"/>
    <w:basedOn w:val="0"/>
    <w:next w:val="0"/>
    <w:pPr>
      <w:spacing w:before="120" w:line="240" w:lineRule="auto"/>
      <w:ind w:firstLine="560"/>
    </w:pPr>
    <w:rPr>
      <w:rFonts w:ascii="Times New Roman" w:eastAsia="方正仿宋_GBK" w:cs="Times New Roman" w:hAnsi="Times New Roman"/>
      <w:color w:val="000000"/>
      <w:sz w:val="28"/>
      <w:lang w:val="en-US"/>
    </w:rPr>
  </w:style>
  <w:style w:type="paragraph" w:styleId="20">
    <w:name w:val="toc 2"/>
    <w:basedOn w:val="0"/>
    <w:next w:val="0"/>
    <w:pPr>
      <w:ind w:left="240"/>
    </w:pPr>
  </w:style>
  <w:style w:type="character" w:styleId="21">
    <w:name w:val="page number"/>
  </w:style>
  <w:style w:type="paragraph" w:customStyle="1" w:styleId="22">
    <w:name w:val="单元格样式22"/>
    <w:basedOn w:val="0"/>
    <w:pPr>
      <w:spacing w:before="0" w:after="0"/>
      <w:ind w:firstLine="0"/>
      <w:jc w:val="right"/>
      <w:outlineLvl w:val="9"/>
    </w:pPr>
    <w:rPr>
      <w:rFonts w:ascii="方正小标宋_GBK" w:eastAsia="方正小标宋_GBK" w:cs="方正小标宋_GBK"/>
      <w:sz w:val="24"/>
    </w:rPr>
  </w:style>
  <w:style w:type="paragraph" w:customStyle="1" w:styleId="23">
    <w:name w:val="单元格样式21"/>
    <w:basedOn w:val="0"/>
    <w:pPr>
      <w:spacing w:before="0" w:after="0"/>
      <w:ind w:firstLine="0"/>
      <w:jc w:val="center"/>
      <w:outlineLvl w:val="9"/>
    </w:pPr>
    <w:rPr>
      <w:rFonts w:ascii="方正小标宋_GBK" w:eastAsia="方正小标宋_GBK" w:cs="方正小标宋_GBK"/>
      <w:sz w:val="24"/>
    </w:rPr>
  </w:style>
  <w:style w:type="paragraph" w:customStyle="1" w:styleId="24">
    <w:name w:val="单元格样式20"/>
    <w:basedOn w:val="0"/>
    <w:pPr>
      <w:spacing w:before="0" w:after="0"/>
      <w:ind w:firstLine="0"/>
      <w:jc w:val="left"/>
      <w:outlineLvl w:val="9"/>
    </w:pPr>
    <w:rPr>
      <w:rFonts w:ascii="方正小标宋_GBK" w:eastAsia="方正小标宋_GBK" w:cs="方正小标宋_GBK"/>
      <w:sz w:val="24"/>
    </w:rPr>
  </w:style>
  <w:style w:type="paragraph" w:customStyle="1" w:styleId="25">
    <w:name w:val="单元格样式1"/>
    <w:basedOn w:val="0"/>
    <w:pPr>
      <w:spacing w:before="0" w:after="0"/>
      <w:ind w:firstLine="0"/>
      <w:jc w:val="center"/>
      <w:outlineLvl w:val="9"/>
    </w:pPr>
    <w:rPr>
      <w:rFonts w:ascii="方正书宋_GBK" w:eastAsia="方正书宋_GBK" w:cs="方正书宋_GBK"/>
      <w:b/>
      <w:sz w:val="21"/>
    </w:rPr>
  </w:style>
  <w:style w:type="paragraph" w:customStyle="1" w:styleId="26">
    <w:name w:val="单元格样式4"/>
    <w:basedOn w:val="0"/>
    <w:pPr>
      <w:spacing w:before="0" w:after="0"/>
      <w:ind w:firstLine="0"/>
      <w:jc w:val="right"/>
      <w:outlineLvl w:val="9"/>
    </w:pPr>
    <w:rPr>
      <w:rFonts w:ascii="方正书宋_GBK" w:eastAsia="方正书宋_GBK" w:cs="方正书宋_GBK"/>
      <w:sz w:val="21"/>
    </w:rPr>
  </w:style>
  <w:style w:type="paragraph" w:customStyle="1" w:styleId="27">
    <w:name w:val="单元格样式2"/>
    <w:basedOn w:val="0"/>
    <w:pPr>
      <w:spacing w:before="0" w:after="0"/>
      <w:ind w:firstLine="0"/>
      <w:jc w:val="left"/>
      <w:outlineLvl w:val="9"/>
    </w:pPr>
    <w:rPr>
      <w:rFonts w:ascii="方正书宋_GBK" w:eastAsia="方正书宋_GBK" w:cs="方正书宋_GBK"/>
      <w:sz w:val="21"/>
    </w:rPr>
  </w:style>
  <w:style w:type="paragraph" w:customStyle="1" w:styleId="28">
    <w:name w:val="单元格样式3"/>
    <w:basedOn w:val="0"/>
    <w:pPr>
      <w:spacing w:before="0" w:after="0"/>
      <w:ind w:firstLine="0"/>
      <w:jc w:val="center"/>
      <w:outlineLvl w:val="9"/>
    </w:pPr>
    <w:rPr>
      <w:rFonts w:ascii="方正书宋_GBK" w:eastAsia="方正书宋_GBK" w:cs="方正书宋_GBK"/>
      <w:sz w:val="21"/>
    </w:rPr>
  </w:style>
  <w:style w:type="paragraph" w:customStyle="1" w:styleId="29">
    <w:name w:val="单元格样式6"/>
    <w:basedOn w:val="0"/>
    <w:pPr>
      <w:spacing w:before="0" w:after="0"/>
      <w:ind w:firstLine="0"/>
      <w:jc w:val="center"/>
      <w:outlineLvl w:val="9"/>
    </w:pPr>
    <w:rPr>
      <w:rFonts w:ascii="方正书宋_GBK" w:eastAsia="方正书宋_GBK" w:cs="方正书宋_GBK"/>
      <w:b/>
      <w:sz w:val="21"/>
    </w:rPr>
  </w:style>
  <w:style w:type="paragraph" w:customStyle="1" w:styleId="30">
    <w:name w:val="单元格样式7"/>
    <w:basedOn w:val="0"/>
    <w:pPr>
      <w:spacing w:before="0" w:after="0"/>
      <w:ind w:firstLine="0"/>
      <w:jc w:val="right"/>
      <w:outlineLvl w:val="9"/>
    </w:pPr>
    <w:rPr>
      <w:rFonts w:ascii="方正书宋_GBK" w:eastAsia="方正书宋_GBK" w:cs="方正书宋_GBK"/>
      <w:b/>
      <w:sz w:val="21"/>
    </w:rPr>
  </w:style>
  <w:style w:type="paragraph" w:customStyle="1" w:styleId="31">
    <w:name w:val="单元格样式5"/>
    <w:basedOn w:val="0"/>
    <w:pPr>
      <w:spacing w:before="0" w:after="0"/>
      <w:ind w:firstLine="0"/>
      <w:jc w:val="left"/>
      <w:outlineLvl w:val="9"/>
    </w:pPr>
    <w:rPr>
      <w:rFonts w:ascii="方正书宋_GBK" w:eastAsia="方正书宋_GBK" w:cs="方正书宋_GBK"/>
      <w:b/>
      <w:sz w:val="21"/>
    </w:rPr>
  </w:style>
  <w:style w:type="paragraph" w:customStyle="1" w:styleId="32">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3">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8">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9">
    <w:name w:val="单元格样式23"/>
    <w:basedOn w:val="0"/>
    <w:pPr>
      <w:spacing w:before="0" w:after="0"/>
      <w:ind w:firstLine="0"/>
      <w:jc w:val="right"/>
      <w:outlineLvl w:val="9"/>
    </w:pPr>
    <w:rPr>
      <w:rFonts w:ascii="方正书宋_GBK" w:eastAsia="方正书宋_GBK" w:cs="方正书宋_GBK"/>
      <w:sz w:val="24"/>
    </w:rPr>
  </w:style>
  <w:style w:type="paragraph" w:customStyle="1" w:styleId="40">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1">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2">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43">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173</TotalTime>
  <Application>Yozo_Office27021597764231179</Application>
  <Pages>38</Pages>
  <Words>12069</Words>
  <Characters>14060</Characters>
  <Lines>2652</Lines>
  <Paragraphs>1622</Paragraphs>
  <CharactersWithSpaces>14227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DH</cp:lastModifiedBy>
  <cp:revision>1</cp:revision>
  <cp:lastPrinted>2022-09-19T08:46:06Z</cp:lastPrinted>
  <dcterms:created xsi:type="dcterms:W3CDTF">2022-04-14T16:17:00Z</dcterms:created>
  <dcterms:modified xsi:type="dcterms:W3CDTF">2024-06-05T00:38:46Z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2052-11.1.0.12358</vt:lpwstr>
  </property>
  <property fmtid="{D5CDD505-2E9C-101B-9397-08002B2CF9AE}" pid="3" name="ICV">
    <vt:lpwstr>B91FDDC2BA724087BE0EEA4CF3A7A3E4</vt:lpwstr>
  </property>
</Properties>
</file>