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一、中国共产党涞源县委员会老干部局本级收支预算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一、中国共产党涞源县委员会老干部局本级收支预算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656.08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656.08</w:t>
            </w:r>
          </w:p>
        </w:tc>
        <w:tc>
          <w:tcPr>
            <w:tcW w:w="4535" w:type="dxa"/>
            <w:vAlign w:val="center"/>
          </w:tcPr>
          <w:p>
            <w:pPr>
              <w:pStyle w:val="14"/>
            </w:pPr>
            <w:r>
              <w:t>本年支出合计</w:t>
            </w:r>
          </w:p>
        </w:tc>
        <w:tc>
          <w:tcPr>
            <w:tcW w:w="2126" w:type="dxa"/>
            <w:vAlign w:val="center"/>
          </w:tcPr>
          <w:p>
            <w:pPr>
              <w:pStyle w:val="15"/>
            </w:pPr>
            <w:r>
              <w:t>656.08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656.08</w:t>
            </w:r>
          </w:p>
        </w:tc>
        <w:tc>
          <w:tcPr>
            <w:tcW w:w="4535" w:type="dxa"/>
            <w:vAlign w:val="center"/>
          </w:tcPr>
          <w:p>
            <w:pPr>
              <w:pStyle w:val="14"/>
            </w:pPr>
            <w:r>
              <w:t>支出总计</w:t>
            </w:r>
          </w:p>
        </w:tc>
        <w:tc>
          <w:tcPr>
            <w:tcW w:w="2126" w:type="dxa"/>
            <w:vAlign w:val="center"/>
          </w:tcPr>
          <w:p>
            <w:pPr>
              <w:pStyle w:val="15"/>
            </w:pPr>
            <w:r>
              <w:t>656.08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656.08</w:t>
            </w:r>
          </w:p>
        </w:tc>
        <w:tc>
          <w:tcPr>
            <w:tcW w:w="1134" w:type="dxa"/>
            <w:vAlign w:val="center"/>
          </w:tcPr>
          <w:p>
            <w:pPr>
              <w:pStyle w:val="15"/>
            </w:pPr>
            <w:r>
              <w:t>656.08</w:t>
            </w:r>
          </w:p>
        </w:tc>
        <w:tc>
          <w:tcPr>
            <w:tcW w:w="1134" w:type="dxa"/>
            <w:vAlign w:val="center"/>
          </w:tcPr>
          <w:p>
            <w:pPr>
              <w:pStyle w:val="15"/>
            </w:pPr>
            <w:r>
              <w:t>656.08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245.68</w:t>
            </w:r>
          </w:p>
        </w:tc>
        <w:tc>
          <w:tcPr>
            <w:tcW w:w="1134" w:type="dxa"/>
            <w:vAlign w:val="center"/>
          </w:tcPr>
          <w:p>
            <w:pPr>
              <w:pStyle w:val="11"/>
            </w:pPr>
            <w:r>
              <w:t>245.68</w:t>
            </w:r>
          </w:p>
        </w:tc>
        <w:tc>
          <w:tcPr>
            <w:tcW w:w="1134" w:type="dxa"/>
            <w:vAlign w:val="center"/>
          </w:tcPr>
          <w:p>
            <w:pPr>
              <w:pStyle w:val="11"/>
            </w:pPr>
            <w:r>
              <w:t>245.68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245.68</w:t>
            </w:r>
          </w:p>
        </w:tc>
        <w:tc>
          <w:tcPr>
            <w:tcW w:w="1134" w:type="dxa"/>
            <w:vAlign w:val="center"/>
          </w:tcPr>
          <w:p>
            <w:pPr>
              <w:pStyle w:val="11"/>
            </w:pPr>
            <w:r>
              <w:t>245.68</w:t>
            </w:r>
          </w:p>
        </w:tc>
        <w:tc>
          <w:tcPr>
            <w:tcW w:w="1134" w:type="dxa"/>
            <w:vAlign w:val="center"/>
          </w:tcPr>
          <w:p>
            <w:pPr>
              <w:pStyle w:val="11"/>
            </w:pPr>
            <w:r>
              <w:t>245.68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2080503</w:t>
            </w:r>
          </w:p>
        </w:tc>
        <w:tc>
          <w:tcPr>
            <w:tcW w:w="1559" w:type="dxa"/>
            <w:vAlign w:val="center"/>
          </w:tcPr>
          <w:p>
            <w:pPr>
              <w:pStyle w:val="12"/>
            </w:pPr>
            <w:r>
              <w:t>离退休人员管理机构</w:t>
            </w:r>
          </w:p>
        </w:tc>
        <w:tc>
          <w:tcPr>
            <w:tcW w:w="1134" w:type="dxa"/>
            <w:vAlign w:val="center"/>
          </w:tcPr>
          <w:p>
            <w:pPr>
              <w:pStyle w:val="11"/>
            </w:pPr>
            <w:r>
              <w:t>228.89</w:t>
            </w:r>
          </w:p>
        </w:tc>
        <w:tc>
          <w:tcPr>
            <w:tcW w:w="1134" w:type="dxa"/>
            <w:vAlign w:val="center"/>
          </w:tcPr>
          <w:p>
            <w:pPr>
              <w:pStyle w:val="11"/>
            </w:pPr>
            <w:r>
              <w:t>228.89</w:t>
            </w:r>
          </w:p>
        </w:tc>
        <w:tc>
          <w:tcPr>
            <w:tcW w:w="1134" w:type="dxa"/>
            <w:vAlign w:val="center"/>
          </w:tcPr>
          <w:p>
            <w:pPr>
              <w:pStyle w:val="11"/>
            </w:pPr>
            <w:r>
              <w:t>228.89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11.19</w:t>
            </w:r>
          </w:p>
        </w:tc>
        <w:tc>
          <w:tcPr>
            <w:tcW w:w="1134" w:type="dxa"/>
            <w:vAlign w:val="center"/>
          </w:tcPr>
          <w:p>
            <w:pPr>
              <w:pStyle w:val="11"/>
            </w:pPr>
            <w:r>
              <w:t>11.19</w:t>
            </w:r>
          </w:p>
        </w:tc>
        <w:tc>
          <w:tcPr>
            <w:tcW w:w="1134" w:type="dxa"/>
            <w:vAlign w:val="center"/>
          </w:tcPr>
          <w:p>
            <w:pPr>
              <w:pStyle w:val="11"/>
            </w:pPr>
            <w:r>
              <w:t>11.19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404.80</w:t>
            </w:r>
          </w:p>
        </w:tc>
        <w:tc>
          <w:tcPr>
            <w:tcW w:w="1134" w:type="dxa"/>
            <w:vAlign w:val="center"/>
          </w:tcPr>
          <w:p>
            <w:pPr>
              <w:pStyle w:val="11"/>
            </w:pPr>
            <w:r>
              <w:t>404.80</w:t>
            </w:r>
          </w:p>
        </w:tc>
        <w:tc>
          <w:tcPr>
            <w:tcW w:w="1134" w:type="dxa"/>
            <w:vAlign w:val="center"/>
          </w:tcPr>
          <w:p>
            <w:pPr>
              <w:pStyle w:val="11"/>
            </w:pPr>
            <w:r>
              <w:t>404.80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656.08</w:t>
            </w:r>
          </w:p>
        </w:tc>
        <w:tc>
          <w:tcPr>
            <w:tcW w:w="1361" w:type="dxa"/>
            <w:vAlign w:val="center"/>
          </w:tcPr>
          <w:p>
            <w:pPr>
              <w:pStyle w:val="15"/>
            </w:pPr>
            <w:r>
              <w:t>624.54</w:t>
            </w:r>
          </w:p>
        </w:tc>
        <w:tc>
          <w:tcPr>
            <w:tcW w:w="1361" w:type="dxa"/>
            <w:vAlign w:val="center"/>
          </w:tcPr>
          <w:p>
            <w:pPr>
              <w:pStyle w:val="15"/>
            </w:pPr>
            <w: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245.68</w:t>
            </w:r>
          </w:p>
        </w:tc>
        <w:tc>
          <w:tcPr>
            <w:tcW w:w="1361" w:type="dxa"/>
            <w:vAlign w:val="center"/>
          </w:tcPr>
          <w:p>
            <w:pPr>
              <w:pStyle w:val="11"/>
            </w:pPr>
            <w:r>
              <w:t>218.94</w:t>
            </w:r>
          </w:p>
        </w:tc>
        <w:tc>
          <w:tcPr>
            <w:tcW w:w="1361" w:type="dxa"/>
            <w:vAlign w:val="center"/>
          </w:tcPr>
          <w:p>
            <w:pPr>
              <w:pStyle w:val="11"/>
            </w:pPr>
            <w:r>
              <w:t>26.74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245.68</w:t>
            </w:r>
          </w:p>
        </w:tc>
        <w:tc>
          <w:tcPr>
            <w:tcW w:w="1361" w:type="dxa"/>
            <w:vAlign w:val="center"/>
          </w:tcPr>
          <w:p>
            <w:pPr>
              <w:pStyle w:val="11"/>
            </w:pPr>
            <w:r>
              <w:t>218.94</w:t>
            </w:r>
          </w:p>
        </w:tc>
        <w:tc>
          <w:tcPr>
            <w:tcW w:w="1361" w:type="dxa"/>
            <w:vAlign w:val="center"/>
          </w:tcPr>
          <w:p>
            <w:pPr>
              <w:pStyle w:val="11"/>
            </w:pPr>
            <w:r>
              <w:t>26.74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2080503</w:t>
            </w:r>
          </w:p>
        </w:tc>
        <w:tc>
          <w:tcPr>
            <w:tcW w:w="4535" w:type="dxa"/>
            <w:vAlign w:val="center"/>
          </w:tcPr>
          <w:p>
            <w:pPr>
              <w:pStyle w:val="12"/>
            </w:pPr>
            <w:r>
              <w:t>离退休人员管理机构</w:t>
            </w:r>
          </w:p>
        </w:tc>
        <w:tc>
          <w:tcPr>
            <w:tcW w:w="1361" w:type="dxa"/>
            <w:vAlign w:val="center"/>
          </w:tcPr>
          <w:p>
            <w:pPr>
              <w:pStyle w:val="11"/>
            </w:pPr>
            <w:r>
              <w:t>228.89</w:t>
            </w:r>
          </w:p>
        </w:tc>
        <w:tc>
          <w:tcPr>
            <w:tcW w:w="1361" w:type="dxa"/>
            <w:vAlign w:val="center"/>
          </w:tcPr>
          <w:p>
            <w:pPr>
              <w:pStyle w:val="11"/>
            </w:pPr>
            <w:r>
              <w:t>202.15</w:t>
            </w:r>
          </w:p>
        </w:tc>
        <w:tc>
          <w:tcPr>
            <w:tcW w:w="1361" w:type="dxa"/>
            <w:vAlign w:val="center"/>
          </w:tcPr>
          <w:p>
            <w:pPr>
              <w:pStyle w:val="11"/>
            </w:pPr>
            <w:r>
              <w:t>26.74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11.19</w:t>
            </w:r>
          </w:p>
        </w:tc>
        <w:tc>
          <w:tcPr>
            <w:tcW w:w="1361" w:type="dxa"/>
            <w:vAlign w:val="center"/>
          </w:tcPr>
          <w:p>
            <w:pPr>
              <w:pStyle w:val="11"/>
            </w:pPr>
            <w:r>
              <w:t>11.19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404.80</w:t>
            </w:r>
          </w:p>
        </w:tc>
        <w:tc>
          <w:tcPr>
            <w:tcW w:w="1361" w:type="dxa"/>
            <w:vAlign w:val="center"/>
          </w:tcPr>
          <w:p>
            <w:pPr>
              <w:pStyle w:val="11"/>
            </w:pPr>
            <w:r>
              <w:t>400.00</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400.00</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400.00</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656.08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245.68</w:t>
            </w:r>
          </w:p>
        </w:tc>
        <w:tc>
          <w:tcPr>
            <w:tcW w:w="1474" w:type="dxa"/>
            <w:vAlign w:val="center"/>
          </w:tcPr>
          <w:p>
            <w:pPr>
              <w:pStyle w:val="11"/>
            </w:pPr>
            <w:r>
              <w:t>245.68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404.80</w:t>
            </w:r>
          </w:p>
        </w:tc>
        <w:tc>
          <w:tcPr>
            <w:tcW w:w="1474" w:type="dxa"/>
            <w:vAlign w:val="center"/>
          </w:tcPr>
          <w:p>
            <w:pPr>
              <w:pStyle w:val="11"/>
            </w:pPr>
            <w:r>
              <w:t>404.80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5.60</w:t>
            </w:r>
          </w:p>
        </w:tc>
        <w:tc>
          <w:tcPr>
            <w:tcW w:w="1474" w:type="dxa"/>
            <w:vAlign w:val="center"/>
          </w:tcPr>
          <w:p>
            <w:pPr>
              <w:pStyle w:val="11"/>
            </w:pPr>
            <w:r>
              <w:t>5.60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656.08</w:t>
            </w:r>
          </w:p>
        </w:tc>
        <w:tc>
          <w:tcPr>
            <w:tcW w:w="3402" w:type="dxa"/>
            <w:vAlign w:val="center"/>
          </w:tcPr>
          <w:p>
            <w:pPr>
              <w:pStyle w:val="14"/>
            </w:pPr>
            <w:r>
              <w:t>本年支出合计</w:t>
            </w:r>
          </w:p>
        </w:tc>
        <w:tc>
          <w:tcPr>
            <w:tcW w:w="1474" w:type="dxa"/>
            <w:vAlign w:val="center"/>
          </w:tcPr>
          <w:p>
            <w:pPr>
              <w:pStyle w:val="15"/>
            </w:pPr>
            <w:r>
              <w:t>656.08</w:t>
            </w:r>
          </w:p>
        </w:tc>
        <w:tc>
          <w:tcPr>
            <w:tcW w:w="1474" w:type="dxa"/>
            <w:vAlign w:val="center"/>
          </w:tcPr>
          <w:p>
            <w:pPr>
              <w:pStyle w:val="15"/>
            </w:pPr>
            <w:r>
              <w:t>656.08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656.08</w:t>
            </w:r>
          </w:p>
        </w:tc>
        <w:tc>
          <w:tcPr>
            <w:tcW w:w="3402" w:type="dxa"/>
            <w:vAlign w:val="center"/>
          </w:tcPr>
          <w:p>
            <w:pPr>
              <w:pStyle w:val="14"/>
            </w:pPr>
            <w:r>
              <w:t>支出总计</w:t>
            </w:r>
          </w:p>
        </w:tc>
        <w:tc>
          <w:tcPr>
            <w:tcW w:w="1474" w:type="dxa"/>
            <w:vAlign w:val="center"/>
          </w:tcPr>
          <w:p>
            <w:pPr>
              <w:pStyle w:val="15"/>
            </w:pPr>
            <w:r>
              <w:t>656.08</w:t>
            </w:r>
          </w:p>
        </w:tc>
        <w:tc>
          <w:tcPr>
            <w:tcW w:w="1474" w:type="dxa"/>
            <w:vAlign w:val="center"/>
          </w:tcPr>
          <w:p>
            <w:pPr>
              <w:pStyle w:val="15"/>
            </w:pPr>
            <w:r>
              <w:t>656.08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656.08</w:t>
            </w:r>
          </w:p>
        </w:tc>
        <w:tc>
          <w:tcPr>
            <w:tcW w:w="2551" w:type="dxa"/>
            <w:vAlign w:val="center"/>
          </w:tcPr>
          <w:p>
            <w:pPr>
              <w:pStyle w:val="15"/>
            </w:pPr>
            <w:r>
              <w:t>624.54</w:t>
            </w:r>
          </w:p>
        </w:tc>
        <w:tc>
          <w:tcPr>
            <w:tcW w:w="2551" w:type="dxa"/>
            <w:vAlign w:val="center"/>
          </w:tcPr>
          <w:p>
            <w:pPr>
              <w:pStyle w:val="15"/>
            </w:pPr>
            <w:r>
              <w:t>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245.68</w:t>
            </w:r>
          </w:p>
        </w:tc>
        <w:tc>
          <w:tcPr>
            <w:tcW w:w="2551" w:type="dxa"/>
            <w:vAlign w:val="center"/>
          </w:tcPr>
          <w:p>
            <w:pPr>
              <w:pStyle w:val="11"/>
            </w:pPr>
            <w:r>
              <w:t>218.94</w:t>
            </w:r>
          </w:p>
        </w:tc>
        <w:tc>
          <w:tcPr>
            <w:tcW w:w="2551" w:type="dxa"/>
            <w:vAlign w:val="center"/>
          </w:tcPr>
          <w:p>
            <w:pPr>
              <w:pStyle w:val="11"/>
            </w:pPr>
            <w:r>
              <w:t>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245.68</w:t>
            </w:r>
          </w:p>
        </w:tc>
        <w:tc>
          <w:tcPr>
            <w:tcW w:w="2551" w:type="dxa"/>
            <w:vAlign w:val="center"/>
          </w:tcPr>
          <w:p>
            <w:pPr>
              <w:pStyle w:val="11"/>
            </w:pPr>
            <w:r>
              <w:t>218.94</w:t>
            </w:r>
          </w:p>
        </w:tc>
        <w:tc>
          <w:tcPr>
            <w:tcW w:w="2551" w:type="dxa"/>
            <w:vAlign w:val="center"/>
          </w:tcPr>
          <w:p>
            <w:pPr>
              <w:pStyle w:val="11"/>
            </w:pPr>
            <w:r>
              <w:t>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2080503</w:t>
            </w:r>
          </w:p>
        </w:tc>
        <w:tc>
          <w:tcPr>
            <w:tcW w:w="4535" w:type="dxa"/>
            <w:vAlign w:val="center"/>
          </w:tcPr>
          <w:p>
            <w:pPr>
              <w:pStyle w:val="12"/>
            </w:pPr>
            <w:r>
              <w:t>离退休人员管理机构</w:t>
            </w:r>
          </w:p>
        </w:tc>
        <w:tc>
          <w:tcPr>
            <w:tcW w:w="2551" w:type="dxa"/>
            <w:vAlign w:val="center"/>
          </w:tcPr>
          <w:p>
            <w:pPr>
              <w:pStyle w:val="11"/>
            </w:pPr>
            <w:r>
              <w:t>228.89</w:t>
            </w:r>
          </w:p>
        </w:tc>
        <w:tc>
          <w:tcPr>
            <w:tcW w:w="2551" w:type="dxa"/>
            <w:vAlign w:val="center"/>
          </w:tcPr>
          <w:p>
            <w:pPr>
              <w:pStyle w:val="11"/>
            </w:pPr>
            <w:r>
              <w:t>202.15</w:t>
            </w:r>
          </w:p>
        </w:tc>
        <w:tc>
          <w:tcPr>
            <w:tcW w:w="2551" w:type="dxa"/>
            <w:vAlign w:val="center"/>
          </w:tcPr>
          <w:p>
            <w:pPr>
              <w:pStyle w:val="11"/>
            </w:pPr>
            <w:r>
              <w:t>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11.19</w:t>
            </w:r>
          </w:p>
        </w:tc>
        <w:tc>
          <w:tcPr>
            <w:tcW w:w="2551" w:type="dxa"/>
            <w:vAlign w:val="center"/>
          </w:tcPr>
          <w:p>
            <w:pPr>
              <w:pStyle w:val="11"/>
            </w:pPr>
            <w:r>
              <w:t>11.19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404.80</w:t>
            </w:r>
          </w:p>
        </w:tc>
        <w:tc>
          <w:tcPr>
            <w:tcW w:w="2551" w:type="dxa"/>
            <w:vAlign w:val="center"/>
          </w:tcPr>
          <w:p>
            <w:pPr>
              <w:pStyle w:val="11"/>
            </w:pPr>
            <w:r>
              <w:t>400.00</w:t>
            </w: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400.00</w:t>
            </w:r>
          </w:p>
        </w:tc>
        <w:tc>
          <w:tcPr>
            <w:tcW w:w="2551" w:type="dxa"/>
            <w:vAlign w:val="center"/>
          </w:tcPr>
          <w:p>
            <w:pPr>
              <w:pStyle w:val="11"/>
            </w:pPr>
            <w:r>
              <w:t>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400.00</w:t>
            </w:r>
          </w:p>
        </w:tc>
        <w:tc>
          <w:tcPr>
            <w:tcW w:w="2551" w:type="dxa"/>
            <w:vAlign w:val="center"/>
          </w:tcPr>
          <w:p>
            <w:pPr>
              <w:pStyle w:val="11"/>
            </w:pPr>
            <w:r>
              <w:t>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624.54</w:t>
            </w:r>
          </w:p>
        </w:tc>
        <w:tc>
          <w:tcPr>
            <w:tcW w:w="2551" w:type="dxa"/>
            <w:vAlign w:val="center"/>
          </w:tcPr>
          <w:p>
            <w:pPr>
              <w:pStyle w:val="15"/>
            </w:pPr>
            <w:r>
              <w:t>563.42</w:t>
            </w:r>
          </w:p>
        </w:tc>
        <w:tc>
          <w:tcPr>
            <w:tcW w:w="2551" w:type="dxa"/>
            <w:vAlign w:val="center"/>
          </w:tcPr>
          <w:p>
            <w:pPr>
              <w:pStyle w:val="15"/>
            </w:pPr>
            <w:r>
              <w:t>61.11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112.69</w:t>
            </w:r>
          </w:p>
        </w:tc>
        <w:tc>
          <w:tcPr>
            <w:tcW w:w="2551" w:type="dxa"/>
            <w:vAlign w:val="center"/>
          </w:tcPr>
          <w:p>
            <w:pPr>
              <w:pStyle w:val="11"/>
            </w:pPr>
            <w:r>
              <w:t>112.69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42.96</w:t>
            </w:r>
          </w:p>
        </w:tc>
        <w:tc>
          <w:tcPr>
            <w:tcW w:w="2551" w:type="dxa"/>
            <w:vAlign w:val="center"/>
          </w:tcPr>
          <w:p>
            <w:pPr>
              <w:pStyle w:val="11"/>
            </w:pPr>
            <w:r>
              <w:t>42.96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27.36</w:t>
            </w:r>
          </w:p>
        </w:tc>
        <w:tc>
          <w:tcPr>
            <w:tcW w:w="2551" w:type="dxa"/>
            <w:vAlign w:val="center"/>
          </w:tcPr>
          <w:p>
            <w:pPr>
              <w:pStyle w:val="11"/>
            </w:pPr>
            <w:r>
              <w:t>27.36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10.31</w:t>
            </w:r>
          </w:p>
        </w:tc>
        <w:tc>
          <w:tcPr>
            <w:tcW w:w="2551" w:type="dxa"/>
            <w:vAlign w:val="center"/>
          </w:tcPr>
          <w:p>
            <w:pPr>
              <w:pStyle w:val="11"/>
            </w:pPr>
            <w:r>
              <w:t>10.31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4.80</w:t>
            </w:r>
          </w:p>
        </w:tc>
        <w:tc>
          <w:tcPr>
            <w:tcW w:w="2551" w:type="dxa"/>
            <w:vAlign w:val="center"/>
          </w:tcPr>
          <w:p>
            <w:pPr>
              <w:pStyle w:val="11"/>
            </w:pPr>
            <w:r>
              <w:t>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11.19</w:t>
            </w:r>
          </w:p>
        </w:tc>
        <w:tc>
          <w:tcPr>
            <w:tcW w:w="2551" w:type="dxa"/>
            <w:vAlign w:val="center"/>
          </w:tcPr>
          <w:p>
            <w:pPr>
              <w:pStyle w:val="11"/>
            </w:pPr>
            <w:r>
              <w:t>11.19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61.11</w:t>
            </w:r>
          </w:p>
        </w:tc>
        <w:tc>
          <w:tcPr>
            <w:tcW w:w="2551" w:type="dxa"/>
            <w:vAlign w:val="center"/>
          </w:tcPr>
          <w:p>
            <w:pPr>
              <w:pStyle w:val="11"/>
            </w:pPr>
          </w:p>
        </w:tc>
        <w:tc>
          <w:tcPr>
            <w:tcW w:w="2551" w:type="dxa"/>
            <w:vAlign w:val="center"/>
          </w:tcPr>
          <w:p>
            <w:pPr>
              <w:pStyle w:val="11"/>
            </w:pPr>
            <w:r>
              <w:t>61.11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40.94</w:t>
            </w:r>
          </w:p>
        </w:tc>
        <w:tc>
          <w:tcPr>
            <w:tcW w:w="2551" w:type="dxa"/>
            <w:vAlign w:val="center"/>
          </w:tcPr>
          <w:p>
            <w:pPr>
              <w:pStyle w:val="11"/>
            </w:pPr>
          </w:p>
        </w:tc>
        <w:tc>
          <w:tcPr>
            <w:tcW w:w="2551" w:type="dxa"/>
            <w:vAlign w:val="center"/>
          </w:tcPr>
          <w:p>
            <w:pPr>
              <w:pStyle w:val="11"/>
            </w:pPr>
            <w:r>
              <w:t>40.94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450.73</w:t>
            </w:r>
          </w:p>
        </w:tc>
        <w:tc>
          <w:tcPr>
            <w:tcW w:w="2551" w:type="dxa"/>
            <w:vAlign w:val="center"/>
          </w:tcPr>
          <w:p>
            <w:pPr>
              <w:pStyle w:val="11"/>
            </w:pPr>
            <w:r>
              <w:t>450.73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26.24</w:t>
            </w:r>
          </w:p>
        </w:tc>
        <w:tc>
          <w:tcPr>
            <w:tcW w:w="2551" w:type="dxa"/>
            <w:vAlign w:val="center"/>
          </w:tcPr>
          <w:p>
            <w:pPr>
              <w:pStyle w:val="11"/>
            </w:pPr>
            <w:r>
              <w:t>26.24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10.86</w:t>
            </w:r>
          </w:p>
        </w:tc>
        <w:tc>
          <w:tcPr>
            <w:tcW w:w="2551" w:type="dxa"/>
            <w:vAlign w:val="center"/>
          </w:tcPr>
          <w:p>
            <w:pPr>
              <w:pStyle w:val="11"/>
            </w:pPr>
            <w:r>
              <w:t>10.86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13.63</w:t>
            </w:r>
          </w:p>
        </w:tc>
        <w:tc>
          <w:tcPr>
            <w:tcW w:w="2551" w:type="dxa"/>
            <w:vAlign w:val="center"/>
          </w:tcPr>
          <w:p>
            <w:pPr>
              <w:pStyle w:val="11"/>
            </w:pPr>
            <w:r>
              <w:t>13.63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400.00</w:t>
            </w:r>
          </w:p>
        </w:tc>
        <w:tc>
          <w:tcPr>
            <w:tcW w:w="2551" w:type="dxa"/>
            <w:vAlign w:val="center"/>
          </w:tcPr>
          <w:p>
            <w:pPr>
              <w:pStyle w:val="11"/>
            </w:pPr>
            <w:r>
              <w:t>400.00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中国共产党涞源县委员会老干部局本级2024年单位预算信息公开情况说明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按照《中华人民共和国预算法》、《地方预决算公开操作规程》和《关于进一步推进预算公开工作的实施意见》规定，现将中国共产党涞源县委员会老干部局本级2024年单位预算公开如下：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pPr>
      <w:r>
        <w:rPr>
          <w:rFonts w:ascii="方正楷体_GBK" w:hAnsi="方正楷体_GBK" w:eastAsia="方正楷体_GBK" w:cs="方正楷体_GBK"/>
          <w:b/>
          <w:color w:val="000000"/>
          <w:sz w:val="32"/>
        </w:rPr>
        <w:t>单位职责：</w:t>
      </w:r>
      <w:r>
        <w:t>根据《中国共产党涞源县委员会老干部局职能配置、内设机构和人员编制规定》， 中国共产党涞源县委员会老干部局的主要职责是：</w:t>
      </w:r>
    </w:p>
    <w:p>
      <w:pPr>
        <w:pStyle w:val="22"/>
      </w:pPr>
      <w:r>
        <w:t>1.贯彻中央、国务院和</w:t>
      </w:r>
      <w:r>
        <w:rPr>
          <w:rFonts w:hint="eastAsia"/>
          <w:lang w:eastAsia="zh-CN"/>
        </w:rPr>
        <w:t>省</w:t>
      </w:r>
      <w:r>
        <w:t>委、省政府、市委、市政府以及县委、县政府关于离退休干部工作的方针政策，组织落实离退休干部的政治、生活待遇。</w:t>
      </w:r>
    </w:p>
    <w:p>
      <w:pPr>
        <w:pStyle w:val="22"/>
      </w:pPr>
      <w:r>
        <w:t>2.建设、管理、使用好老年活动阵地，并指导全县阵地建设。贯彻执行老年教育、老区建设和老干部工作方针，构建终身教育体系；开展全县关心下一代工作，组织老同志参加青少年教育工作。</w:t>
      </w:r>
    </w:p>
    <w:p>
      <w:pPr>
        <w:pStyle w:val="22"/>
      </w:pPr>
      <w:r>
        <w:t>3.检查、督促、指导离退休干部的党组织建设加强离退休干部的学习教育，做好思想政治工作；组织指导离退休干部在两个文明建设中发挥作用。</w:t>
      </w:r>
    </w:p>
    <w:p>
      <w:pPr>
        <w:pStyle w:val="22"/>
      </w:pPr>
      <w:r>
        <w:t>4.负责组织指导离退休干部的文体健身活动及医疗保健工作。</w:t>
      </w:r>
    </w:p>
    <w:p>
      <w:pPr>
        <w:pStyle w:val="22"/>
      </w:pPr>
      <w:r>
        <w:t>5.完成县委交办的其他工作。</w:t>
      </w:r>
    </w:p>
    <w:p>
      <w:pPr>
        <w:spacing w:before="0" w:after="0" w:line="240" w:lineRule="auto"/>
        <w:ind w:firstLine="640"/>
        <w:jc w:val="left"/>
        <w:outlineLvl w:val="9"/>
      </w:pP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中国共产党涞源县委员会老干部局本级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656.08万元，其中：一般公共预算收入656.08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涞源县委员会老干部局本级年度单位预算中支出预算的总体情况。2024年支出预算656.08万元，其中基本支出624.54万元，包括人员经费563.42万元和日常公用经费61.11万元；项目支出31.54万元，主要为关心下一代及老促会工作经费、老干部活动经费、离退休干部党建工作经费等支出</w:t>
      </w:r>
    </w:p>
    <w:p>
      <w:pPr>
        <w:pStyle w:val="18"/>
      </w:pPr>
      <w:r>
        <w:t>3、比上年增减情况</w:t>
      </w:r>
    </w:p>
    <w:p>
      <w:pPr>
        <w:pStyle w:val="18"/>
      </w:pPr>
      <w:r>
        <w:t>2024年预算收支安排656.08万元，较2023年预算减少32.71万元，其中：基本支出减少30.43万元，主要为减少人员经费支出；项目支出减少2.28万元，主要为离休人员自然减员，省财政补助脱贫县离休药费相应减少。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3"/>
        <w:numPr>
          <w:ilvl w:val="0"/>
          <w:numId w:val="0"/>
        </w:numPr>
        <w:ind w:firstLine="560" w:firstLineChars="200"/>
      </w:pPr>
      <w:r>
        <w:rPr>
          <w:rFonts w:hint="eastAsia"/>
          <w:lang w:val="en-US" w:eastAsia="zh-CN"/>
        </w:rPr>
        <w:t>2024</w:t>
      </w:r>
      <w:r>
        <w:t>年，我部门经费共计安排52.82万元，其中办公费</w:t>
      </w:r>
      <w:r>
        <w:rPr>
          <w:rFonts w:hint="eastAsia"/>
          <w:lang w:val="en-US" w:eastAsia="zh-CN"/>
        </w:rPr>
        <w:t>40.94</w:t>
      </w:r>
      <w:r>
        <w:t>万元，水费0.61万元，电费</w:t>
      </w:r>
      <w:r>
        <w:rPr>
          <w:rFonts w:hint="eastAsia"/>
          <w:lang w:val="en-US" w:eastAsia="zh-CN"/>
        </w:rPr>
        <w:t>1.5</w:t>
      </w:r>
      <w:r>
        <w:t>万元，邮电费1.26万元，差旅费</w:t>
      </w:r>
      <w:r>
        <w:rPr>
          <w:rFonts w:hint="eastAsia"/>
          <w:lang w:val="en-US" w:eastAsia="zh-CN"/>
        </w:rPr>
        <w:t>3</w:t>
      </w:r>
      <w:r>
        <w:t>万元，公务接待费2万元，公务用车运行维护费7万元</w:t>
      </w:r>
      <w:r>
        <w:rPr>
          <w:rFonts w:hint="eastAsia"/>
          <w:lang w:eastAsia="zh-CN"/>
        </w:rPr>
        <w:t>，其他交通费用</w:t>
      </w:r>
      <w:r>
        <w:rPr>
          <w:rFonts w:hint="eastAsia"/>
          <w:lang w:val="en-US" w:eastAsia="zh-CN"/>
        </w:rPr>
        <w:t>4.8万元</w:t>
      </w:r>
      <w:r>
        <w:t>。</w:t>
      </w:r>
    </w:p>
    <w:p>
      <w:pPr>
        <w:numPr>
          <w:numId w:val="0"/>
        </w:numPr>
        <w:spacing w:before="10" w:after="10" w:line="240" w:lineRule="auto"/>
        <w:jc w:val="left"/>
        <w:outlineLvl w:val="5"/>
        <w:rPr>
          <w:rFonts w:ascii="黑体" w:hAnsi="黑体" w:eastAsia="黑体" w:cs="黑体"/>
          <w:color w:val="000000"/>
          <w:sz w:val="32"/>
        </w:rPr>
      </w:pPr>
    </w:p>
    <w:p>
      <w:pPr>
        <w:pStyle w:val="19"/>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4"/>
      </w:pPr>
      <w:r>
        <w:t>202</w:t>
      </w:r>
      <w:r>
        <w:rPr>
          <w:rFonts w:hint="eastAsia"/>
          <w:lang w:val="en-US" w:eastAsia="zh-CN"/>
        </w:rPr>
        <w:t>4</w:t>
      </w:r>
      <w:r>
        <w:t>年，我部门拨款“三公”经费预算安排9.</w:t>
      </w:r>
      <w:r>
        <w:rPr>
          <w:rFonts w:hint="eastAsia"/>
          <w:lang w:val="en-US" w:eastAsia="zh-CN"/>
        </w:rPr>
        <w:t>0</w:t>
      </w:r>
      <w:r>
        <w:t>万元，其中因公出国（境）费0万元；公务用车购置及运维费7万元（其中：公务用车购置费为0万元，公务用车运维费7万元)；公务接待费2.</w:t>
      </w:r>
      <w:r>
        <w:rPr>
          <w:rFonts w:hint="eastAsia"/>
          <w:lang w:val="en-US" w:eastAsia="zh-CN"/>
        </w:rPr>
        <w:t>0</w:t>
      </w:r>
      <w:r>
        <w:t>万元。与202</w:t>
      </w:r>
      <w:r>
        <w:rPr>
          <w:rFonts w:hint="eastAsia"/>
          <w:lang w:val="en-US" w:eastAsia="zh-CN"/>
        </w:rPr>
        <w:t>3</w:t>
      </w:r>
      <w:r>
        <w:t>年相</w:t>
      </w:r>
      <w:r>
        <w:rPr>
          <w:rFonts w:hint="eastAsia"/>
          <w:lang w:eastAsia="zh-CN"/>
        </w:rPr>
        <w:t>减少</w:t>
      </w:r>
      <w:r>
        <w:rPr>
          <w:rFonts w:hint="eastAsia"/>
          <w:lang w:val="en-US" w:eastAsia="zh-CN"/>
        </w:rPr>
        <w:t>0.4万元</w:t>
      </w:r>
      <w:r>
        <w:t>。</w:t>
      </w:r>
    </w:p>
    <w:p>
      <w:pPr>
        <w:numPr>
          <w:numId w:val="0"/>
        </w:numPr>
        <w:spacing w:before="10" w:after="10" w:line="240" w:lineRule="auto"/>
        <w:jc w:val="left"/>
        <w:outlineLvl w:val="5"/>
        <w:rPr>
          <w:rFonts w:ascii="黑体" w:hAnsi="黑体" w:eastAsia="黑体" w:cs="黑体"/>
          <w:color w:val="000000"/>
          <w:sz w:val="32"/>
        </w:rPr>
      </w:pPr>
      <w:bookmarkStart w:id="1" w:name="_GoBack"/>
      <w:bookmarkEnd w:id="1"/>
    </w:p>
    <w:p>
      <w:pPr>
        <w:numPr>
          <w:numId w:val="0"/>
        </w:numPr>
        <w:spacing w:before="10" w:after="10" w:line="240" w:lineRule="auto"/>
        <w:ind w:left="640" w:leftChars="0"/>
        <w:jc w:val="left"/>
        <w:outlineLvl w:val="5"/>
        <w:rPr>
          <w:rFonts w:ascii="黑体" w:hAnsi="黑体" w:eastAsia="黑体" w:cs="黑体"/>
          <w:color w:val="000000"/>
          <w:sz w:val="32"/>
        </w:rPr>
      </w:pP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1、春节慰问老干部及遗属绩效目标表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13063024P00004310002N</w:t>
            </w:r>
          </w:p>
        </w:tc>
        <w:tc>
          <w:tcPr>
            <w:tcW w:w="2835" w:type="dxa"/>
            <w:vAlign w:val="center"/>
          </w:tcPr>
          <w:p>
            <w:pPr>
              <w:pStyle w:val="10"/>
            </w:pPr>
            <w:r>
              <w:t>项目名称</w:t>
            </w:r>
          </w:p>
        </w:tc>
        <w:tc>
          <w:tcPr>
            <w:tcW w:w="6094" w:type="dxa"/>
            <w:gridSpan w:val="3"/>
            <w:vAlign w:val="center"/>
          </w:tcPr>
          <w:p>
            <w:pPr>
              <w:pStyle w:val="12"/>
            </w:pPr>
            <w:r>
              <w:t>春节慰问老干部及遗属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w:t>
            </w:r>
          </w:p>
        </w:tc>
        <w:tc>
          <w:tcPr>
            <w:tcW w:w="2835" w:type="dxa"/>
            <w:vAlign w:val="center"/>
          </w:tcPr>
          <w:p>
            <w:pPr>
              <w:pStyle w:val="10"/>
            </w:pPr>
            <w:r>
              <w:t>其中：财政    资金</w:t>
            </w:r>
          </w:p>
        </w:tc>
        <w:tc>
          <w:tcPr>
            <w:tcW w:w="2551" w:type="dxa"/>
            <w:vAlign w:val="center"/>
          </w:tcPr>
          <w:p>
            <w:pPr>
              <w:pStyle w:val="12"/>
            </w:pPr>
            <w:r>
              <w:t>2.04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建立长效机制，每年春节慰问1次，提升离退休老干部及遗属的幸福感。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1.建立长效机制，每年春节慰问1次，提升离退休老干部及遗属的幸福感。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慰问次数</w:t>
            </w:r>
          </w:p>
        </w:tc>
        <w:tc>
          <w:tcPr>
            <w:tcW w:w="5386" w:type="dxa"/>
            <w:vAlign w:val="center"/>
          </w:tcPr>
          <w:p>
            <w:pPr>
              <w:pStyle w:val="12"/>
            </w:pPr>
            <w:r>
              <w:t>春节慰问老干部次数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慰问完成率</w:t>
            </w:r>
          </w:p>
        </w:tc>
        <w:tc>
          <w:tcPr>
            <w:tcW w:w="5386" w:type="dxa"/>
            <w:vAlign w:val="center"/>
          </w:tcPr>
          <w:p>
            <w:pPr>
              <w:pStyle w:val="12"/>
            </w:pPr>
            <w:r>
              <w:t>慰问老干部完成率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慰问及时率</w:t>
            </w:r>
          </w:p>
        </w:tc>
        <w:tc>
          <w:tcPr>
            <w:tcW w:w="5386" w:type="dxa"/>
            <w:vAlign w:val="center"/>
          </w:tcPr>
          <w:p>
            <w:pPr>
              <w:pStyle w:val="12"/>
            </w:pPr>
            <w:r>
              <w:t>慰问老干部及时率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≤2.04百分比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提升离退休老干部及遗属的幸福感</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老干部及遗属满意率</w:t>
            </w:r>
          </w:p>
        </w:tc>
        <w:tc>
          <w:tcPr>
            <w:tcW w:w="5386" w:type="dxa"/>
            <w:vAlign w:val="center"/>
          </w:tcPr>
          <w:p>
            <w:pPr>
              <w:pStyle w:val="12"/>
            </w:pPr>
            <w:r>
              <w:t>老干部及遗属满意率</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2、关心下一代及老促会工作经费绩效目标表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13063024P000038100043</w:t>
            </w:r>
          </w:p>
        </w:tc>
        <w:tc>
          <w:tcPr>
            <w:tcW w:w="2835" w:type="dxa"/>
            <w:vAlign w:val="center"/>
          </w:tcPr>
          <w:p>
            <w:pPr>
              <w:pStyle w:val="10"/>
            </w:pPr>
            <w:r>
              <w:t>项目名称</w:t>
            </w:r>
          </w:p>
        </w:tc>
        <w:tc>
          <w:tcPr>
            <w:tcW w:w="6094" w:type="dxa"/>
            <w:gridSpan w:val="3"/>
            <w:vAlign w:val="center"/>
          </w:tcPr>
          <w:p>
            <w:pPr>
              <w:pStyle w:val="12"/>
            </w:pPr>
            <w:r>
              <w:t>关心下一代及老促会工作经费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日常活动和改善办公条件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1.日常活动和改善办公条件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购买办公用品批次</w:t>
            </w:r>
          </w:p>
        </w:tc>
        <w:tc>
          <w:tcPr>
            <w:tcW w:w="5386" w:type="dxa"/>
            <w:vAlign w:val="center"/>
          </w:tcPr>
          <w:p>
            <w:pPr>
              <w:pStyle w:val="12"/>
            </w:pPr>
            <w:r>
              <w:t>购买办公用品批次</w:t>
            </w:r>
          </w:p>
        </w:tc>
        <w:tc>
          <w:tcPr>
            <w:tcW w:w="2268" w:type="dxa"/>
            <w:vAlign w:val="center"/>
          </w:tcPr>
          <w:p>
            <w:pPr>
              <w:pStyle w:val="12"/>
            </w:pPr>
            <w:r>
              <w:t>≥4批</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办公用品合格率</w:t>
            </w:r>
          </w:p>
        </w:tc>
        <w:tc>
          <w:tcPr>
            <w:tcW w:w="5386" w:type="dxa"/>
            <w:vAlign w:val="center"/>
          </w:tcPr>
          <w:p>
            <w:pPr>
              <w:pStyle w:val="12"/>
            </w:pPr>
            <w:r>
              <w:t>办公用品合格率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提升老干部水平</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3、冀财社（2023）218号关于提前下达2024年脱贫县离休干部医药费补助资金的通知绩效目标表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13063024P000537100019</w:t>
            </w:r>
          </w:p>
        </w:tc>
        <w:tc>
          <w:tcPr>
            <w:tcW w:w="2835" w:type="dxa"/>
            <w:vAlign w:val="center"/>
          </w:tcPr>
          <w:p>
            <w:pPr>
              <w:pStyle w:val="10"/>
            </w:pPr>
            <w:r>
              <w:t>项目名称</w:t>
            </w:r>
          </w:p>
        </w:tc>
        <w:tc>
          <w:tcPr>
            <w:tcW w:w="6094" w:type="dxa"/>
            <w:gridSpan w:val="3"/>
            <w:vAlign w:val="center"/>
          </w:tcPr>
          <w:p>
            <w:pPr>
              <w:pStyle w:val="12"/>
            </w:pPr>
            <w:r>
              <w:t>冀财社（2023）218号关于提前下达2024年脱贫县离休干部医药费补助资金的通知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用于离休药费的补助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覆盖率</w:t>
            </w:r>
          </w:p>
        </w:tc>
        <w:tc>
          <w:tcPr>
            <w:tcW w:w="2268" w:type="dxa"/>
            <w:vAlign w:val="center"/>
          </w:tcPr>
          <w:p>
            <w:pPr>
              <w:pStyle w:val="12"/>
            </w:pPr>
            <w:r>
              <w: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5386" w:type="dxa"/>
            <w:vAlign w:val="center"/>
          </w:tcPr>
          <w:p>
            <w:pPr>
              <w:pStyle w:val="12"/>
            </w:pPr>
            <w:r>
              <w:t>服务的完成度</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服务效率</w:t>
            </w:r>
          </w:p>
        </w:tc>
        <w:tc>
          <w:tcPr>
            <w:tcW w:w="5386" w:type="dxa"/>
            <w:vAlign w:val="center"/>
          </w:tcPr>
          <w:p>
            <w:pPr>
              <w:pStyle w:val="12"/>
            </w:pPr>
            <w:r>
              <w:t>服务效率</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4、老干部活动经费绩效目标表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13063024P00004610002P</w:t>
            </w:r>
          </w:p>
        </w:tc>
        <w:tc>
          <w:tcPr>
            <w:tcW w:w="2835" w:type="dxa"/>
            <w:vAlign w:val="center"/>
          </w:tcPr>
          <w:p>
            <w:pPr>
              <w:pStyle w:val="10"/>
            </w:pPr>
            <w:r>
              <w:t>项目名称</w:t>
            </w:r>
          </w:p>
        </w:tc>
        <w:tc>
          <w:tcPr>
            <w:tcW w:w="6094" w:type="dxa"/>
            <w:gridSpan w:val="3"/>
            <w:vAlign w:val="center"/>
          </w:tcPr>
          <w:p>
            <w:pPr>
              <w:pStyle w:val="12"/>
            </w:pPr>
            <w:r>
              <w:t>老干部活动经费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重大节日组织老干部开展各项文体活动，不定期组织老干部参观考察。提高老干部晚年生活质量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1.重大节日组织老干部开展各项文体活动，不定期组织老干部参观考察。提高老干部晚年生活质量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老干部活动完成率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活动举办及时率</w:t>
            </w:r>
          </w:p>
        </w:tc>
        <w:tc>
          <w:tcPr>
            <w:tcW w:w="5386" w:type="dxa"/>
            <w:vAlign w:val="center"/>
          </w:tcPr>
          <w:p>
            <w:pPr>
              <w:pStyle w:val="12"/>
            </w:pPr>
            <w:r>
              <w:t>活动按计划完成</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是否控制在预算内</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提高老干部晚年生活质量</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5、离退休干部党建工作经费绩效目标表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13063024P00004010007P</w:t>
            </w:r>
          </w:p>
        </w:tc>
        <w:tc>
          <w:tcPr>
            <w:tcW w:w="2835" w:type="dxa"/>
            <w:vAlign w:val="center"/>
          </w:tcPr>
          <w:p>
            <w:pPr>
              <w:pStyle w:val="10"/>
            </w:pPr>
            <w:r>
              <w:t>项目名称</w:t>
            </w:r>
          </w:p>
        </w:tc>
        <w:tc>
          <w:tcPr>
            <w:tcW w:w="6094" w:type="dxa"/>
            <w:gridSpan w:val="3"/>
            <w:vAlign w:val="center"/>
          </w:tcPr>
          <w:p>
            <w:pPr>
              <w:pStyle w:val="12"/>
            </w:pPr>
            <w:r>
              <w:t>离退休干部党建工作经费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1每年邀请党委或有关方面负责同志为离退休干部党员讲1次党课。</w:t>
            </w:r>
          </w:p>
          <w:p>
            <w:pPr>
              <w:pStyle w:val="12"/>
            </w:pPr>
            <w:r>
              <w:t>2为离退休干部订阅报刊、组织会议3次以上。</w:t>
            </w:r>
          </w:p>
          <w:p>
            <w:pPr>
              <w:pStyle w:val="12"/>
            </w:pPr>
            <w:r>
              <w:t>3对离退休干部党组织、党员和党务工作者代表进行表彰。</w:t>
            </w:r>
          </w:p>
          <w:p>
            <w:pPr>
              <w:pStyle w:val="12"/>
            </w:pPr>
            <w:r>
              <w:t>4在重要纪念日、重大庆典和老年节、元旦、春节期间走访慰问。</w:t>
            </w:r>
          </w:p>
          <w:p>
            <w:pPr>
              <w:pStyle w:val="12"/>
            </w:pPr>
            <w:r>
              <w:t>5、对离退休干部生病住院、家庭出现重大变故时及时关心看望。</w:t>
            </w:r>
          </w:p>
          <w:p>
            <w:pPr>
              <w:pStyle w:val="12"/>
            </w:pPr>
            <w:r>
              <w:t>6、根据党建工作三十条完成各项工作。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1.1每年邀请党委或有关方面负责同志为离退休干部党员讲1次党课。</w:t>
            </w:r>
          </w:p>
          <w:p>
            <w:pPr>
              <w:pStyle w:val="12"/>
            </w:pPr>
            <w:r>
              <w:t>2为离退休干部订阅报刊、组织会议3次以上。</w:t>
            </w:r>
          </w:p>
          <w:p>
            <w:pPr>
              <w:pStyle w:val="12"/>
            </w:pPr>
            <w:r>
              <w:t>3对离退休干部党组织、党员和党务工作者代表进行表彰。</w:t>
            </w:r>
          </w:p>
          <w:p>
            <w:pPr>
              <w:pStyle w:val="12"/>
            </w:pPr>
            <w:r>
              <w:t>4在重要纪念日、重大庆典和老年节、元旦、春节期间走访慰问。</w:t>
            </w:r>
          </w:p>
          <w:p>
            <w:pPr>
              <w:pStyle w:val="12"/>
            </w:pPr>
            <w:r>
              <w:t>5、对离退休干部生病住院、家庭出现重大变故时及时关心看望。</w:t>
            </w:r>
          </w:p>
          <w:p>
            <w:pPr>
              <w:pStyle w:val="12"/>
            </w:pPr>
            <w:r>
              <w:t>6、根据党建工作三十条完成各项工作。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会议召开及党课次数</w:t>
            </w:r>
          </w:p>
        </w:tc>
        <w:tc>
          <w:tcPr>
            <w:tcW w:w="5386" w:type="dxa"/>
            <w:vAlign w:val="center"/>
          </w:tcPr>
          <w:p>
            <w:pPr>
              <w:pStyle w:val="12"/>
            </w:pPr>
            <w:r>
              <w:t>会议召开及党课次数</w:t>
            </w:r>
          </w:p>
        </w:tc>
        <w:tc>
          <w:tcPr>
            <w:tcW w:w="2268" w:type="dxa"/>
            <w:vAlign w:val="center"/>
          </w:tcPr>
          <w:p>
            <w:pPr>
              <w:pStyle w:val="12"/>
            </w:pPr>
            <w:r>
              <w:t>≥4次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走访慰问次数</w:t>
            </w:r>
          </w:p>
        </w:tc>
        <w:tc>
          <w:tcPr>
            <w:tcW w:w="5386" w:type="dxa"/>
            <w:vAlign w:val="center"/>
          </w:tcPr>
          <w:p>
            <w:pPr>
              <w:pStyle w:val="12"/>
            </w:pPr>
            <w:r>
              <w:t>走访慰问次数</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离退休党员干部覆盖率</w:t>
            </w:r>
          </w:p>
        </w:tc>
        <w:tc>
          <w:tcPr>
            <w:tcW w:w="5386" w:type="dxa"/>
            <w:vAlign w:val="center"/>
          </w:tcPr>
          <w:p>
            <w:pPr>
              <w:pStyle w:val="12"/>
            </w:pPr>
            <w:r>
              <w:t>离退休党员干部覆盖率</w:t>
            </w:r>
          </w:p>
        </w:tc>
        <w:tc>
          <w:tcPr>
            <w:tcW w:w="2268" w:type="dxa"/>
            <w:vAlign w:val="center"/>
          </w:tcPr>
          <w:p>
            <w:pPr>
              <w:pStyle w:val="12"/>
            </w:pPr>
            <w:r>
              <w:t>≥80百分比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提高老干部局党员的政治素养</w:t>
            </w:r>
          </w:p>
        </w:tc>
        <w:tc>
          <w:tcPr>
            <w:tcW w:w="5386" w:type="dxa"/>
            <w:vAlign w:val="center"/>
          </w:tcPr>
          <w:p>
            <w:pPr>
              <w:pStyle w:val="12"/>
            </w:pPr>
            <w:r>
              <w:t>提高老干部局党员的政治素养</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6、离退休干部特困救助绩效目标表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13063024P00004110003Y</w:t>
            </w:r>
          </w:p>
        </w:tc>
        <w:tc>
          <w:tcPr>
            <w:tcW w:w="2835" w:type="dxa"/>
            <w:vAlign w:val="center"/>
          </w:tcPr>
          <w:p>
            <w:pPr>
              <w:pStyle w:val="10"/>
            </w:pPr>
            <w:r>
              <w:t>项目名称</w:t>
            </w:r>
          </w:p>
        </w:tc>
        <w:tc>
          <w:tcPr>
            <w:tcW w:w="6094" w:type="dxa"/>
            <w:gridSpan w:val="3"/>
            <w:vAlign w:val="center"/>
          </w:tcPr>
          <w:p>
            <w:pPr>
              <w:pStyle w:val="12"/>
            </w:pPr>
            <w:r>
              <w:t>离退休干部特困救助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用于帮扶生活困难离退休干部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1.用于帮扶生活困难离退休干部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每年特困帮扶次数</w:t>
            </w:r>
          </w:p>
        </w:tc>
        <w:tc>
          <w:tcPr>
            <w:tcW w:w="5386" w:type="dxa"/>
            <w:vAlign w:val="center"/>
          </w:tcPr>
          <w:p>
            <w:pPr>
              <w:pStyle w:val="12"/>
            </w:pPr>
            <w:r>
              <w:t>每年特困帮扶次数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救助人员合规率</w:t>
            </w:r>
          </w:p>
        </w:tc>
        <w:tc>
          <w:tcPr>
            <w:tcW w:w="5386" w:type="dxa"/>
            <w:vAlign w:val="center"/>
          </w:tcPr>
          <w:p>
            <w:pPr>
              <w:pStyle w:val="12"/>
            </w:pPr>
            <w:r>
              <w:t>救助人员合规率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 时率</w:t>
            </w:r>
          </w:p>
        </w:tc>
        <w:tc>
          <w:tcPr>
            <w:tcW w:w="5386" w:type="dxa"/>
            <w:vAlign w:val="center"/>
          </w:tcPr>
          <w:p>
            <w:pPr>
              <w:pStyle w:val="12"/>
            </w:pPr>
            <w:r>
              <w:t>资金发放准时率资金发放准时率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 升特困老干部 生活水平</w:t>
            </w:r>
          </w:p>
        </w:tc>
        <w:tc>
          <w:tcPr>
            <w:tcW w:w="5386" w:type="dxa"/>
            <w:vAlign w:val="center"/>
          </w:tcPr>
          <w:p>
            <w:pPr>
              <w:pStyle w:val="12"/>
            </w:pPr>
            <w:r>
              <w:t>特困老干部生活水平提升情况</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老干部满意度</w:t>
            </w:r>
          </w:p>
        </w:tc>
        <w:tc>
          <w:tcPr>
            <w:tcW w:w="2268" w:type="dxa"/>
            <w:vAlign w:val="center"/>
          </w:tcPr>
          <w:p>
            <w:pPr>
              <w:pStyle w:val="12"/>
            </w:pPr>
            <w:r>
              <w:t>≥95百分比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7、任过副县级及其以上离退休老干部体检费绩效目标表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13063024P00004510001E</w:t>
            </w:r>
          </w:p>
        </w:tc>
        <w:tc>
          <w:tcPr>
            <w:tcW w:w="2835" w:type="dxa"/>
            <w:vAlign w:val="center"/>
          </w:tcPr>
          <w:p>
            <w:pPr>
              <w:pStyle w:val="10"/>
            </w:pPr>
            <w:r>
              <w:t>项目名称</w:t>
            </w:r>
          </w:p>
        </w:tc>
        <w:tc>
          <w:tcPr>
            <w:tcW w:w="6094" w:type="dxa"/>
            <w:gridSpan w:val="3"/>
            <w:vAlign w:val="center"/>
          </w:tcPr>
          <w:p>
            <w:pPr>
              <w:pStyle w:val="12"/>
            </w:pPr>
            <w:r>
              <w:t>任过副县级及其以上离退休老干部体检费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w:t>
            </w:r>
          </w:p>
        </w:tc>
        <w:tc>
          <w:tcPr>
            <w:tcW w:w="2835" w:type="dxa"/>
            <w:vAlign w:val="center"/>
          </w:tcPr>
          <w:p>
            <w:pPr>
              <w:pStyle w:val="10"/>
            </w:pPr>
            <w:r>
              <w:t>其中：财政    资金</w:t>
            </w:r>
          </w:p>
        </w:tc>
        <w:tc>
          <w:tcPr>
            <w:tcW w:w="2551" w:type="dxa"/>
            <w:vAlign w:val="center"/>
          </w:tcPr>
          <w:p>
            <w:pPr>
              <w:pStyle w:val="12"/>
            </w:pPr>
            <w:r>
              <w:t>3.10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每年县级实职离退休干部体检1次，老干部身心健康能发挥一定的正能量和余热。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1.每年县级实职离退休干部体检1次，老干部身心健康能发挥一定的正能量和余热。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体检人数</w:t>
            </w:r>
          </w:p>
        </w:tc>
        <w:tc>
          <w:tcPr>
            <w:tcW w:w="5386" w:type="dxa"/>
            <w:vAlign w:val="center"/>
          </w:tcPr>
          <w:p>
            <w:pPr>
              <w:pStyle w:val="12"/>
            </w:pPr>
            <w:r>
              <w:t>体检人数</w:t>
            </w:r>
          </w:p>
        </w:tc>
        <w:tc>
          <w:tcPr>
            <w:tcW w:w="2268" w:type="dxa"/>
            <w:vAlign w:val="center"/>
          </w:tcPr>
          <w:p>
            <w:pPr>
              <w:pStyle w:val="12"/>
            </w:pPr>
            <w:r>
              <w:t>≥20人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体检报告合格率</w:t>
            </w:r>
          </w:p>
        </w:tc>
        <w:tc>
          <w:tcPr>
            <w:tcW w:w="5386" w:type="dxa"/>
            <w:vAlign w:val="center"/>
          </w:tcPr>
          <w:p>
            <w:pPr>
              <w:pStyle w:val="12"/>
            </w:pPr>
            <w:r>
              <w:t>体检报告合格率</w:t>
            </w:r>
          </w:p>
        </w:tc>
        <w:tc>
          <w:tcPr>
            <w:tcW w:w="2268" w:type="dxa"/>
            <w:vAlign w:val="center"/>
          </w:tcPr>
          <w:p>
            <w:pPr>
              <w:pStyle w:val="12"/>
            </w:pPr>
            <w:r>
              <w: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体检完成及时率</w:t>
            </w:r>
          </w:p>
        </w:tc>
        <w:tc>
          <w:tcPr>
            <w:tcW w:w="5386" w:type="dxa"/>
            <w:vAlign w:val="center"/>
          </w:tcPr>
          <w:p>
            <w:pPr>
              <w:pStyle w:val="12"/>
            </w:pPr>
            <w:r>
              <w:t>体检完成及时率</w:t>
            </w:r>
          </w:p>
        </w:tc>
        <w:tc>
          <w:tcPr>
            <w:tcW w:w="2268" w:type="dxa"/>
            <w:vAlign w:val="center"/>
          </w:tcPr>
          <w:p>
            <w:pPr>
              <w:pStyle w:val="12"/>
            </w:pPr>
            <w:r>
              <w:t>100百分比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≤3.1万元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老干部身心健康能发挥一定的正能量和余热</w:t>
            </w:r>
          </w:p>
        </w:tc>
        <w:tc>
          <w:tcPr>
            <w:tcW w:w="5386" w:type="dxa"/>
            <w:vAlign w:val="center"/>
          </w:tcPr>
          <w:p>
            <w:pPr>
              <w:pStyle w:val="12"/>
            </w:pPr>
            <w:r>
              <w:t>老干部身心健康能发挥一定的正能量和余热</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副县级以上及其以上离退休老干部满意率</w:t>
            </w:r>
          </w:p>
        </w:tc>
        <w:tc>
          <w:tcPr>
            <w:tcW w:w="5386" w:type="dxa"/>
            <w:vAlign w:val="center"/>
          </w:tcPr>
          <w:p>
            <w:pPr>
              <w:pStyle w:val="12"/>
            </w:pPr>
            <w:r>
              <w:t>副县级以上及其以上离退休老干部满意率</w:t>
            </w:r>
          </w:p>
        </w:tc>
        <w:tc>
          <w:tcPr>
            <w:tcW w:w="2268" w:type="dxa"/>
            <w:vAlign w:val="center"/>
          </w:tcPr>
          <w:p>
            <w:pPr>
              <w:pStyle w:val="12"/>
            </w:pPr>
            <w:r>
              <w:t>≥95百分比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8、重阳节老干部工作会议绩效目标表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13063024P00004210003L</w:t>
            </w:r>
          </w:p>
        </w:tc>
        <w:tc>
          <w:tcPr>
            <w:tcW w:w="2835" w:type="dxa"/>
            <w:vAlign w:val="center"/>
          </w:tcPr>
          <w:p>
            <w:pPr>
              <w:pStyle w:val="10"/>
            </w:pPr>
            <w:r>
              <w:t>项目名称</w:t>
            </w:r>
          </w:p>
        </w:tc>
        <w:tc>
          <w:tcPr>
            <w:tcW w:w="6094" w:type="dxa"/>
            <w:gridSpan w:val="3"/>
            <w:vAlign w:val="center"/>
          </w:tcPr>
          <w:p>
            <w:pPr>
              <w:pStyle w:val="12"/>
            </w:pPr>
            <w:r>
              <w:t>重阳节老干部工作会议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每年召开1次老干工作会议或座谈会，弘扬敬老助老风尚，为老干部多办实事好事，提升离退休老干部及遗属的幸福感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1.每年召开1次老干工作会议或座谈会，弘扬敬老助老风尚，为老干部多办实事好事，提升离退休老干部及遗属的幸福感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会议召开次数</w:t>
            </w:r>
          </w:p>
        </w:tc>
        <w:tc>
          <w:tcPr>
            <w:tcW w:w="5386" w:type="dxa"/>
            <w:vAlign w:val="center"/>
          </w:tcPr>
          <w:p>
            <w:pPr>
              <w:pStyle w:val="12"/>
            </w:pPr>
            <w:r>
              <w:t>会议召开次数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老干部参加率</w:t>
            </w:r>
          </w:p>
        </w:tc>
        <w:tc>
          <w:tcPr>
            <w:tcW w:w="5386" w:type="dxa"/>
            <w:vAlign w:val="center"/>
          </w:tcPr>
          <w:p>
            <w:pPr>
              <w:pStyle w:val="12"/>
            </w:pPr>
            <w:r>
              <w:t>老干部参加率</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会议完成及时率</w:t>
            </w:r>
          </w:p>
        </w:tc>
        <w:tc>
          <w:tcPr>
            <w:tcW w:w="5386" w:type="dxa"/>
            <w:vAlign w:val="center"/>
          </w:tcPr>
          <w:p>
            <w:pPr>
              <w:pStyle w:val="12"/>
            </w:pPr>
            <w:r>
              <w:t>会议按照会议安排及时举办</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提升离退休老干部及遗属的幸福感</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中国共产党涞源县委员会老干部局本级上年末固定资产金额为0.00万元（详见下表）。本年度拟购置固定资产总额为0.00万元，已按要求列入政府采购预算，详见政府采购预算表。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287001中国共产党涞源县委员会老干部局本级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F475"/>
    <w:multiLevelType w:val="singleLevel"/>
    <w:tmpl w:val="18A2F47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ViNDkwN2JkOTAxMzA1ZWY4NTIzMGI2MjkwYzgxM2EifQ=="/>
  </w:docVars>
  <w:rsids>
    <w:rsidRoot w:val="00000000"/>
    <w:rsid w:val="358D3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2024-03-06T11:36:35Z</dcterms:created>
  <dcterms:modified xsi:type="dcterms:W3CDTF">2024-03-06T03:36:35Z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2024-03-06T11:36:37Z</dcterms:created>
  <dcterms:modified xsi:type="dcterms:W3CDTF">2024-03-06T03:36:37Z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2024-03-06T11:36:37Z</dcterms:created>
  <dcterms:modified xsi:type="dcterms:W3CDTF">2024-03-06T03:36:37Z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2024-03-06T11:36:37Z</dcterms:created>
  <dcterms:modified xsi:type="dcterms:W3CDTF">2024-03-06T03:36:37Z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2024-03-06T11:36:37Z</dcterms:created>
  <dcterms:modified xsi:type="dcterms:W3CDTF">2024-03-06T03:36:37Z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2024-03-06T11:36:36Z</dcterms:created>
  <dcterms:modified xsi:type="dcterms:W3CDTF">2024-03-06T03:36:36Z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2024-03-06T11:36:30Z</dcterms:created>
  <dcterms:modified xsi:type="dcterms:W3CDTF">2024-03-06T03:36:30Z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2024-03-06T11:36:35Z</dcterms:created>
  <dcterms:modified xsi:type="dcterms:W3CDTF">2024-03-06T03:36:35Z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2024-03-06T11:36:35Z</dcterms:created>
  <dcterms:modified xsi:type="dcterms:W3CDTF">2024-03-06T03:36:35Z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2024-03-06T11:36:33Z</dcterms:created>
  <dcterms:modified xsi:type="dcterms:W3CDTF">2024-03-06T03:36:33Z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2024-03-06T11:36:38Z</dcterms:created>
  <dcterms:modified xsi:type="dcterms:W3CDTF">2024-03-06T03:36:38Z</dcterms:modified>
</cp:coreProperties>
</file>

<file path=customXml/itemProps1.xml><?xml version="1.0" encoding="utf-8"?>
<ds:datastoreItem xmlns:ds="http://schemas.openxmlformats.org/officeDocument/2006/customXml" ds:itemID="{0c466f52-ab67-4b79-a50b-064eacfd1073}">
  <ds:schemaRefs/>
</ds:datastoreItem>
</file>

<file path=customXml/itemProps10.xml><?xml version="1.0" encoding="utf-8"?>
<ds:datastoreItem xmlns:ds="http://schemas.openxmlformats.org/officeDocument/2006/customXml" ds:itemID="{23cc00b2-cd04-4e95-a3f8-62e3357bc421}">
  <ds:schemaRefs/>
</ds:datastoreItem>
</file>

<file path=customXml/itemProps11.xml><?xml version="1.0" encoding="utf-8"?>
<ds:datastoreItem xmlns:ds="http://schemas.openxmlformats.org/officeDocument/2006/customXml" ds:itemID="{019b8b3b-f979-487d-81c2-43a3e80e3296}">
  <ds:schemaRefs/>
</ds:datastoreItem>
</file>

<file path=customXml/itemProps12.xml><?xml version="1.0" encoding="utf-8"?>
<ds:datastoreItem xmlns:ds="http://schemas.openxmlformats.org/officeDocument/2006/customXml" ds:itemID="{bd82cea8-ddad-41c0-9b36-da881aa01e68}">
  <ds:schemaRefs/>
</ds:datastoreItem>
</file>

<file path=customXml/itemProps13.xml><?xml version="1.0" encoding="utf-8"?>
<ds:datastoreItem xmlns:ds="http://schemas.openxmlformats.org/officeDocument/2006/customXml" ds:itemID="{a01d638f-48ca-4147-acad-b075d9489ab0}">
  <ds:schemaRefs/>
</ds:datastoreItem>
</file>

<file path=customXml/itemProps14.xml><?xml version="1.0" encoding="utf-8"?>
<ds:datastoreItem xmlns:ds="http://schemas.openxmlformats.org/officeDocument/2006/customXml" ds:itemID="{fe8bcfcb-7e93-4ac4-ad20-c55c9d579c2d}">
  <ds:schemaRefs/>
</ds:datastoreItem>
</file>

<file path=customXml/itemProps15.xml><?xml version="1.0" encoding="utf-8"?>
<ds:datastoreItem xmlns:ds="http://schemas.openxmlformats.org/officeDocument/2006/customXml" ds:itemID="{7ea3b1df-d7ec-41c3-bf3b-994503a9e2c6}">
  <ds:schemaRefs/>
</ds:datastoreItem>
</file>

<file path=customXml/itemProps16.xml><?xml version="1.0" encoding="utf-8"?>
<ds:datastoreItem xmlns:ds="http://schemas.openxmlformats.org/officeDocument/2006/customXml" ds:itemID="{d5616050-8dd0-4772-af05-a8239d32f13d}">
  <ds:schemaRefs/>
</ds:datastoreItem>
</file>

<file path=customXml/itemProps17.xml><?xml version="1.0" encoding="utf-8"?>
<ds:datastoreItem xmlns:ds="http://schemas.openxmlformats.org/officeDocument/2006/customXml" ds:itemID="{4805a348-e995-4f0a-b241-5e42097c78e1}">
  <ds:schemaRefs/>
</ds:datastoreItem>
</file>

<file path=customXml/itemProps18.xml><?xml version="1.0" encoding="utf-8"?>
<ds:datastoreItem xmlns:ds="http://schemas.openxmlformats.org/officeDocument/2006/customXml" ds:itemID="{1fc164c3-7b54-4e85-8d27-0fe95b8b7eb6}">
  <ds:schemaRefs/>
</ds:datastoreItem>
</file>

<file path=customXml/itemProps19.xml><?xml version="1.0" encoding="utf-8"?>
<ds:datastoreItem xmlns:ds="http://schemas.openxmlformats.org/officeDocument/2006/customXml" ds:itemID="{bdc9a058-ad89-4a48-955b-16efbfac1d4e}">
  <ds:schemaRefs/>
</ds:datastoreItem>
</file>

<file path=customXml/itemProps2.xml><?xml version="1.0" encoding="utf-8"?>
<ds:datastoreItem xmlns:ds="http://schemas.openxmlformats.org/officeDocument/2006/customXml" ds:itemID="{450df964-7322-4323-b035-7add5f36d4c2}">
  <ds:schemaRefs/>
</ds:datastoreItem>
</file>

<file path=customXml/itemProps20.xml><?xml version="1.0" encoding="utf-8"?>
<ds:datastoreItem xmlns:ds="http://schemas.openxmlformats.org/officeDocument/2006/customXml" ds:itemID="{6ebd04b5-9bcd-4ae8-b50c-cf86ea0bf187}">
  <ds:schemaRefs/>
</ds:datastoreItem>
</file>

<file path=customXml/itemProps21.xml><?xml version="1.0" encoding="utf-8"?>
<ds:datastoreItem xmlns:ds="http://schemas.openxmlformats.org/officeDocument/2006/customXml" ds:itemID="{95bce26e-64d1-416a-b89a-fefdbb1eec75}">
  <ds:schemaRefs/>
</ds:datastoreItem>
</file>

<file path=customXml/itemProps22.xml><?xml version="1.0" encoding="utf-8"?>
<ds:datastoreItem xmlns:ds="http://schemas.openxmlformats.org/officeDocument/2006/customXml" ds:itemID="{4cfe8636-c7c9-42ed-a2e7-a69c2f2ca820}">
  <ds:schemaRefs/>
</ds:datastoreItem>
</file>

<file path=customXml/itemProps3.xml><?xml version="1.0" encoding="utf-8"?>
<ds:datastoreItem xmlns:ds="http://schemas.openxmlformats.org/officeDocument/2006/customXml" ds:itemID="{785e92a6-6887-44ae-9bac-43e99afc39f7}">
  <ds:schemaRefs/>
</ds:datastoreItem>
</file>

<file path=customXml/itemProps4.xml><?xml version="1.0" encoding="utf-8"?>
<ds:datastoreItem xmlns:ds="http://schemas.openxmlformats.org/officeDocument/2006/customXml" ds:itemID="{487c95ef-6258-43fa-afac-3f6390ff32d0}">
  <ds:schemaRefs/>
</ds:datastoreItem>
</file>

<file path=customXml/itemProps5.xml><?xml version="1.0" encoding="utf-8"?>
<ds:datastoreItem xmlns:ds="http://schemas.openxmlformats.org/officeDocument/2006/customXml" ds:itemID="{59fcb766-f37d-4719-9d10-36f0c0096abc}">
  <ds:schemaRefs/>
</ds:datastoreItem>
</file>

<file path=customXml/itemProps6.xml><?xml version="1.0" encoding="utf-8"?>
<ds:datastoreItem xmlns:ds="http://schemas.openxmlformats.org/officeDocument/2006/customXml" ds:itemID="{e59c535f-9d4e-4fb8-9d8e-f81d4104a5fe}">
  <ds:schemaRefs/>
</ds:datastoreItem>
</file>

<file path=customXml/itemProps7.xml><?xml version="1.0" encoding="utf-8"?>
<ds:datastoreItem xmlns:ds="http://schemas.openxmlformats.org/officeDocument/2006/customXml" ds:itemID="{7b278cc7-08e3-4425-99da-990725ba8bc7}">
  <ds:schemaRefs/>
</ds:datastoreItem>
</file>

<file path=customXml/itemProps8.xml><?xml version="1.0" encoding="utf-8"?>
<ds:datastoreItem xmlns:ds="http://schemas.openxmlformats.org/officeDocument/2006/customXml" ds:itemID="{7c1a1e8c-fbfa-4fb7-964b-85aa05498493}">
  <ds:schemaRefs/>
</ds:datastoreItem>
</file>

<file path=customXml/itemProps9.xml><?xml version="1.0" encoding="utf-8"?>
<ds:datastoreItem xmlns:ds="http://schemas.openxmlformats.org/officeDocument/2006/customXml" ds:itemID="{732e5d70-f65a-414a-acd6-660d5575c25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2024-03-06T11:36:00Z</dcterms:created>
  <dc:creator>Administrator</dc:creator>
  <cp:lastModifiedBy>简单就好</cp:lastModifiedBy>
  <dcterms:modified xsi:type="dcterms:W3CDTF">2024-03-27T03:35:05Z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4EE3A9A29C674282A8CDC48F9EDEEA23_12</vt:lpwstr>
  </property>
</Properties>
</file>