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10</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12</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19</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20</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25</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71"/>
        <w:gridCol w:w="1971"/>
        <w:gridCol w:w="1971"/>
        <w:gridCol w:w="1971"/>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126" w:type="dxa"/>
            <w:tcBorders>
              <w:top w:val="single" w:color="FFFFFF" w:sz="6" w:space="0"/>
              <w:left w:val="single" w:color="FFFFFF" w:sz="6" w:space="0"/>
              <w:right w:val="single" w:color="FFFFFF" w:sz="6" w:space="0"/>
            </w:tcBorders>
            <w:vAlign w:val="center"/>
          </w:tcPr>
          <w:p>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162.20</w:t>
            </w:r>
          </w:p>
        </w:tc>
        <w:tc>
          <w:tcPr>
            <w:tcW w:w="4535" w:type="dxa"/>
            <w:vAlign w:val="center"/>
          </w:tcPr>
          <w:p>
            <w:pPr>
              <w:pStyle w:val="13"/>
            </w:pPr>
            <w:r>
              <w:t>一、一般公共服务支出</w:t>
            </w:r>
          </w:p>
        </w:tc>
        <w:tc>
          <w:tcPr>
            <w:tcW w:w="2126" w:type="dxa"/>
            <w:vAlign w:val="center"/>
          </w:tcPr>
          <w:p>
            <w:pPr>
              <w:pStyle w:val="12"/>
            </w:pPr>
            <w:r>
              <w:t>134.22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21.34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6.64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162.20</w:t>
            </w:r>
          </w:p>
        </w:tc>
        <w:tc>
          <w:tcPr>
            <w:tcW w:w="4535" w:type="dxa"/>
            <w:vAlign w:val="center"/>
          </w:tcPr>
          <w:p>
            <w:pPr>
              <w:pStyle w:val="15"/>
            </w:pPr>
            <w:r>
              <w:t>本年支出合计</w:t>
            </w:r>
          </w:p>
        </w:tc>
        <w:tc>
          <w:tcPr>
            <w:tcW w:w="2126" w:type="dxa"/>
            <w:vAlign w:val="center"/>
          </w:tcPr>
          <w:p>
            <w:pPr>
              <w:pStyle w:val="16"/>
            </w:pPr>
            <w:r>
              <w:t>162.20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p>
        </w:tc>
        <w:tc>
          <w:tcPr>
            <w:tcW w:w="4535" w:type="dxa"/>
            <w:vAlign w:val="center"/>
          </w:tcPr>
          <w:p>
            <w:pPr>
              <w:pStyle w:val="13"/>
            </w:pPr>
            <w: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162.20</w:t>
            </w:r>
          </w:p>
        </w:tc>
        <w:tc>
          <w:tcPr>
            <w:tcW w:w="4535" w:type="dxa"/>
            <w:vAlign w:val="center"/>
          </w:tcPr>
          <w:p>
            <w:pPr>
              <w:pStyle w:val="15"/>
            </w:pPr>
            <w:r>
              <w:t>支出总计</w:t>
            </w:r>
          </w:p>
        </w:tc>
        <w:tc>
          <w:tcPr>
            <w:tcW w:w="2126" w:type="dxa"/>
            <w:vAlign w:val="center"/>
          </w:tcPr>
          <w:p>
            <w:pPr>
              <w:pStyle w:val="16"/>
            </w:pPr>
            <w:r>
              <w:t>162.20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1"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162.20</w:t>
            </w:r>
          </w:p>
        </w:tc>
        <w:tc>
          <w:tcPr>
            <w:tcW w:w="1134" w:type="dxa"/>
            <w:vAlign w:val="center"/>
          </w:tcPr>
          <w:p>
            <w:pPr>
              <w:pStyle w:val="16"/>
            </w:pPr>
            <w:r>
              <w:t>162.20</w:t>
            </w:r>
          </w:p>
        </w:tc>
        <w:tc>
          <w:tcPr>
            <w:tcW w:w="1134" w:type="dxa"/>
            <w:vAlign w:val="center"/>
          </w:tcPr>
          <w:p>
            <w:pPr>
              <w:pStyle w:val="16"/>
            </w:pPr>
            <w:r>
              <w:t>162.20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20134</w:t>
            </w:r>
          </w:p>
        </w:tc>
        <w:tc>
          <w:tcPr>
            <w:tcW w:w="1559" w:type="dxa"/>
            <w:vAlign w:val="center"/>
          </w:tcPr>
          <w:p>
            <w:pPr>
              <w:pStyle w:val="13"/>
            </w:pPr>
            <w:r>
              <w:t>统战事务</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2013401</w:t>
            </w:r>
          </w:p>
        </w:tc>
        <w:tc>
          <w:tcPr>
            <w:tcW w:w="1559" w:type="dxa"/>
            <w:vAlign w:val="center"/>
          </w:tcPr>
          <w:p>
            <w:pPr>
              <w:pStyle w:val="13"/>
            </w:pPr>
            <w:r>
              <w:t>行政运行</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r>
              <w:t>134.22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r>
              <w:t>21.34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1.43</w:t>
            </w:r>
          </w:p>
        </w:tc>
        <w:tc>
          <w:tcPr>
            <w:tcW w:w="1134" w:type="dxa"/>
            <w:vAlign w:val="center"/>
          </w:tcPr>
          <w:p>
            <w:pPr>
              <w:pStyle w:val="12"/>
            </w:pPr>
            <w:r>
              <w:t>1.43</w:t>
            </w:r>
          </w:p>
        </w:tc>
        <w:tc>
          <w:tcPr>
            <w:tcW w:w="1134" w:type="dxa"/>
            <w:vAlign w:val="center"/>
          </w:tcPr>
          <w:p>
            <w:pPr>
              <w:pStyle w:val="12"/>
            </w:pPr>
            <w:r>
              <w:t>1.43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13.27</w:t>
            </w:r>
          </w:p>
        </w:tc>
        <w:tc>
          <w:tcPr>
            <w:tcW w:w="1134" w:type="dxa"/>
            <w:vAlign w:val="center"/>
          </w:tcPr>
          <w:p>
            <w:pPr>
              <w:pStyle w:val="12"/>
            </w:pPr>
            <w:r>
              <w:t>13.27</w:t>
            </w:r>
          </w:p>
        </w:tc>
        <w:tc>
          <w:tcPr>
            <w:tcW w:w="1134" w:type="dxa"/>
            <w:vAlign w:val="center"/>
          </w:tcPr>
          <w:p>
            <w:pPr>
              <w:pStyle w:val="12"/>
            </w:pPr>
            <w:r>
              <w:t>13.27</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r>
              <w:t>6.64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721" w:type="dxa"/>
            <w:gridSpan w:val="2"/>
            <w:tcBorders>
              <w:top w:val="single" w:color="FFFFFF" w:sz="6" w:space="0"/>
              <w:left w:val="single" w:color="FFFFFF" w:sz="6" w:space="0"/>
              <w:right w:val="single" w:color="FFFFFF" w:sz="6" w:space="0"/>
            </w:tcBorders>
            <w:vAlign w:val="center"/>
          </w:tcPr>
          <w:p>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8"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162.20</w:t>
            </w:r>
          </w:p>
        </w:tc>
        <w:tc>
          <w:tcPr>
            <w:tcW w:w="1361" w:type="dxa"/>
            <w:vAlign w:val="center"/>
          </w:tcPr>
          <w:p>
            <w:pPr>
              <w:pStyle w:val="16"/>
            </w:pPr>
            <w:r>
              <w:t>151.02</w:t>
            </w:r>
          </w:p>
        </w:tc>
        <w:tc>
          <w:tcPr>
            <w:tcW w:w="1361" w:type="dxa"/>
            <w:vAlign w:val="center"/>
          </w:tcPr>
          <w:p>
            <w:pPr>
              <w:pStyle w:val="16"/>
            </w:pPr>
            <w:r>
              <w:t>11.18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134.22</w:t>
            </w:r>
          </w:p>
        </w:tc>
        <w:tc>
          <w:tcPr>
            <w:tcW w:w="1361" w:type="dxa"/>
            <w:vAlign w:val="center"/>
          </w:tcPr>
          <w:p>
            <w:pPr>
              <w:pStyle w:val="12"/>
            </w:pPr>
            <w:r>
              <w:t>123.04</w:t>
            </w:r>
          </w:p>
        </w:tc>
        <w:tc>
          <w:tcPr>
            <w:tcW w:w="1361" w:type="dxa"/>
            <w:vAlign w:val="center"/>
          </w:tcPr>
          <w:p>
            <w:pPr>
              <w:pStyle w:val="12"/>
            </w:pPr>
            <w:r>
              <w:t>11.18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20134</w:t>
            </w:r>
          </w:p>
        </w:tc>
        <w:tc>
          <w:tcPr>
            <w:tcW w:w="4535" w:type="dxa"/>
            <w:vAlign w:val="center"/>
          </w:tcPr>
          <w:p>
            <w:pPr>
              <w:pStyle w:val="13"/>
            </w:pPr>
            <w:r>
              <w:t>统战事务</w:t>
            </w:r>
          </w:p>
        </w:tc>
        <w:tc>
          <w:tcPr>
            <w:tcW w:w="1361" w:type="dxa"/>
            <w:vAlign w:val="center"/>
          </w:tcPr>
          <w:p>
            <w:pPr>
              <w:pStyle w:val="12"/>
            </w:pPr>
            <w:r>
              <w:t>134.22</w:t>
            </w:r>
          </w:p>
        </w:tc>
        <w:tc>
          <w:tcPr>
            <w:tcW w:w="1361" w:type="dxa"/>
            <w:vAlign w:val="center"/>
          </w:tcPr>
          <w:p>
            <w:pPr>
              <w:pStyle w:val="12"/>
            </w:pPr>
            <w:r>
              <w:t>123.04</w:t>
            </w:r>
          </w:p>
        </w:tc>
        <w:tc>
          <w:tcPr>
            <w:tcW w:w="1361" w:type="dxa"/>
            <w:vAlign w:val="center"/>
          </w:tcPr>
          <w:p>
            <w:pPr>
              <w:pStyle w:val="12"/>
            </w:pPr>
            <w:r>
              <w:t>11.18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2013401</w:t>
            </w:r>
          </w:p>
        </w:tc>
        <w:tc>
          <w:tcPr>
            <w:tcW w:w="4535" w:type="dxa"/>
            <w:vAlign w:val="center"/>
          </w:tcPr>
          <w:p>
            <w:pPr>
              <w:pStyle w:val="13"/>
            </w:pPr>
            <w:r>
              <w:t>行政运行</w:t>
            </w:r>
          </w:p>
        </w:tc>
        <w:tc>
          <w:tcPr>
            <w:tcW w:w="1361" w:type="dxa"/>
            <w:vAlign w:val="center"/>
          </w:tcPr>
          <w:p>
            <w:pPr>
              <w:pStyle w:val="12"/>
            </w:pPr>
            <w:r>
              <w:t>134.22</w:t>
            </w:r>
          </w:p>
        </w:tc>
        <w:tc>
          <w:tcPr>
            <w:tcW w:w="1361" w:type="dxa"/>
            <w:vAlign w:val="center"/>
          </w:tcPr>
          <w:p>
            <w:pPr>
              <w:pStyle w:val="12"/>
            </w:pPr>
            <w:r>
              <w:t>123.04</w:t>
            </w:r>
          </w:p>
        </w:tc>
        <w:tc>
          <w:tcPr>
            <w:tcW w:w="1361" w:type="dxa"/>
            <w:vAlign w:val="center"/>
          </w:tcPr>
          <w:p>
            <w:pPr>
              <w:pStyle w:val="12"/>
            </w:pPr>
            <w:r>
              <w:t>11.18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21.34</w:t>
            </w:r>
          </w:p>
        </w:tc>
        <w:tc>
          <w:tcPr>
            <w:tcW w:w="1361" w:type="dxa"/>
            <w:vAlign w:val="center"/>
          </w:tcPr>
          <w:p>
            <w:pPr>
              <w:pStyle w:val="12"/>
            </w:pPr>
            <w:r>
              <w:t>21.34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21.34</w:t>
            </w:r>
          </w:p>
        </w:tc>
        <w:tc>
          <w:tcPr>
            <w:tcW w:w="1361" w:type="dxa"/>
            <w:vAlign w:val="center"/>
          </w:tcPr>
          <w:p>
            <w:pPr>
              <w:pStyle w:val="12"/>
            </w:pPr>
            <w:r>
              <w:t>21.34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1.43</w:t>
            </w:r>
          </w:p>
        </w:tc>
        <w:tc>
          <w:tcPr>
            <w:tcW w:w="1361" w:type="dxa"/>
            <w:vAlign w:val="center"/>
          </w:tcPr>
          <w:p>
            <w:pPr>
              <w:pStyle w:val="12"/>
            </w:pPr>
            <w:r>
              <w:t>1.43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13.27</w:t>
            </w:r>
          </w:p>
        </w:tc>
        <w:tc>
          <w:tcPr>
            <w:tcW w:w="1361" w:type="dxa"/>
            <w:vAlign w:val="center"/>
          </w:tcPr>
          <w:p>
            <w:pPr>
              <w:pStyle w:val="12"/>
            </w:pPr>
            <w:r>
              <w:t>13.27</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6.64</w:t>
            </w:r>
          </w:p>
        </w:tc>
        <w:tc>
          <w:tcPr>
            <w:tcW w:w="1361" w:type="dxa"/>
            <w:vAlign w:val="center"/>
          </w:tcPr>
          <w:p>
            <w:pPr>
              <w:pStyle w:val="12"/>
            </w:pPr>
            <w:r>
              <w:t>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6.64</w:t>
            </w:r>
          </w:p>
        </w:tc>
        <w:tc>
          <w:tcPr>
            <w:tcW w:w="1361" w:type="dxa"/>
            <w:vAlign w:val="center"/>
          </w:tcPr>
          <w:p>
            <w:pPr>
              <w:pStyle w:val="12"/>
            </w:pPr>
            <w:r>
              <w:t>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6.64</w:t>
            </w:r>
          </w:p>
        </w:tc>
        <w:tc>
          <w:tcPr>
            <w:tcW w:w="1361" w:type="dxa"/>
            <w:vAlign w:val="center"/>
          </w:tcPr>
          <w:p>
            <w:pPr>
              <w:pStyle w:val="12"/>
            </w:pPr>
            <w:r>
              <w:t>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6.64</w:t>
            </w:r>
          </w:p>
        </w:tc>
        <w:tc>
          <w:tcPr>
            <w:tcW w:w="1361" w:type="dxa"/>
            <w:vAlign w:val="center"/>
          </w:tcPr>
          <w:p>
            <w:pPr>
              <w:pStyle w:val="12"/>
            </w:pPr>
            <w:r>
              <w:t>6.64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3402" w:type="dxa"/>
            <w:tcBorders>
              <w:top w:val="single" w:color="FFFFFF" w:sz="6" w:space="0"/>
              <w:left w:val="single" w:color="FFFFFF" w:sz="6" w:space="0"/>
              <w:right w:val="single" w:color="FFFFFF" w:sz="6" w:space="0"/>
            </w:tcBorders>
            <w:vAlign w:val="center"/>
          </w:tcPr>
          <w:p>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162.20</w:t>
            </w:r>
          </w:p>
        </w:tc>
        <w:tc>
          <w:tcPr>
            <w:tcW w:w="3402" w:type="dxa"/>
            <w:vAlign w:val="center"/>
          </w:tcPr>
          <w:p>
            <w:pPr>
              <w:pStyle w:val="13"/>
            </w:pPr>
            <w:r>
              <w:t>一、一般公共服务支出</w:t>
            </w:r>
          </w:p>
        </w:tc>
        <w:tc>
          <w:tcPr>
            <w:tcW w:w="1474" w:type="dxa"/>
            <w:vAlign w:val="center"/>
          </w:tcPr>
          <w:p>
            <w:pPr>
              <w:pStyle w:val="12"/>
            </w:pPr>
            <w:r>
              <w:t>134.22</w:t>
            </w:r>
          </w:p>
        </w:tc>
        <w:tc>
          <w:tcPr>
            <w:tcW w:w="1474" w:type="dxa"/>
            <w:vAlign w:val="center"/>
          </w:tcPr>
          <w:p>
            <w:pPr>
              <w:pStyle w:val="12"/>
            </w:pPr>
            <w:r>
              <w:t>134.22</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21.34</w:t>
            </w:r>
          </w:p>
        </w:tc>
        <w:tc>
          <w:tcPr>
            <w:tcW w:w="1474" w:type="dxa"/>
            <w:vAlign w:val="center"/>
          </w:tcPr>
          <w:p>
            <w:pPr>
              <w:pStyle w:val="12"/>
            </w:pPr>
            <w:r>
              <w:t>21.34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6.64</w:t>
            </w:r>
          </w:p>
        </w:tc>
        <w:tc>
          <w:tcPr>
            <w:tcW w:w="1474" w:type="dxa"/>
            <w:vAlign w:val="center"/>
          </w:tcPr>
          <w:p>
            <w:pPr>
              <w:pStyle w:val="12"/>
            </w:pPr>
            <w:r>
              <w:t>6.64</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162.20</w:t>
            </w:r>
          </w:p>
        </w:tc>
        <w:tc>
          <w:tcPr>
            <w:tcW w:w="3402" w:type="dxa"/>
            <w:vAlign w:val="center"/>
          </w:tcPr>
          <w:p>
            <w:pPr>
              <w:pStyle w:val="15"/>
            </w:pPr>
            <w:r>
              <w:t>本年支出合计</w:t>
            </w:r>
          </w:p>
        </w:tc>
        <w:tc>
          <w:tcPr>
            <w:tcW w:w="1474" w:type="dxa"/>
            <w:vAlign w:val="center"/>
          </w:tcPr>
          <w:p>
            <w:pPr>
              <w:pStyle w:val="16"/>
            </w:pPr>
            <w:r>
              <w:t>162.20</w:t>
            </w:r>
          </w:p>
        </w:tc>
        <w:tc>
          <w:tcPr>
            <w:tcW w:w="1474" w:type="dxa"/>
            <w:vAlign w:val="center"/>
          </w:tcPr>
          <w:p>
            <w:pPr>
              <w:pStyle w:val="16"/>
            </w:pPr>
            <w:r>
              <w:t>162.20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162.20</w:t>
            </w:r>
          </w:p>
        </w:tc>
        <w:tc>
          <w:tcPr>
            <w:tcW w:w="3402" w:type="dxa"/>
            <w:vAlign w:val="center"/>
          </w:tcPr>
          <w:p>
            <w:pPr>
              <w:pStyle w:val="15"/>
            </w:pPr>
            <w:r>
              <w:t>支出总计</w:t>
            </w:r>
          </w:p>
        </w:tc>
        <w:tc>
          <w:tcPr>
            <w:tcW w:w="1474" w:type="dxa"/>
            <w:vAlign w:val="center"/>
          </w:tcPr>
          <w:p>
            <w:pPr>
              <w:pStyle w:val="16"/>
            </w:pPr>
            <w:r>
              <w:t>162.20</w:t>
            </w:r>
          </w:p>
        </w:tc>
        <w:tc>
          <w:tcPr>
            <w:tcW w:w="1474" w:type="dxa"/>
            <w:vAlign w:val="center"/>
          </w:tcPr>
          <w:p>
            <w:pPr>
              <w:pStyle w:val="16"/>
            </w:pPr>
            <w:r>
              <w:t>162.20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162.20</w:t>
            </w:r>
          </w:p>
        </w:tc>
        <w:tc>
          <w:tcPr>
            <w:tcW w:w="2551" w:type="dxa"/>
            <w:vAlign w:val="center"/>
          </w:tcPr>
          <w:p>
            <w:pPr>
              <w:pStyle w:val="16"/>
            </w:pPr>
            <w:r>
              <w:t>151.02</w:t>
            </w:r>
          </w:p>
        </w:tc>
        <w:tc>
          <w:tcPr>
            <w:tcW w:w="2551" w:type="dxa"/>
            <w:vAlign w:val="center"/>
          </w:tcPr>
          <w:p>
            <w:pPr>
              <w:pStyle w:val="16"/>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134.22</w:t>
            </w:r>
          </w:p>
        </w:tc>
        <w:tc>
          <w:tcPr>
            <w:tcW w:w="2551" w:type="dxa"/>
            <w:vAlign w:val="center"/>
          </w:tcPr>
          <w:p>
            <w:pPr>
              <w:pStyle w:val="12"/>
            </w:pPr>
            <w:r>
              <w:t>123.04</w:t>
            </w:r>
          </w:p>
        </w:tc>
        <w:tc>
          <w:tcPr>
            <w:tcW w:w="2551" w:type="dxa"/>
            <w:vAlign w:val="center"/>
          </w:tcPr>
          <w:p>
            <w:pPr>
              <w:pStyle w:val="12"/>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20134</w:t>
            </w:r>
          </w:p>
        </w:tc>
        <w:tc>
          <w:tcPr>
            <w:tcW w:w="4535" w:type="dxa"/>
            <w:vAlign w:val="center"/>
          </w:tcPr>
          <w:p>
            <w:pPr>
              <w:pStyle w:val="13"/>
            </w:pPr>
            <w:r>
              <w:t>统战事务</w:t>
            </w:r>
          </w:p>
        </w:tc>
        <w:tc>
          <w:tcPr>
            <w:tcW w:w="2551" w:type="dxa"/>
            <w:vAlign w:val="center"/>
          </w:tcPr>
          <w:p>
            <w:pPr>
              <w:pStyle w:val="12"/>
            </w:pPr>
            <w:r>
              <w:t>134.22</w:t>
            </w:r>
          </w:p>
        </w:tc>
        <w:tc>
          <w:tcPr>
            <w:tcW w:w="2551" w:type="dxa"/>
            <w:vAlign w:val="center"/>
          </w:tcPr>
          <w:p>
            <w:pPr>
              <w:pStyle w:val="12"/>
            </w:pPr>
            <w:r>
              <w:t>123.04</w:t>
            </w:r>
          </w:p>
        </w:tc>
        <w:tc>
          <w:tcPr>
            <w:tcW w:w="2551" w:type="dxa"/>
            <w:vAlign w:val="center"/>
          </w:tcPr>
          <w:p>
            <w:pPr>
              <w:pStyle w:val="12"/>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2013401</w:t>
            </w:r>
          </w:p>
        </w:tc>
        <w:tc>
          <w:tcPr>
            <w:tcW w:w="4535" w:type="dxa"/>
            <w:vAlign w:val="center"/>
          </w:tcPr>
          <w:p>
            <w:pPr>
              <w:pStyle w:val="13"/>
            </w:pPr>
            <w:r>
              <w:t>行政运行</w:t>
            </w:r>
          </w:p>
        </w:tc>
        <w:tc>
          <w:tcPr>
            <w:tcW w:w="2551" w:type="dxa"/>
            <w:vAlign w:val="center"/>
          </w:tcPr>
          <w:p>
            <w:pPr>
              <w:pStyle w:val="12"/>
            </w:pPr>
            <w:r>
              <w:t>134.22</w:t>
            </w:r>
          </w:p>
        </w:tc>
        <w:tc>
          <w:tcPr>
            <w:tcW w:w="2551" w:type="dxa"/>
            <w:vAlign w:val="center"/>
          </w:tcPr>
          <w:p>
            <w:pPr>
              <w:pStyle w:val="12"/>
            </w:pPr>
            <w:r>
              <w:t>123.04</w:t>
            </w:r>
          </w:p>
        </w:tc>
        <w:tc>
          <w:tcPr>
            <w:tcW w:w="2551" w:type="dxa"/>
            <w:vAlign w:val="center"/>
          </w:tcPr>
          <w:p>
            <w:pPr>
              <w:pStyle w:val="12"/>
            </w:pPr>
            <w:r>
              <w:t>11.18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21.34</w:t>
            </w:r>
          </w:p>
        </w:tc>
        <w:tc>
          <w:tcPr>
            <w:tcW w:w="2551" w:type="dxa"/>
            <w:vAlign w:val="center"/>
          </w:tcPr>
          <w:p>
            <w:pPr>
              <w:pStyle w:val="12"/>
            </w:pPr>
            <w:r>
              <w:t>21.34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1.43</w:t>
            </w:r>
          </w:p>
        </w:tc>
        <w:tc>
          <w:tcPr>
            <w:tcW w:w="2551" w:type="dxa"/>
            <w:vAlign w:val="center"/>
          </w:tcPr>
          <w:p>
            <w:pPr>
              <w:pStyle w:val="12"/>
            </w:pPr>
            <w:r>
              <w:t>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13.27</w:t>
            </w:r>
          </w:p>
        </w:tc>
        <w:tc>
          <w:tcPr>
            <w:tcW w:w="2551" w:type="dxa"/>
            <w:vAlign w:val="center"/>
          </w:tcPr>
          <w:p>
            <w:pPr>
              <w:pStyle w:val="12"/>
            </w:pPr>
            <w:r>
              <w:t>13.27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4" w:type="dxa"/>
            <w:gridSpan w:val="3"/>
            <w:vAlign w:val="center"/>
          </w:tcPr>
          <w:p>
            <w:pPr>
              <w:pStyle w:val="11"/>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151.02</w:t>
            </w:r>
          </w:p>
        </w:tc>
        <w:tc>
          <w:tcPr>
            <w:tcW w:w="2551" w:type="dxa"/>
            <w:vAlign w:val="center"/>
          </w:tcPr>
          <w:p>
            <w:pPr>
              <w:pStyle w:val="16"/>
            </w:pPr>
            <w:r>
              <w:t>132.03</w:t>
            </w:r>
          </w:p>
        </w:tc>
        <w:tc>
          <w:tcPr>
            <w:tcW w:w="2551" w:type="dxa"/>
            <w:vAlign w:val="center"/>
          </w:tcPr>
          <w:p>
            <w:pPr>
              <w:pStyle w:val="16"/>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130.60</w:t>
            </w:r>
          </w:p>
        </w:tc>
        <w:tc>
          <w:tcPr>
            <w:tcW w:w="2551" w:type="dxa"/>
            <w:vAlign w:val="center"/>
          </w:tcPr>
          <w:p>
            <w:pPr>
              <w:pStyle w:val="12"/>
            </w:pPr>
            <w:r>
              <w:t>130.60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54.68</w:t>
            </w:r>
          </w:p>
        </w:tc>
        <w:tc>
          <w:tcPr>
            <w:tcW w:w="2551" w:type="dxa"/>
            <w:vAlign w:val="center"/>
          </w:tcPr>
          <w:p>
            <w:pPr>
              <w:pStyle w:val="12"/>
            </w:pPr>
            <w:r>
              <w:t>54.68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21.12</w:t>
            </w:r>
          </w:p>
        </w:tc>
        <w:tc>
          <w:tcPr>
            <w:tcW w:w="2551" w:type="dxa"/>
            <w:vAlign w:val="center"/>
          </w:tcPr>
          <w:p>
            <w:pPr>
              <w:pStyle w:val="12"/>
            </w:pPr>
            <w:r>
              <w:t>21.12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8.10</w:t>
            </w:r>
          </w:p>
        </w:tc>
        <w:tc>
          <w:tcPr>
            <w:tcW w:w="2551" w:type="dxa"/>
            <w:vAlign w:val="center"/>
          </w:tcPr>
          <w:p>
            <w:pPr>
              <w:pStyle w:val="12"/>
            </w:pPr>
            <w:r>
              <w:t>8.10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14.16</w:t>
            </w:r>
          </w:p>
        </w:tc>
        <w:tc>
          <w:tcPr>
            <w:tcW w:w="2551" w:type="dxa"/>
            <w:vAlign w:val="center"/>
          </w:tcPr>
          <w:p>
            <w:pPr>
              <w:pStyle w:val="12"/>
            </w:pPr>
            <w:r>
              <w:t>14.16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13.27</w:t>
            </w:r>
          </w:p>
        </w:tc>
        <w:tc>
          <w:tcPr>
            <w:tcW w:w="2551" w:type="dxa"/>
            <w:vAlign w:val="center"/>
          </w:tcPr>
          <w:p>
            <w:pPr>
              <w:pStyle w:val="12"/>
            </w:pPr>
            <w:r>
              <w:t>13.27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5.37</w:t>
            </w:r>
          </w:p>
        </w:tc>
        <w:tc>
          <w:tcPr>
            <w:tcW w:w="2551" w:type="dxa"/>
            <w:vAlign w:val="center"/>
          </w:tcPr>
          <w:p>
            <w:pPr>
              <w:pStyle w:val="12"/>
            </w:pPr>
            <w:r>
              <w:t>5.37</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0.62</w:t>
            </w:r>
          </w:p>
        </w:tc>
        <w:tc>
          <w:tcPr>
            <w:tcW w:w="2551" w:type="dxa"/>
            <w:vAlign w:val="center"/>
          </w:tcPr>
          <w:p>
            <w:pPr>
              <w:pStyle w:val="12"/>
            </w:pPr>
            <w:r>
              <w:t>0.62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6.64</w:t>
            </w:r>
          </w:p>
        </w:tc>
        <w:tc>
          <w:tcPr>
            <w:tcW w:w="2551" w:type="dxa"/>
            <w:vAlign w:val="center"/>
          </w:tcPr>
          <w:p>
            <w:pPr>
              <w:pStyle w:val="12"/>
            </w:pPr>
            <w:r>
              <w:t>6.64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18.99</w:t>
            </w:r>
          </w:p>
        </w:tc>
        <w:tc>
          <w:tcPr>
            <w:tcW w:w="2551" w:type="dxa"/>
            <w:vAlign w:val="center"/>
          </w:tcPr>
          <w:p>
            <w:pPr>
              <w:pStyle w:val="12"/>
            </w:pPr>
          </w:p>
        </w:tc>
        <w:tc>
          <w:tcPr>
            <w:tcW w:w="2551" w:type="dxa"/>
            <w:vAlign w:val="center"/>
          </w:tcPr>
          <w:p>
            <w:pPr>
              <w:pStyle w:val="12"/>
            </w:pPr>
            <w:r>
              <w:t>18.99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1.73</w:t>
            </w:r>
          </w:p>
        </w:tc>
        <w:tc>
          <w:tcPr>
            <w:tcW w:w="2551" w:type="dxa"/>
            <w:vAlign w:val="center"/>
          </w:tcPr>
          <w:p>
            <w:pPr>
              <w:pStyle w:val="12"/>
            </w:pPr>
          </w:p>
        </w:tc>
        <w:tc>
          <w:tcPr>
            <w:tcW w:w="2551" w:type="dxa"/>
            <w:vAlign w:val="center"/>
          </w:tcPr>
          <w:p>
            <w:pPr>
              <w:pStyle w:val="12"/>
            </w:pPr>
            <w:r>
              <w:t>1.73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1.60</w:t>
            </w:r>
          </w:p>
        </w:tc>
        <w:tc>
          <w:tcPr>
            <w:tcW w:w="2551" w:type="dxa"/>
            <w:vAlign w:val="center"/>
          </w:tcPr>
          <w:p>
            <w:pPr>
              <w:pStyle w:val="12"/>
            </w:pPr>
          </w:p>
        </w:tc>
        <w:tc>
          <w:tcPr>
            <w:tcW w:w="2551" w:type="dxa"/>
            <w:vAlign w:val="center"/>
          </w:tcPr>
          <w:p>
            <w:pPr>
              <w:pStyle w:val="12"/>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0.54</w:t>
            </w:r>
          </w:p>
        </w:tc>
        <w:tc>
          <w:tcPr>
            <w:tcW w:w="2551" w:type="dxa"/>
            <w:vAlign w:val="center"/>
          </w:tcPr>
          <w:p>
            <w:pPr>
              <w:pStyle w:val="12"/>
            </w:pPr>
          </w:p>
        </w:tc>
        <w:tc>
          <w:tcPr>
            <w:tcW w:w="2551" w:type="dxa"/>
            <w:vAlign w:val="center"/>
          </w:tcPr>
          <w:p>
            <w:pPr>
              <w:pStyle w:val="12"/>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3.20</w:t>
            </w:r>
          </w:p>
        </w:tc>
        <w:tc>
          <w:tcPr>
            <w:tcW w:w="2551" w:type="dxa"/>
            <w:vAlign w:val="center"/>
          </w:tcPr>
          <w:p>
            <w:pPr>
              <w:pStyle w:val="12"/>
            </w:pPr>
          </w:p>
        </w:tc>
        <w:tc>
          <w:tcPr>
            <w:tcW w:w="2551" w:type="dxa"/>
            <w:vAlign w:val="center"/>
          </w:tcPr>
          <w:p>
            <w:pPr>
              <w:pStyle w:val="12"/>
            </w:pPr>
            <w:r>
              <w:t>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30217</w:t>
            </w:r>
          </w:p>
        </w:tc>
        <w:tc>
          <w:tcPr>
            <w:tcW w:w="4535" w:type="dxa"/>
            <w:vAlign w:val="center"/>
          </w:tcPr>
          <w:p>
            <w:pPr>
              <w:pStyle w:val="13"/>
            </w:pPr>
            <w:r>
              <w:t>公务接待费</w:t>
            </w:r>
          </w:p>
        </w:tc>
        <w:tc>
          <w:tcPr>
            <w:tcW w:w="2551" w:type="dxa"/>
            <w:vAlign w:val="center"/>
          </w:tcPr>
          <w:p>
            <w:pPr>
              <w:pStyle w:val="12"/>
            </w:pPr>
            <w:r>
              <w:t>4.70</w:t>
            </w:r>
          </w:p>
        </w:tc>
        <w:tc>
          <w:tcPr>
            <w:tcW w:w="2551" w:type="dxa"/>
            <w:vAlign w:val="center"/>
          </w:tcPr>
          <w:p>
            <w:pPr>
              <w:pStyle w:val="12"/>
            </w:pPr>
          </w:p>
        </w:tc>
        <w:tc>
          <w:tcPr>
            <w:tcW w:w="2551" w:type="dxa"/>
            <w:vAlign w:val="center"/>
          </w:tcPr>
          <w:p>
            <w:pPr>
              <w:pStyle w:val="12"/>
            </w:pPr>
            <w:r>
              <w:t>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3.50</w:t>
            </w:r>
          </w:p>
        </w:tc>
        <w:tc>
          <w:tcPr>
            <w:tcW w:w="2551" w:type="dxa"/>
            <w:vAlign w:val="center"/>
          </w:tcPr>
          <w:p>
            <w:pPr>
              <w:pStyle w:val="12"/>
            </w:pPr>
          </w:p>
        </w:tc>
        <w:tc>
          <w:tcPr>
            <w:tcW w:w="2551" w:type="dxa"/>
            <w:vAlign w:val="center"/>
          </w:tcPr>
          <w:p>
            <w:pPr>
              <w:pStyle w:val="12"/>
            </w:pPr>
            <w: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3.72</w:t>
            </w:r>
          </w:p>
        </w:tc>
        <w:tc>
          <w:tcPr>
            <w:tcW w:w="2551" w:type="dxa"/>
            <w:vAlign w:val="center"/>
          </w:tcPr>
          <w:p>
            <w:pPr>
              <w:pStyle w:val="12"/>
            </w:pPr>
          </w:p>
        </w:tc>
        <w:tc>
          <w:tcPr>
            <w:tcW w:w="2551" w:type="dxa"/>
            <w:vAlign w:val="center"/>
          </w:tcPr>
          <w:p>
            <w:pPr>
              <w:pStyle w:val="12"/>
            </w:pPr>
            <w:r>
              <w:t>3.72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1.43</w:t>
            </w:r>
          </w:p>
        </w:tc>
        <w:tc>
          <w:tcPr>
            <w:tcW w:w="2551" w:type="dxa"/>
            <w:vAlign w:val="center"/>
          </w:tcPr>
          <w:p>
            <w:pPr>
              <w:pStyle w:val="12"/>
            </w:pPr>
            <w:r>
              <w:t>1.43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1.43</w:t>
            </w:r>
          </w:p>
        </w:tc>
        <w:tc>
          <w:tcPr>
            <w:tcW w:w="2551" w:type="dxa"/>
            <w:vAlign w:val="center"/>
          </w:tcPr>
          <w:p>
            <w:pPr>
              <w:pStyle w:val="12"/>
            </w:pPr>
            <w:r>
              <w:t>1.43</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551" w:type="dxa"/>
            <w:tcBorders>
              <w:top w:val="single" w:color="FFFFFF" w:sz="6" w:space="0"/>
              <w:left w:val="single" w:color="FFFFFF" w:sz="6" w:space="0"/>
              <w:right w:val="single" w:color="FFFFFF" w:sz="6" w:space="0"/>
            </w:tcBorders>
            <w:vAlign w:val="center"/>
          </w:tcPr>
          <w:p>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2381" w:type="dxa"/>
            <w:tcBorders>
              <w:top w:val="single" w:color="FFFFFF" w:sz="6" w:space="0"/>
              <w:left w:val="single" w:color="FFFFFF" w:sz="6" w:space="0"/>
              <w:right w:val="single" w:color="FFFFFF" w:sz="6" w:space="0"/>
            </w:tcBorders>
            <w:vAlign w:val="center"/>
          </w:tcPr>
          <w:p>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rPr>
                <w:rFonts w:hint="eastAsia"/>
                <w:lang w:val="en-US" w:eastAsia="zh-CN"/>
              </w:rPr>
              <w:t>8</w:t>
            </w:r>
            <w:r>
              <w:t>.20</w:t>
            </w:r>
          </w:p>
        </w:tc>
        <w:tc>
          <w:tcPr>
            <w:tcW w:w="2381" w:type="dxa"/>
            <w:vAlign w:val="center"/>
          </w:tcPr>
          <w:p>
            <w:pPr>
              <w:pStyle w:val="16"/>
            </w:pPr>
            <w:r>
              <w:rPr>
                <w:rFonts w:hint="eastAsia"/>
                <w:lang w:val="en-US" w:eastAsia="zh-CN"/>
              </w:rPr>
              <w:t>8</w:t>
            </w:r>
            <w:r>
              <w:t>.20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8.20</w:t>
            </w:r>
          </w:p>
        </w:tc>
        <w:tc>
          <w:tcPr>
            <w:tcW w:w="2381" w:type="dxa"/>
            <w:vAlign w:val="center"/>
          </w:tcPr>
          <w:p>
            <w:pPr>
              <w:pStyle w:val="12"/>
            </w:pPr>
            <w:r>
              <w:t>8.20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其中：教学科研人员因公出国（境）费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二、公务用车购置及运维费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 xml:space="preserve">          公务用车运行维护费</w:t>
            </w:r>
          </w:p>
        </w:tc>
        <w:tc>
          <w:tcPr>
            <w:tcW w:w="2381" w:type="dxa"/>
            <w:vAlign w:val="center"/>
          </w:tcPr>
          <w:p>
            <w:pPr>
              <w:pStyle w:val="12"/>
            </w:pPr>
            <w:r>
              <w:t>3.50</w:t>
            </w:r>
          </w:p>
        </w:tc>
        <w:tc>
          <w:tcPr>
            <w:tcW w:w="2381" w:type="dxa"/>
            <w:vAlign w:val="center"/>
          </w:tcPr>
          <w:p>
            <w:pPr>
              <w:pStyle w:val="12"/>
            </w:pPr>
            <w:r>
              <w:t>3.50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9</w:t>
            </w:r>
          </w:p>
        </w:tc>
        <w:tc>
          <w:tcPr>
            <w:tcW w:w="3798" w:type="dxa"/>
            <w:vAlign w:val="center"/>
          </w:tcPr>
          <w:p>
            <w:pPr>
              <w:pStyle w:val="13"/>
            </w:pPr>
            <w:r>
              <w:t>三、公务接待费</w:t>
            </w:r>
          </w:p>
        </w:tc>
        <w:tc>
          <w:tcPr>
            <w:tcW w:w="2381" w:type="dxa"/>
            <w:vAlign w:val="center"/>
          </w:tcPr>
          <w:p>
            <w:pPr>
              <w:pStyle w:val="12"/>
            </w:pPr>
            <w:r>
              <w:t>4.70</w:t>
            </w:r>
          </w:p>
        </w:tc>
        <w:tc>
          <w:tcPr>
            <w:tcW w:w="2381" w:type="dxa"/>
            <w:vAlign w:val="center"/>
          </w:tcPr>
          <w:p>
            <w:pPr>
              <w:pStyle w:val="12"/>
            </w:pPr>
            <w:r>
              <w:t>4.70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10</w:t>
            </w:r>
          </w:p>
        </w:tc>
        <w:tc>
          <w:tcPr>
            <w:tcW w:w="3798" w:type="dxa"/>
            <w:vAlign w:val="center"/>
          </w:tcPr>
          <w:p>
            <w:pPr>
              <w:pStyle w:val="13"/>
            </w:pPr>
            <w:r>
              <w:t>四、会议费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11</w:t>
            </w:r>
          </w:p>
        </w:tc>
        <w:tc>
          <w:tcPr>
            <w:tcW w:w="3798" w:type="dxa"/>
            <w:vAlign w:val="center"/>
          </w:tcPr>
          <w:p>
            <w:pPr>
              <w:pStyle w:val="13"/>
            </w:pPr>
            <w:r>
              <w:t xml:space="preserve">    其中：省属高校业务性会议费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12</w:t>
            </w:r>
          </w:p>
        </w:tc>
        <w:tc>
          <w:tcPr>
            <w:tcW w:w="3798" w:type="dxa"/>
            <w:vAlign w:val="center"/>
          </w:tcPr>
          <w:p>
            <w:pPr>
              <w:pStyle w:val="13"/>
            </w:pPr>
            <w:r>
              <w:t xml:space="preserve">          其他会议费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4"/>
            </w:pPr>
            <w:r>
              <w:t>13</w:t>
            </w:r>
          </w:p>
        </w:tc>
        <w:tc>
          <w:tcPr>
            <w:tcW w:w="3798" w:type="dxa"/>
            <w:vAlign w:val="center"/>
          </w:tcPr>
          <w:p>
            <w:pPr>
              <w:pStyle w:val="13"/>
            </w:pPr>
            <w:r>
              <w:t>五、培训费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中国共产党涞源县委员会统战部2024年部门预算信息公开情况说明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中国共产党涞源县委员会统战部2024年部门预算信息公开情况说明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按照《中华人民共和国预算法》、《地方预决算公开操作规程》和《关于进一步推进预算公开工作的实施意见》规定，现将中国共产党涞源县委员会统战部2024年部门预算公开如下：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spacing w:before="0" w:after="0" w:line="500" w:lineRule="exact"/>
        <w:ind w:firstLine="560"/>
        <w:jc w:val="left"/>
        <w:outlineLvl w:val="9"/>
        <w:rPr>
          <w:rFonts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以习近平新时代中国特色社会主义思想为指导，围绕县委县政府中心工作，全方位服务全面深化改革。不断凝聚共识。加强形势政策宣传工作，引导广大统战成员加深对全面深化改革的认知认同，最大限度地把思想认识统一到中央、省市关于全面深化改革的决策部署上来营造改革良好氛围汇聚改革正能量。</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1、积极献计出力。组织引导各民主党派、非公有经济人士、无党派人士发挥智力优势，聚焦改革重点，深入开展调研，积极建言献策。</w:t>
      </w:r>
    </w:p>
    <w:p>
      <w:pPr>
        <w:spacing w:before="0" w:after="0" w:line="500" w:lineRule="exact"/>
        <w:ind w:firstLine="560"/>
        <w:jc w:val="left"/>
        <w:outlineLvl w:val="9"/>
        <w:rPr>
          <w:rFonts w:hint="default"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2、抓好经济领域统战工作。支持非公有制经济健康发展。联合相关部门重点培育一批非公有制经济龙头企业;促进非公有制经济人士健康成长。深入开展以“信念、信任、信心、信誉”为主要内容的非公有制经济人士理想信念教育实践活动。</w:t>
      </w:r>
    </w:p>
    <w:p>
      <w:pPr>
        <w:spacing w:before="0" w:after="0" w:line="500" w:lineRule="exact"/>
        <w:ind w:firstLine="560"/>
        <w:jc w:val="left"/>
        <w:outlineLvl w:val="9"/>
        <w:rPr>
          <w:rFonts w:hint="eastAsia" w:ascii="Times New Roman" w:hAnsi="Times New Roman" w:eastAsia="方正仿宋_GBK" w:cs="Times New Roman"/>
          <w:color w:val="000000"/>
          <w:sz w:val="28"/>
        </w:rPr>
      </w:pPr>
      <w:r>
        <w:rPr>
          <w:rFonts w:hint="eastAsia" w:ascii="Times New Roman" w:hAnsi="Times New Roman" w:eastAsia="方正仿宋_GBK" w:cs="Times New Roman"/>
          <w:color w:val="000000"/>
          <w:sz w:val="28"/>
          <w:lang w:val="en-US" w:eastAsia="zh-CN"/>
        </w:rPr>
        <w:t>3、切实加强各领域统战工作。巩固发展社会主义民族关系。加强党外代表人士队伍建设。完善工作机制。推进统战办与组织办建立联系会议制度，明确职能职责，规范工作程序，巩固发展社会主义民族关系。学习贯彻中央、省委民族工作会议精神，深入开展民族团结进步创建活动。维护宗教领域和谐稳定。认真贯彻党的宗教工作基本方针，依法管理宗教事务，加强宗教界代表人士队伍建设。深化港澳台海外统战工作。走访慰问我处港澳台海外人士亲属，关切他们的工作</w:t>
      </w:r>
      <w:r>
        <w:rPr>
          <w:rFonts w:hint="eastAsia" w:eastAsia="方正仿宋_GBK" w:cs="Times New Roman"/>
          <w:color w:val="000000"/>
          <w:sz w:val="28"/>
          <w:lang w:val="en-US" w:eastAsia="zh-CN"/>
        </w:rPr>
        <w:t>、</w:t>
      </w:r>
      <w:r>
        <w:rPr>
          <w:rFonts w:hint="eastAsia" w:ascii="Times New Roman" w:hAnsi="Times New Roman" w:eastAsia="方正仿宋_GBK" w:cs="Times New Roman"/>
          <w:color w:val="000000"/>
          <w:sz w:val="28"/>
          <w:lang w:val="en-US" w:eastAsia="zh-CN"/>
        </w:rPr>
        <w:t>学习、生活，维护他们的合法权益。</w:t>
      </w:r>
    </w:p>
    <w:p>
      <w:pPr>
        <w:pStyle w:val="18"/>
      </w:pP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3"/>
            </w:pPr>
            <w:r>
              <w:t>中国共产党涞源县委员会统战部</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按照预算管理有关规定，目前部门预算的编制实行综合预算管理，即全部收入和支出都反映在预算中。中国共产党涞源县委员会统战部机关及所属事业单位的收支包含在部门预算中。</w:t>
      </w:r>
    </w:p>
    <w:p>
      <w:pPr>
        <w:pStyle w:val="19"/>
      </w:pPr>
      <w:r>
        <w:t>1、收入说明</w:t>
      </w:r>
    </w:p>
    <w:p>
      <w:pPr>
        <w:pStyle w:val="19"/>
      </w:pPr>
      <w:r>
        <w:t>反映本部门当年全部收入。2024年预算收入162.20万元，其中：一般公共预算收入162.20万元，基金预算收入0.00万元，国有资本经营预算收入0.00万元，财政专户核拨收入0.00万元，单位资金收入0.00万元，上年结转结余0.00万元。</w:t>
      </w:r>
    </w:p>
    <w:p>
      <w:pPr>
        <w:pStyle w:val="19"/>
      </w:pPr>
      <w:r>
        <w:t>2、支出说明</w:t>
      </w:r>
    </w:p>
    <w:p>
      <w:pPr>
        <w:pStyle w:val="19"/>
      </w:pPr>
      <w:r>
        <w:t>收支预算总表支出栏、基本支出表、项目支出表按经济分类和支出功能分类科目编制，反映中国共产党涞源县委员会统战部年度部门预算中支出预算的总体情况。2024年支出预算162.20万元，其中基本支出151.02万元，包括人员经费132.03万元和日常公用经费18.99万元；项目支出11.18万元，主要为统战专项经费、宗教专项经费和智慧统战系统租赁费。</w:t>
      </w:r>
    </w:p>
    <w:p>
      <w:pPr>
        <w:pStyle w:val="19"/>
      </w:pPr>
      <w:r>
        <w:t>3、比上年增减情况</w:t>
      </w:r>
    </w:p>
    <w:p>
      <w:pPr>
        <w:pStyle w:val="19"/>
      </w:pPr>
      <w:r>
        <w:t>2024年预算收支安排162.20万元，较2023年预算增加17.88万元，其中：基本支出增加41.70万元，主要为增加人员经费支出项目支出减少23.82万元，主要为本年我单位无基层治理工作队经费。</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6"/>
        <w:rPr>
          <w:rFonts w:ascii="Times New Roman" w:hAnsi="Times New Roman" w:eastAsia="方正仿宋_GBK" w:cs="Times New Roman"/>
          <w:sz w:val="28"/>
          <w:szCs w:val="24"/>
          <w:lang w:val="en-US" w:eastAsia="uk-UA" w:bidi="ar-SA"/>
        </w:rPr>
      </w:pPr>
      <w:bookmarkStart w:id="20" w:name="_GoBack"/>
      <w:bookmarkStart w:id="12" w:name="_Toc_3_3_0000000013"/>
      <w:r>
        <w:rPr>
          <w:rFonts w:ascii="Times New Roman" w:hAnsi="Times New Roman" w:eastAsia="方正仿宋_GBK" w:cs="Times New Roman"/>
          <w:sz w:val="28"/>
          <w:szCs w:val="24"/>
          <w:lang w:val="en-US" w:eastAsia="uk-UA" w:bidi="ar-SA"/>
        </w:rPr>
        <w:t>2024年，我单位机关运行经费共计安排</w:t>
      </w:r>
      <w:r>
        <w:rPr>
          <w:rFonts w:hint="eastAsia" w:ascii="Times New Roman" w:hAnsi="Times New Roman" w:eastAsia="方正仿宋_GBK" w:cs="Times New Roman"/>
          <w:sz w:val="28"/>
          <w:szCs w:val="24"/>
          <w:lang w:val="en-US" w:eastAsia="uk-UA" w:bidi="ar-SA"/>
        </w:rPr>
        <w:t>18.99万元，主要用于</w:t>
      </w:r>
      <w:r>
        <w:rPr>
          <w:rFonts w:hint="eastAsia" w:cs="Times New Roman"/>
          <w:sz w:val="28"/>
          <w:szCs w:val="24"/>
          <w:lang w:val="en-US" w:eastAsia="zh-CN" w:bidi="ar-SA"/>
        </w:rPr>
        <w:t>日常办公用品、</w:t>
      </w:r>
      <w:r>
        <w:rPr>
          <w:rFonts w:hint="eastAsia" w:ascii="Times New Roman" w:hAnsi="Times New Roman" w:eastAsia="方正仿宋_GBK" w:cs="Times New Roman"/>
          <w:sz w:val="28"/>
          <w:szCs w:val="24"/>
          <w:lang w:val="en-US" w:eastAsia="uk-UA" w:bidi="ar-SA"/>
        </w:rPr>
        <w:t>日常维修、</w:t>
      </w:r>
      <w:r>
        <w:rPr>
          <w:rFonts w:hint="eastAsia" w:cs="Times New Roman"/>
          <w:sz w:val="28"/>
          <w:szCs w:val="24"/>
          <w:lang w:val="en-US" w:eastAsia="zh-CN" w:bidi="ar-SA"/>
        </w:rPr>
        <w:t>办公网费、印刷费、差旅费、公务用车运行维护费、接待费及</w:t>
      </w:r>
      <w:r>
        <w:rPr>
          <w:rFonts w:hint="eastAsia" w:ascii="Times New Roman" w:hAnsi="Times New Roman" w:eastAsia="方正仿宋_GBK" w:cs="Times New Roman"/>
          <w:sz w:val="28"/>
          <w:szCs w:val="24"/>
          <w:lang w:val="en-US" w:eastAsia="uk-UA" w:bidi="ar-SA"/>
        </w:rPr>
        <w:t>办公用房水电费等日常运行支出。</w:t>
      </w:r>
      <w:bookmarkEnd w:id="20"/>
    </w:p>
    <w:p>
      <w:pPr>
        <w:spacing w:before="10" w:after="10" w:line="360" w:lineRule="auto"/>
        <w:ind w:firstLine="640"/>
        <w:jc w:val="left"/>
        <w:outlineLvl w:val="2"/>
      </w:pPr>
      <w:r>
        <w:rPr>
          <w:rFonts w:ascii="黑体" w:hAnsi="黑体" w:eastAsia="黑体" w:cs="黑体"/>
          <w:color w:val="000000"/>
          <w:sz w:val="32"/>
        </w:rPr>
        <w:t>四、财政拨款“三公”经费预算情况及增减变化原因</w:t>
      </w:r>
      <w:bookmarkEnd w:id="12"/>
    </w:p>
    <w:p>
      <w:pPr>
        <w:pStyle w:val="21"/>
      </w:pPr>
      <w:r>
        <w:t>2024年，我部门财政拨款“三公”经费预算安排</w:t>
      </w:r>
      <w:r>
        <w:rPr>
          <w:rFonts w:hint="eastAsia"/>
          <w:lang w:val="en-US" w:eastAsia="zh-CN"/>
        </w:rPr>
        <w:t>8.2</w:t>
      </w:r>
      <w:r>
        <w:t>万元，其中因公出国（境）费0.00万元；公务用车购置及运维费</w:t>
      </w:r>
      <w:r>
        <w:rPr>
          <w:rFonts w:hint="eastAsia"/>
          <w:lang w:val="en-US" w:eastAsia="zh-CN"/>
        </w:rPr>
        <w:t>3.5</w:t>
      </w:r>
      <w:r>
        <w:t>万元（其中：公务用车购置费为0.00万元，公务用车运维费</w:t>
      </w:r>
      <w:r>
        <w:rPr>
          <w:rFonts w:hint="eastAsia"/>
          <w:lang w:val="en-US" w:eastAsia="zh-CN"/>
        </w:rPr>
        <w:t>3.5</w:t>
      </w:r>
      <w:r>
        <w:t>万元)；公务接待费</w:t>
      </w:r>
      <w:r>
        <w:rPr>
          <w:rFonts w:hint="eastAsia"/>
          <w:lang w:val="en-US" w:eastAsia="zh-CN"/>
        </w:rPr>
        <w:t>4.7</w:t>
      </w:r>
      <w:r>
        <w:t>万元。与2023年相比</w:t>
      </w:r>
      <w:r>
        <w:rPr>
          <w:rFonts w:hint="eastAsia"/>
          <w:lang w:eastAsia="zh-CN"/>
        </w:rPr>
        <w:t>减少</w:t>
      </w:r>
      <w:r>
        <w:rPr>
          <w:rFonts w:hint="eastAsia"/>
          <w:lang w:val="en-US" w:eastAsia="zh-CN"/>
        </w:rPr>
        <w:t>0.3</w:t>
      </w:r>
      <w:r>
        <w:t>万元，增减变化的主要原因是</w:t>
      </w:r>
      <w:r>
        <w:rPr>
          <w:rFonts w:hint="eastAsia"/>
          <w:lang w:eastAsia="zh-CN"/>
        </w:rPr>
        <w:t>响应国家号召，压缩三公经费支出</w:t>
      </w:r>
      <w:r>
        <w:t>。</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2"/>
      </w:pPr>
      <w:r>
        <w:t>总体绩效目标：以习近平新时代中国特色社会主义思想为指导，围绕县委县政府中心工作，全方位服务全面深化改革。不断凝聚共识。加强形势政策宣传工作，引导广大统战成员加深对全面深化改革的认知认同，最大限度地把思想认识统一到中央、省市关于全面深化改革的决策部署上来营造改革良好氛围汇聚改革正能量。</w:t>
      </w:r>
    </w:p>
    <w:p>
      <w:pPr>
        <w:pStyle w:val="22"/>
      </w:pPr>
      <w:r>
        <w:t>1、积极献计出力。组织引导各民主党派、非公有经济人士、无党派人士发挥智力优势，聚焦改革重点，深入开展调研，积极建言献策。</w:t>
      </w:r>
    </w:p>
    <w:p>
      <w:pPr>
        <w:pStyle w:val="22"/>
      </w:pPr>
      <w:r>
        <w:t>2、抓好经济领域统战工作。支持非公有制经济健康发展。联合相关部门重点培育一批非公有制经济龙头企业;促进非公有制经济人士健康成长。深入开展以“信念、信任、信心、信誉”为主要内容的非公有制经济人士理想信念教育实践活动。</w:t>
      </w:r>
    </w:p>
    <w:p>
      <w:pPr>
        <w:pStyle w:val="22"/>
      </w:pPr>
      <w:r>
        <w:t>3、切实加强各领域统战工作。巩固发展社会主义民族关系。加强党外代表人士队伍建设。完善工作机制。推进统战办与组织办建立联系会议制度，明确职能职责，规范工作程序，巩固发展社会主义民族关系。学习贯彻中央、省委民族工作会议精神，深入开展民族团结进步创建活动。维护宗教领域和谐稳定。认真贯彻党的宗教工作基本方针，依法管理宗教事务，加强宗教界代表人士队伍建设。深化港澳台海外统战工作。走访慰问我处港澳台海外人士亲属，关切他们的工作</w:t>
      </w:r>
      <w:r>
        <w:rPr>
          <w:rFonts w:hint="eastAsia"/>
          <w:lang w:eastAsia="zh-CN"/>
        </w:rPr>
        <w:t>、</w:t>
      </w:r>
      <w:r>
        <w:t>学习、生活，维护他们的合法权益。</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3"/>
      </w:pPr>
      <w:r>
        <w:t>1、加强基层政权建设</w:t>
      </w:r>
    </w:p>
    <w:p>
      <w:pPr>
        <w:pStyle w:val="23"/>
      </w:pPr>
      <w:r>
        <w:t>绩效目标:增加基层党组织战斗力</w:t>
      </w:r>
    </w:p>
    <w:p>
      <w:pPr>
        <w:pStyle w:val="23"/>
      </w:pPr>
      <w:r>
        <w:t>绩效指标:抓住经济发展这个第一要务，加强社会管理和公共服务职能，逐步实现由管理型向服务型转变，努力建设服务型、法制型政府，更好为“三农”服务。</w:t>
      </w:r>
    </w:p>
    <w:p>
      <w:pPr>
        <w:pStyle w:val="23"/>
      </w:pPr>
      <w:r>
        <w:t>2、协调各单位、各部门之间的关系。</w:t>
      </w:r>
    </w:p>
    <w:p>
      <w:pPr>
        <w:pStyle w:val="23"/>
      </w:pPr>
      <w:r>
        <w:t>绩效目标：各项工作任务顺利完成。</w:t>
      </w:r>
    </w:p>
    <w:p>
      <w:pPr>
        <w:pStyle w:val="23"/>
      </w:pPr>
      <w:r>
        <w:t>绩效指标：保障人大、武装、纪检监察等各项工作顺利开展</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4"/>
      </w:pPr>
      <w:r>
        <w:t>（一）完善制度建设。为加强本部预算绩效管理，强化预算支出责任，提高财政资金使用绩效，根据《预算法》、《涞源县县级部门预算绩效管理办法》要求，对纳入政府预算管理的所有财政性资金，结合本部实际，制定《202</w:t>
      </w:r>
      <w:r>
        <w:rPr>
          <w:rFonts w:hint="eastAsia"/>
          <w:lang w:val="en-US" w:eastAsia="zh-CN"/>
        </w:rPr>
        <w:t>4</w:t>
      </w:r>
      <w:r>
        <w:t>预算绩效管理制度》，指导本部预算单位开展预算绩效管理工作，对有关实施情况进行监督、检查和考核。情况（目标保障）、目标实现程度、目标偏差和纠偏情况等进行跟踪，为全年预算绩效目标的实现奠定制定基础。</w:t>
      </w:r>
    </w:p>
    <w:p>
      <w:pPr>
        <w:pStyle w:val="24"/>
      </w:pPr>
      <w:r>
        <w:t>（二）加强支出管理。通过优化支出结构、编细编实预算、加快履行政府采购手续、尽快启动项目、及时支付资金、6月底前细化代编预算、按规定及时下达资金等多种措施，确保支出进度达标。从严从紧安排支出预算，在预算执行过程中严格把关，对不合理、超标准支出坚决予以剔除。建立预算绩效评审机制，对项目中列支的“三公”经费需按要求提供立项依据。</w:t>
      </w:r>
    </w:p>
    <w:p>
      <w:pPr>
        <w:pStyle w:val="24"/>
      </w:pPr>
      <w:r>
        <w:t>（三）加强绩效运行监控。全面开展预算执行情况和绩效目标实现程度绩效运行“双监控”，实现部门和项目绩效运行监控管理全覆盖。以预算管理一体化系统为支撑，比对半年目标值和实际执行值，根据明确偏差率范围，进行预算执行和绩效指标完成进度偏差程度预警，提示执行偏离风险，明确纠偏重点，有效提高绩效运行监控效果。对本单位的部门整体支出和项目绩效运行监控信息进行部门审核，并对发现的管理漏洞和绩效目标偏差，及时予以纠偏，确保年度绩效目标和预算执行进度按时完成。</w:t>
      </w:r>
    </w:p>
    <w:p>
      <w:pPr>
        <w:pStyle w:val="24"/>
      </w:pPr>
      <w:r>
        <w:t>（四）做好绩效自评。按要求开展上年度部门预算绩自评和重点评价工作，对评价中发现的问题及时整改,调整优化支出结构，提高财政资金使用效益。</w:t>
      </w:r>
    </w:p>
    <w:p>
      <w:pPr>
        <w:pStyle w:val="24"/>
      </w:pPr>
      <w:r>
        <w:t>（五）规范财务资产管理。完善财务管理制度，严格审批程序，加强固定资产登记、使用和报废处置管理，做到支出合理，物尽其用。</w:t>
      </w:r>
    </w:p>
    <w:p>
      <w:pPr>
        <w:pStyle w:val="24"/>
      </w:pPr>
      <w:r>
        <w:t>（六）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pPr>
        <w:pStyle w:val="24"/>
        <w:sectPr>
          <w:pgSz w:w="16840" w:h="11900" w:orient="landscape"/>
          <w:pgMar w:top="1361" w:right="1020" w:bottom="1361" w:left="1020" w:header="720" w:footer="720" w:gutter="0"/>
          <w:cols w:space="720" w:num="1"/>
        </w:sectPr>
      </w:pPr>
      <w:r>
        <w:t>（七）加强宣传培训调研等。加强人员培训，提高本部门职工业务素质;</w:t>
      </w:r>
      <w:r>
        <w:rPr>
          <w:rFonts w:hint="eastAsia"/>
          <w:lang w:eastAsia="zh-CN"/>
        </w:rPr>
        <w:t>通过调研，</w:t>
      </w:r>
      <w:r>
        <w:t>提出优化财政资金配置、提高资金使用效益的意见;加大宣传力度，强化预算绩效管理意识，促进预算绩效管理水平进一步提升。</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1、民族宗教专项经费绩效目标表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13063024P00017810001W</w:t>
            </w:r>
          </w:p>
        </w:tc>
        <w:tc>
          <w:tcPr>
            <w:tcW w:w="2835" w:type="dxa"/>
            <w:vAlign w:val="center"/>
          </w:tcPr>
          <w:p>
            <w:pPr>
              <w:pStyle w:val="11"/>
            </w:pPr>
            <w:r>
              <w:t>项目名称</w:t>
            </w:r>
          </w:p>
        </w:tc>
        <w:tc>
          <w:tcPr>
            <w:tcW w:w="6094" w:type="dxa"/>
            <w:gridSpan w:val="3"/>
            <w:vAlign w:val="center"/>
          </w:tcPr>
          <w:p>
            <w:pPr>
              <w:pStyle w:val="13"/>
            </w:pPr>
            <w:r>
              <w:t>民族宗教专项经费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5.00</w:t>
            </w:r>
          </w:p>
        </w:tc>
        <w:tc>
          <w:tcPr>
            <w:tcW w:w="2835" w:type="dxa"/>
            <w:vAlign w:val="center"/>
          </w:tcPr>
          <w:p>
            <w:pPr>
              <w:pStyle w:val="11"/>
            </w:pPr>
            <w:r>
              <w:t>其中：财政    资金</w:t>
            </w:r>
          </w:p>
        </w:tc>
        <w:tc>
          <w:tcPr>
            <w:tcW w:w="2551" w:type="dxa"/>
            <w:vAlign w:val="center"/>
          </w:tcPr>
          <w:p>
            <w:pPr>
              <w:pStyle w:val="13"/>
            </w:pPr>
            <w:r>
              <w:t>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用于民族宗教费用支出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1.民族宗教领域安全稳定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信息业务培训次数</w:t>
            </w:r>
          </w:p>
          <w:p>
            <w:pPr>
              <w:pStyle w:val="13"/>
            </w:pPr>
          </w:p>
        </w:tc>
        <w:tc>
          <w:tcPr>
            <w:tcW w:w="5386" w:type="dxa"/>
            <w:vAlign w:val="center"/>
          </w:tcPr>
          <w:p>
            <w:pPr>
              <w:pStyle w:val="13"/>
            </w:pPr>
            <w:r>
              <w:t>信息业务培训次数</w:t>
            </w:r>
          </w:p>
          <w:p>
            <w:pPr>
              <w:pStyle w:val="13"/>
            </w:pPr>
          </w:p>
          <w:p>
            <w:pPr>
              <w:pStyle w:val="13"/>
            </w:pPr>
          </w:p>
        </w:tc>
        <w:tc>
          <w:tcPr>
            <w:tcW w:w="2268" w:type="dxa"/>
            <w:vAlign w:val="center"/>
          </w:tcPr>
          <w:p>
            <w:pPr>
              <w:pStyle w:val="13"/>
            </w:pPr>
            <w:r>
              <w:t>≥5次</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成功举办</w:t>
            </w:r>
          </w:p>
        </w:tc>
        <w:tc>
          <w:tcPr>
            <w:tcW w:w="5386" w:type="dxa"/>
            <w:vAlign w:val="center"/>
          </w:tcPr>
          <w:p>
            <w:pPr>
              <w:pStyle w:val="13"/>
            </w:pPr>
            <w:r>
              <w:t>参与活动人数与预计人数的比例</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培训及时性</w:t>
            </w:r>
          </w:p>
        </w:tc>
        <w:tc>
          <w:tcPr>
            <w:tcW w:w="5386" w:type="dxa"/>
            <w:vAlign w:val="center"/>
          </w:tcPr>
          <w:p>
            <w:pPr>
              <w:pStyle w:val="13"/>
            </w:pPr>
            <w:r>
              <w:t>培训按计划及时开展</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影响较好</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预算安排</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2、涉台教育专项经费绩效目标表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13063024P00017710002T</w:t>
            </w:r>
          </w:p>
        </w:tc>
        <w:tc>
          <w:tcPr>
            <w:tcW w:w="2835" w:type="dxa"/>
            <w:vAlign w:val="center"/>
          </w:tcPr>
          <w:p>
            <w:pPr>
              <w:pStyle w:val="11"/>
            </w:pPr>
            <w:r>
              <w:t>项目名称</w:t>
            </w:r>
          </w:p>
        </w:tc>
        <w:tc>
          <w:tcPr>
            <w:tcW w:w="6094" w:type="dxa"/>
            <w:gridSpan w:val="3"/>
            <w:vAlign w:val="center"/>
          </w:tcPr>
          <w:p>
            <w:pPr>
              <w:pStyle w:val="13"/>
            </w:pPr>
            <w:r>
              <w:t>涉台教育专项经费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0.50</w:t>
            </w:r>
          </w:p>
        </w:tc>
        <w:tc>
          <w:tcPr>
            <w:tcW w:w="2835" w:type="dxa"/>
            <w:vAlign w:val="center"/>
          </w:tcPr>
          <w:p>
            <w:pPr>
              <w:pStyle w:val="11"/>
            </w:pPr>
            <w:r>
              <w:t>其中：财政    资金</w:t>
            </w:r>
          </w:p>
        </w:tc>
        <w:tc>
          <w:tcPr>
            <w:tcW w:w="2551" w:type="dxa"/>
            <w:vAlign w:val="center"/>
          </w:tcPr>
          <w:p>
            <w:pPr>
              <w:pStyle w:val="13"/>
            </w:pPr>
            <w:r>
              <w:t>0.50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宣传爱国统一战线</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0.10</w:t>
            </w:r>
          </w:p>
        </w:tc>
        <w:tc>
          <w:tcPr>
            <w:tcW w:w="2835" w:type="dxa"/>
            <w:vAlign w:val="center"/>
          </w:tcPr>
          <w:p>
            <w:pPr>
              <w:pStyle w:val="14"/>
            </w:pPr>
            <w:r>
              <w:t>0.20</w:t>
            </w:r>
          </w:p>
        </w:tc>
        <w:tc>
          <w:tcPr>
            <w:tcW w:w="2551" w:type="dxa"/>
            <w:vAlign w:val="center"/>
          </w:tcPr>
          <w:p>
            <w:pPr>
              <w:pStyle w:val="14"/>
            </w:pPr>
            <w:r>
              <w:t>0.30</w:t>
            </w:r>
          </w:p>
        </w:tc>
        <w:tc>
          <w:tcPr>
            <w:tcW w:w="3543" w:type="dxa"/>
            <w:gridSpan w:val="2"/>
            <w:vAlign w:val="center"/>
          </w:tcPr>
          <w:p>
            <w:pPr>
              <w:pStyle w:val="14"/>
            </w:pPr>
            <w:r>
              <w:t>0.50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1.维护国家统一</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宣传资料印刷册数</w:t>
            </w:r>
          </w:p>
        </w:tc>
        <w:tc>
          <w:tcPr>
            <w:tcW w:w="5386" w:type="dxa"/>
            <w:vAlign w:val="center"/>
          </w:tcPr>
          <w:p>
            <w:pPr>
              <w:pStyle w:val="13"/>
            </w:pPr>
            <w:r>
              <w:t>宣传资料印刷册数</w:t>
            </w:r>
          </w:p>
        </w:tc>
        <w:tc>
          <w:tcPr>
            <w:tcW w:w="2268" w:type="dxa"/>
            <w:vAlign w:val="center"/>
          </w:tcPr>
          <w:p>
            <w:pPr>
              <w:pStyle w:val="13"/>
            </w:pPr>
            <w:r>
              <w:t>≥1000份</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成功举办</w:t>
            </w:r>
          </w:p>
        </w:tc>
        <w:tc>
          <w:tcPr>
            <w:tcW w:w="5386" w:type="dxa"/>
            <w:vAlign w:val="center"/>
          </w:tcPr>
          <w:p>
            <w:pPr>
              <w:pStyle w:val="13"/>
            </w:pPr>
            <w:r>
              <w:t>群众参与人数与预计人数的比例</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按时完成率</w:t>
            </w:r>
          </w:p>
        </w:tc>
        <w:tc>
          <w:tcPr>
            <w:tcW w:w="5386" w:type="dxa"/>
            <w:vAlign w:val="center"/>
          </w:tcPr>
          <w:p>
            <w:pPr>
              <w:pStyle w:val="13"/>
            </w:pPr>
            <w:r>
              <w:t>按时完成率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影响较好</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3、统战专项经费绩效目标表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13063024P00017910001J</w:t>
            </w:r>
          </w:p>
        </w:tc>
        <w:tc>
          <w:tcPr>
            <w:tcW w:w="2835" w:type="dxa"/>
            <w:vAlign w:val="center"/>
          </w:tcPr>
          <w:p>
            <w:pPr>
              <w:pStyle w:val="11"/>
            </w:pPr>
            <w:r>
              <w:t>项目名称</w:t>
            </w:r>
          </w:p>
        </w:tc>
        <w:tc>
          <w:tcPr>
            <w:tcW w:w="6094" w:type="dxa"/>
            <w:gridSpan w:val="3"/>
            <w:vAlign w:val="center"/>
          </w:tcPr>
          <w:p>
            <w:pPr>
              <w:pStyle w:val="13"/>
            </w:pPr>
            <w:r>
              <w:t>统战专项经费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4.00</w:t>
            </w:r>
          </w:p>
        </w:tc>
        <w:tc>
          <w:tcPr>
            <w:tcW w:w="2835" w:type="dxa"/>
            <w:vAlign w:val="center"/>
          </w:tcPr>
          <w:p>
            <w:pPr>
              <w:pStyle w:val="11"/>
            </w:pPr>
            <w:r>
              <w:t>其中：财政    资金</w:t>
            </w:r>
          </w:p>
        </w:tc>
        <w:tc>
          <w:tcPr>
            <w:tcW w:w="2551" w:type="dxa"/>
            <w:vAlign w:val="center"/>
          </w:tcPr>
          <w:p>
            <w:pPr>
              <w:pStyle w:val="13"/>
            </w:pPr>
            <w:r>
              <w:t>4.00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保证统战工作正常运转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1.00</w:t>
            </w:r>
          </w:p>
        </w:tc>
        <w:tc>
          <w:tcPr>
            <w:tcW w:w="2835" w:type="dxa"/>
            <w:vAlign w:val="center"/>
          </w:tcPr>
          <w:p>
            <w:pPr>
              <w:pStyle w:val="14"/>
            </w:pPr>
            <w:r>
              <w:t>2.00</w:t>
            </w:r>
          </w:p>
        </w:tc>
        <w:tc>
          <w:tcPr>
            <w:tcW w:w="2551" w:type="dxa"/>
            <w:vAlign w:val="center"/>
          </w:tcPr>
          <w:p>
            <w:pPr>
              <w:pStyle w:val="14"/>
            </w:pPr>
            <w:r>
              <w:t>3.00</w:t>
            </w:r>
          </w:p>
        </w:tc>
        <w:tc>
          <w:tcPr>
            <w:tcW w:w="3543" w:type="dxa"/>
            <w:gridSpan w:val="2"/>
            <w:vAlign w:val="center"/>
          </w:tcPr>
          <w:p>
            <w:pPr>
              <w:pStyle w:val="14"/>
            </w:pPr>
            <w:r>
              <w:t>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1.统战工作正常开展</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举办活动场次</w:t>
            </w:r>
          </w:p>
        </w:tc>
        <w:tc>
          <w:tcPr>
            <w:tcW w:w="2268" w:type="dxa"/>
            <w:vAlign w:val="center"/>
          </w:tcPr>
          <w:p>
            <w:pPr>
              <w:pStyle w:val="13"/>
            </w:pPr>
            <w:r>
              <w:t>≥3次</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成功举办</w:t>
            </w:r>
          </w:p>
        </w:tc>
        <w:tc>
          <w:tcPr>
            <w:tcW w:w="5386" w:type="dxa"/>
            <w:vAlign w:val="center"/>
          </w:tcPr>
          <w:p>
            <w:pPr>
              <w:pStyle w:val="13"/>
            </w:pPr>
            <w:r>
              <w:t>参与活动人数与预计人数的比例</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活动完成时限</w:t>
            </w:r>
          </w:p>
        </w:tc>
        <w:tc>
          <w:tcPr>
            <w:tcW w:w="5386" w:type="dxa"/>
            <w:vAlign w:val="center"/>
          </w:tcPr>
          <w:p>
            <w:pPr>
              <w:pStyle w:val="13"/>
            </w:pPr>
            <w:r>
              <w:t>举办活动及时率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影响较好</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预算安排</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4、智慧统战建设经费绩效目标表</w:t>
      </w:r>
    </w:p>
    <w:tbl>
      <w:tblPr>
        <w:tblStyle w:val="5"/>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2" w:type="dxa"/>
            <w:gridSpan w:val="2"/>
            <w:vAlign w:val="center"/>
          </w:tcPr>
          <w:p>
            <w:pPr>
              <w:pStyle w:val="13"/>
            </w:pPr>
            <w:r>
              <w:t>13063024P00017510001U</w:t>
            </w:r>
          </w:p>
        </w:tc>
        <w:tc>
          <w:tcPr>
            <w:tcW w:w="2835" w:type="dxa"/>
            <w:vAlign w:val="center"/>
          </w:tcPr>
          <w:p>
            <w:pPr>
              <w:pStyle w:val="11"/>
            </w:pPr>
            <w:r>
              <w:t>项目名称</w:t>
            </w:r>
          </w:p>
        </w:tc>
        <w:tc>
          <w:tcPr>
            <w:tcW w:w="6094" w:type="dxa"/>
            <w:gridSpan w:val="3"/>
            <w:vAlign w:val="center"/>
          </w:tcPr>
          <w:p>
            <w:pPr>
              <w:pStyle w:val="13"/>
            </w:pPr>
            <w:r>
              <w:t>智慧统战建设经费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1.68</w:t>
            </w:r>
          </w:p>
        </w:tc>
        <w:tc>
          <w:tcPr>
            <w:tcW w:w="2835" w:type="dxa"/>
            <w:vAlign w:val="center"/>
          </w:tcPr>
          <w:p>
            <w:pPr>
              <w:pStyle w:val="11"/>
            </w:pPr>
            <w:r>
              <w:t>其中：财政    资金</w:t>
            </w:r>
          </w:p>
        </w:tc>
        <w:tc>
          <w:tcPr>
            <w:tcW w:w="2551" w:type="dxa"/>
            <w:vAlign w:val="center"/>
          </w:tcPr>
          <w:p>
            <w:pPr>
              <w:pStyle w:val="13"/>
            </w:pPr>
            <w:r>
              <w:t>1.68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3"/>
            </w:pPr>
            <w:r>
              <w:t>保证智慧统战系统正常运转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2"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3" w:type="dxa"/>
            <w:gridSpan w:val="2"/>
            <w:vAlign w:val="center"/>
          </w:tcPr>
          <w:p>
            <w:pPr>
              <w:pStyle w:val="11"/>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4"/>
            </w:pPr>
            <w:r>
              <w:t>0.50</w:t>
            </w:r>
          </w:p>
        </w:tc>
        <w:tc>
          <w:tcPr>
            <w:tcW w:w="2835" w:type="dxa"/>
            <w:vAlign w:val="center"/>
          </w:tcPr>
          <w:p>
            <w:pPr>
              <w:pStyle w:val="14"/>
            </w:pPr>
            <w:r>
              <w:t>0.80</w:t>
            </w:r>
          </w:p>
        </w:tc>
        <w:tc>
          <w:tcPr>
            <w:tcW w:w="2551" w:type="dxa"/>
            <w:vAlign w:val="center"/>
          </w:tcPr>
          <w:p>
            <w:pPr>
              <w:pStyle w:val="14"/>
            </w:pPr>
            <w:r>
              <w:t>1.00</w:t>
            </w:r>
          </w:p>
        </w:tc>
        <w:tc>
          <w:tcPr>
            <w:tcW w:w="3543" w:type="dxa"/>
            <w:gridSpan w:val="2"/>
            <w:vAlign w:val="center"/>
          </w:tcPr>
          <w:p>
            <w:pPr>
              <w:pStyle w:val="14"/>
            </w:pPr>
            <w:r>
              <w:t>1.68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1" w:type="dxa"/>
            <w:gridSpan w:val="6"/>
            <w:vAlign w:val="center"/>
          </w:tcPr>
          <w:p>
            <w:pPr>
              <w:pStyle w:val="13"/>
            </w:pPr>
            <w:r>
              <w:t>1.保障统战系统活动正常开展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举办活动场次</w:t>
            </w:r>
          </w:p>
        </w:tc>
        <w:tc>
          <w:tcPr>
            <w:tcW w:w="5386" w:type="dxa"/>
            <w:vAlign w:val="center"/>
          </w:tcPr>
          <w:p>
            <w:pPr>
              <w:pStyle w:val="13"/>
            </w:pPr>
            <w:r>
              <w:t>开展会议次数</w:t>
            </w:r>
          </w:p>
        </w:tc>
        <w:tc>
          <w:tcPr>
            <w:tcW w:w="2268" w:type="dxa"/>
            <w:vAlign w:val="center"/>
          </w:tcPr>
          <w:p>
            <w:pPr>
              <w:pStyle w:val="13"/>
            </w:pPr>
            <w:r>
              <w:t>≥3次</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成功举办</w:t>
            </w:r>
          </w:p>
        </w:tc>
        <w:tc>
          <w:tcPr>
            <w:tcW w:w="5386" w:type="dxa"/>
            <w:vAlign w:val="center"/>
          </w:tcPr>
          <w:p>
            <w:pPr>
              <w:pStyle w:val="13"/>
            </w:pPr>
            <w:r>
              <w:t>参与活动人数与预计人数的比例</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活动完成时限</w:t>
            </w:r>
          </w:p>
        </w:tc>
        <w:tc>
          <w:tcPr>
            <w:tcW w:w="5386" w:type="dxa"/>
            <w:vAlign w:val="center"/>
          </w:tcPr>
          <w:p>
            <w:pPr>
              <w:pStyle w:val="13"/>
            </w:pPr>
            <w:r>
              <w:t>举办活动及时率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预算执行率</w:t>
            </w:r>
          </w:p>
        </w:tc>
        <w:tc>
          <w:tcPr>
            <w:tcW w:w="5386" w:type="dxa"/>
            <w:vAlign w:val="center"/>
          </w:tcPr>
          <w:p>
            <w:pPr>
              <w:pStyle w:val="13"/>
            </w:pPr>
            <w:r>
              <w:t>预算执行率</w:t>
            </w:r>
          </w:p>
        </w:tc>
        <w:tc>
          <w:tcPr>
            <w:tcW w:w="2268" w:type="dxa"/>
            <w:vAlign w:val="center"/>
          </w:tcPr>
          <w:p>
            <w:pPr>
              <w:pStyle w:val="13"/>
            </w:pPr>
            <w:r>
              <w:t>≤100百分比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效益指标</w:t>
            </w:r>
          </w:p>
        </w:tc>
        <w:tc>
          <w:tcPr>
            <w:tcW w:w="2268" w:type="dxa"/>
            <w:vAlign w:val="center"/>
          </w:tcPr>
          <w:p>
            <w:pPr>
              <w:pStyle w:val="13"/>
            </w:pPr>
            <w:r>
              <w:t>经济效益指标</w:t>
            </w:r>
          </w:p>
        </w:tc>
        <w:tc>
          <w:tcPr>
            <w:tcW w:w="2835" w:type="dxa"/>
            <w:vAlign w:val="center"/>
          </w:tcPr>
          <w:p>
            <w:pPr>
              <w:pStyle w:val="13"/>
            </w:pPr>
            <w:r>
              <w:t>经济效益提升值%</w:t>
            </w:r>
          </w:p>
        </w:tc>
        <w:tc>
          <w:tcPr>
            <w:tcW w:w="5386" w:type="dxa"/>
            <w:vAlign w:val="center"/>
          </w:tcPr>
          <w:p>
            <w:pPr>
              <w:pStyle w:val="13"/>
            </w:pPr>
            <w:r>
              <w:t>经济效益提升值%</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社会效益指标</w:t>
            </w:r>
          </w:p>
        </w:tc>
        <w:tc>
          <w:tcPr>
            <w:tcW w:w="2835" w:type="dxa"/>
            <w:vAlign w:val="center"/>
          </w:tcPr>
          <w:p>
            <w:pPr>
              <w:pStyle w:val="13"/>
            </w:pPr>
            <w:r>
              <w:t>社会影响力</w:t>
            </w:r>
          </w:p>
        </w:tc>
        <w:tc>
          <w:tcPr>
            <w:tcW w:w="5386" w:type="dxa"/>
            <w:vAlign w:val="center"/>
          </w:tcPr>
          <w:p>
            <w:pPr>
              <w:pStyle w:val="13"/>
            </w:pPr>
            <w:r>
              <w:t>社会影响力</w:t>
            </w:r>
          </w:p>
        </w:tc>
        <w:tc>
          <w:tcPr>
            <w:tcW w:w="2268" w:type="dxa"/>
            <w:vAlign w:val="center"/>
          </w:tcPr>
          <w:p>
            <w:pPr>
              <w:pStyle w:val="13"/>
            </w:pPr>
            <w:r>
              <w:t>影响较好</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生态效益指标</w:t>
            </w:r>
          </w:p>
        </w:tc>
        <w:tc>
          <w:tcPr>
            <w:tcW w:w="2835" w:type="dxa"/>
            <w:vAlign w:val="center"/>
          </w:tcPr>
          <w:p>
            <w:pPr>
              <w:pStyle w:val="13"/>
            </w:pPr>
            <w:r>
              <w:t>促进生态文明建设，推动绿色发展</w:t>
            </w:r>
          </w:p>
        </w:tc>
        <w:tc>
          <w:tcPr>
            <w:tcW w:w="5386" w:type="dxa"/>
            <w:vAlign w:val="center"/>
          </w:tcPr>
          <w:p>
            <w:pPr>
              <w:pStyle w:val="13"/>
            </w:pPr>
            <w:r>
              <w:t>促进生态文明建设，推动绿色发展和绿色生活方式</w:t>
            </w:r>
          </w:p>
        </w:tc>
        <w:tc>
          <w:tcPr>
            <w:tcW w:w="2268" w:type="dxa"/>
            <w:vAlign w:val="center"/>
          </w:tcPr>
          <w:p>
            <w:pPr>
              <w:pStyle w:val="13"/>
            </w:pPr>
            <w:r>
              <w:t>有效推进</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可持续影响指标</w:t>
            </w:r>
          </w:p>
        </w:tc>
        <w:tc>
          <w:tcPr>
            <w:tcW w:w="2835" w:type="dxa"/>
            <w:vAlign w:val="center"/>
          </w:tcPr>
          <w:p>
            <w:pPr>
              <w:pStyle w:val="13"/>
            </w:pPr>
            <w:r>
              <w:t>持续服务率(%)</w:t>
            </w:r>
          </w:p>
        </w:tc>
        <w:tc>
          <w:tcPr>
            <w:tcW w:w="5386" w:type="dxa"/>
            <w:vAlign w:val="center"/>
          </w:tcPr>
          <w:p>
            <w:pPr>
              <w:pStyle w:val="13"/>
            </w:pPr>
            <w:r>
              <w:t>持续服务率(%)</w:t>
            </w:r>
          </w:p>
        </w:tc>
        <w:tc>
          <w:tcPr>
            <w:tcW w:w="2268" w:type="dxa"/>
            <w:vAlign w:val="center"/>
          </w:tcPr>
          <w:p>
            <w:pPr>
              <w:pStyle w:val="13"/>
            </w:pPr>
            <w:r>
              <w:t>≥98百分比</w:t>
            </w:r>
          </w:p>
        </w:tc>
        <w:tc>
          <w:tcPr>
            <w:tcW w:w="1276" w:type="dxa"/>
            <w:vAlign w:val="center"/>
          </w:tcPr>
          <w:p>
            <w:pPr>
              <w:pStyle w:val="13"/>
            </w:pPr>
            <w:r>
              <w:t>预算安排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≥98百分比</w:t>
            </w:r>
          </w:p>
        </w:tc>
        <w:tc>
          <w:tcPr>
            <w:tcW w:w="1276" w:type="dxa"/>
            <w:vAlign w:val="center"/>
          </w:tcPr>
          <w:p>
            <w:pPr>
              <w:pStyle w:val="13"/>
            </w:pPr>
            <w:r>
              <w:t>预算安排</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7710"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6" w:type="dxa"/>
            <w:gridSpan w:val="7"/>
            <w:vAlign w:val="center"/>
          </w:tcPr>
          <w:p>
            <w:pPr>
              <w:pStyle w:val="11"/>
            </w:pPr>
            <w:r>
              <w:t>政府采购金额（当年部门预算安排资金）</w:t>
            </w:r>
          </w:p>
        </w:tc>
        <w:tc>
          <w:tcPr>
            <w:tcW w:w="964" w:type="dxa"/>
            <w:vMerge w:val="restart"/>
            <w:vAlign w:val="center"/>
          </w:tcPr>
          <w:p>
            <w:pPr>
              <w:pStyle w:val="11"/>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3"/>
            </w:pPr>
          </w:p>
        </w:tc>
        <w:tc>
          <w:tcPr>
            <w:tcW w:w="964" w:type="dxa"/>
            <w:vAlign w:val="center"/>
          </w:tcPr>
          <w:p>
            <w:pPr>
              <w:pStyle w:val="12"/>
            </w:pPr>
          </w:p>
        </w:tc>
        <w:tc>
          <w:tcPr>
            <w:tcW w:w="1134" w:type="dxa"/>
            <w:vAlign w:val="center"/>
          </w:tcPr>
          <w:p>
            <w:pPr>
              <w:pStyle w:val="13"/>
            </w:pPr>
          </w:p>
        </w:tc>
        <w:tc>
          <w:tcPr>
            <w:tcW w:w="1134" w:type="dxa"/>
            <w:vAlign w:val="center"/>
          </w:tcPr>
          <w:p>
            <w:pPr>
              <w:pStyle w:val="13"/>
            </w:pPr>
          </w:p>
        </w:tc>
        <w:tc>
          <w:tcPr>
            <w:tcW w:w="709" w:type="dxa"/>
            <w:vAlign w:val="center"/>
          </w:tcPr>
          <w:p>
            <w:pPr>
              <w:pStyle w:val="14"/>
            </w:pPr>
          </w:p>
        </w:tc>
        <w:tc>
          <w:tcPr>
            <w:tcW w:w="850" w:type="dxa"/>
            <w:vAlign w:val="center"/>
          </w:tcPr>
          <w:p>
            <w:pPr>
              <w:pStyle w:val="12"/>
            </w:pPr>
          </w:p>
        </w:tc>
        <w:tc>
          <w:tcPr>
            <w:tcW w:w="850"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中国共产党涞源县委员会统战部（含所属单位）上年末固定资产金额为19.53万元（详见下表）。本年度拟购置固定资产总额为0.00万元，已按要求列入政府采购预算，详见政府采购预算表。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213中国共产党涞源县委员会统战部</w:t>
            </w:r>
          </w:p>
        </w:tc>
        <w:tc>
          <w:tcPr>
            <w:tcW w:w="5669" w:type="dxa"/>
            <w:gridSpan w:val="2"/>
            <w:tcBorders>
              <w:top w:val="single" w:color="FFFFFF" w:sz="6" w:space="0"/>
              <w:left w:val="single" w:color="FFFFFF" w:sz="6" w:space="0"/>
              <w:right w:val="single" w:color="FFFFFF" w:sz="6" w:space="0"/>
            </w:tcBorders>
            <w:vAlign w:val="center"/>
          </w:tcPr>
          <w:p>
            <w:pPr>
              <w:pStyle w:val="8"/>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t>19.53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1、房屋（平方米）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3"/>
            </w:pPr>
            <w:r>
              <w:t>4、其他固定资产</w:t>
            </w:r>
          </w:p>
        </w:tc>
        <w:tc>
          <w:tcPr>
            <w:tcW w:w="2835" w:type="dxa"/>
            <w:vAlign w:val="center"/>
          </w:tcPr>
          <w:p>
            <w:pPr>
              <w:pStyle w:val="14"/>
            </w:pPr>
            <w:r>
              <w:t>63</w:t>
            </w:r>
          </w:p>
        </w:tc>
        <w:tc>
          <w:tcPr>
            <w:tcW w:w="2835" w:type="dxa"/>
            <w:vAlign w:val="center"/>
          </w:tcPr>
          <w:p>
            <w:pPr>
              <w:pStyle w:val="12"/>
            </w:pPr>
            <w:r>
              <w:t>7.54</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方正书宋_GBK">
    <w:altName w:val="微软雅黑"/>
    <w:panose1 w:val="00000000000000000000"/>
    <w:charset w:val="00"/>
    <w:family w:val="auto"/>
    <w:pitch w:val="default"/>
    <w:sig w:usb0="00000000" w:usb1="00000000" w:usb2="00000000" w:usb3="00000000" w:csb0="00000000" w:csb1="00000000"/>
  </w:font>
  <w:font w:name="方正仿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NotTrackMoves/>
  <w:documentProtection w:enforcement="0"/>
  <w:defaultTabStop w:val="720"/>
  <w:evenAndOddHeaders w:val="1"/>
  <w:displayHorizontalDrawingGridEvery w:val="1"/>
  <w:displayVerticalDrawingGridEvery w:val="1"/>
  <w:noPunctuationKerning w:val="1"/>
  <w:characterSpacingControl w:val="doNotCompres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5MjJjNTgxNWZhZDk2NDVmZTk2MDVjMDU4NDkwMzQifQ=="/>
  </w:docVars>
  <w:rsids>
    <w:rsidRoot w:val="00000000"/>
    <w:rsid w:val="1D1F58D4"/>
    <w:rsid w:val="463219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2" Type="http://schemas.openxmlformats.org/officeDocument/2006/relationships/fontTable" Target="fontTable.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2024-03-06T09:39:11Z</dcterms:created>
  <dcterms:modified xsi:type="dcterms:W3CDTF">2024-03-06T01:39:11Z</dcterms:modified>
</cp:core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2024-03-06T09:39:12Z</dcterms:created>
  <dcterms:modified xsi:type="dcterms:W3CDTF">2024-03-06T01:39:12Z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2024-03-06T09:39:12Z</dcterms:created>
  <dcterms:modified xsi:type="dcterms:W3CDTF">2024-03-06T01:39:12Z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2024-03-06T09:39:12Z</dcterms:created>
  <dcterms:modified xsi:type="dcterms:W3CDTF">2024-03-06T01:39:12Z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2024-03-06T09:39:10Z</dcterms:created>
  <dcterms:modified xsi:type="dcterms:W3CDTF">2024-03-06T01:39:10Z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2024-03-06T09:39:11Z</dcterms:created>
  <dcterms:modified xsi:type="dcterms:W3CDTF">2024-03-06T01:39:11Z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2024-03-06T09:39:11Z</dcterms:created>
  <dcterms:modified xsi:type="dcterms:W3CDTF">2024-03-06T01:39:11Z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2024-03-06T09:39:11Z</dcterms:created>
  <dcterms:modified xsi:type="dcterms:W3CDTF">2024-03-06T01:39:11Z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33fb3fdf-5d37-4f11-9a91-a2b836810f6f}">
  <ds:schemaRefs/>
</ds:datastoreItem>
</file>

<file path=customXml/itemProps10.xml><?xml version="1.0" encoding="utf-8"?>
<ds:datastoreItem xmlns:ds="http://schemas.openxmlformats.org/officeDocument/2006/customXml" ds:itemID="{1fdea9d8-31d3-4f1b-8a78-71581b7b0155}">
  <ds:schemaRefs/>
</ds:datastoreItem>
</file>

<file path=customXml/itemProps11.xml><?xml version="1.0" encoding="utf-8"?>
<ds:datastoreItem xmlns:ds="http://schemas.openxmlformats.org/officeDocument/2006/customXml" ds:itemID="{db55921e-46ce-4643-8ba5-239847e0f09f}">
  <ds:schemaRefs/>
</ds:datastoreItem>
</file>

<file path=customXml/itemProps12.xml><?xml version="1.0" encoding="utf-8"?>
<ds:datastoreItem xmlns:ds="http://schemas.openxmlformats.org/officeDocument/2006/customXml" ds:itemID="{3c8e6f57-93bb-4bf5-96a3-ded3bea20248}">
  <ds:schemaRefs/>
</ds:datastoreItem>
</file>

<file path=customXml/itemProps13.xml><?xml version="1.0" encoding="utf-8"?>
<ds:datastoreItem xmlns:ds="http://schemas.openxmlformats.org/officeDocument/2006/customXml" ds:itemID="{ae57a30a-a2cc-4a43-919f-d878c08f802e}">
  <ds:schemaRefs/>
</ds:datastoreItem>
</file>

<file path=customXml/itemProps14.xml><?xml version="1.0" encoding="utf-8"?>
<ds:datastoreItem xmlns:ds="http://schemas.openxmlformats.org/officeDocument/2006/customXml" ds:itemID="{eee44586-5b89-44ae-b790-9d9c54e67172}">
  <ds:schemaRefs/>
</ds:datastoreItem>
</file>

<file path=customXml/itemProps15.xml><?xml version="1.0" encoding="utf-8"?>
<ds:datastoreItem xmlns:ds="http://schemas.openxmlformats.org/officeDocument/2006/customXml" ds:itemID="{f5105521-0b6e-4b65-8a73-3fbe61207467}">
  <ds:schemaRefs/>
</ds:datastoreItem>
</file>

<file path=customXml/itemProps16.xml><?xml version="1.0" encoding="utf-8"?>
<ds:datastoreItem xmlns:ds="http://schemas.openxmlformats.org/officeDocument/2006/customXml" ds:itemID="{bcb74100-73ad-461c-a70e-ab50fb4ce460}">
  <ds:schemaRefs/>
</ds:datastoreItem>
</file>

<file path=customXml/itemProps2.xml><?xml version="1.0" encoding="utf-8"?>
<ds:datastoreItem xmlns:ds="http://schemas.openxmlformats.org/officeDocument/2006/customXml" ds:itemID="{ca5db785-ce0c-4530-a8e3-344708b5e1ef}">
  <ds:schemaRefs/>
</ds:datastoreItem>
</file>

<file path=customXml/itemProps3.xml><?xml version="1.0" encoding="utf-8"?>
<ds:datastoreItem xmlns:ds="http://schemas.openxmlformats.org/officeDocument/2006/customXml" ds:itemID="{7384d323-f486-4775-916c-1b83a5af21c5}">
  <ds:schemaRefs/>
</ds:datastoreItem>
</file>

<file path=customXml/itemProps4.xml><?xml version="1.0" encoding="utf-8"?>
<ds:datastoreItem xmlns:ds="http://schemas.openxmlformats.org/officeDocument/2006/customXml" ds:itemID="{1952b2aa-9d3c-4560-9fb5-013f2f494f62}">
  <ds:schemaRefs/>
</ds:datastoreItem>
</file>

<file path=customXml/itemProps5.xml><?xml version="1.0" encoding="utf-8"?>
<ds:datastoreItem xmlns:ds="http://schemas.openxmlformats.org/officeDocument/2006/customXml" ds:itemID="{39d4fa9f-eed5-46fd-9731-98bc66311049}">
  <ds:schemaRefs/>
</ds:datastoreItem>
</file>

<file path=customXml/itemProps6.xml><?xml version="1.0" encoding="utf-8"?>
<ds:datastoreItem xmlns:ds="http://schemas.openxmlformats.org/officeDocument/2006/customXml" ds:itemID="{2465e9b0-75b3-4b4c-8301-7f6e6c75e180}">
  <ds:schemaRefs/>
</ds:datastoreItem>
</file>

<file path=customXml/itemProps7.xml><?xml version="1.0" encoding="utf-8"?>
<ds:datastoreItem xmlns:ds="http://schemas.openxmlformats.org/officeDocument/2006/customXml" ds:itemID="{682b7f7e-1159-4a40-becb-425bc2f14d35}">
  <ds:schemaRefs/>
</ds:datastoreItem>
</file>

<file path=customXml/itemProps8.xml><?xml version="1.0" encoding="utf-8"?>
<ds:datastoreItem xmlns:ds="http://schemas.openxmlformats.org/officeDocument/2006/customXml" ds:itemID="{b39a0d9f-7a7b-409f-bd19-e7237b44d5af}">
  <ds:schemaRefs/>
</ds:datastoreItem>
</file>

<file path=customXml/itemProps9.xml><?xml version="1.0" encoding="utf-8"?>
<ds:datastoreItem xmlns:ds="http://schemas.openxmlformats.org/officeDocument/2006/customXml" ds:itemID="{4ac2f55c-49d8-4a0e-b735-51fab53af9f4}">
  <ds:schemaRefs/>
</ds:datastoreItem>
</file>

<file path=docProps/app.xml><?xml version="1.0" encoding="utf-8"?>
<Properties xmlns="http://schemas.openxmlformats.org/officeDocument/2006/extended-properties" xmlns:vt="http://schemas.openxmlformats.org/officeDocument/2006/docPropsVTypes">
  <Pages>39</Pages>
  <Words>8226</Words>
  <Characters>9586</Characters>
  <TotalTime>9</TotalTime>
  <ScaleCrop>false</ScaleCrop>
  <LinksUpToDate>false</LinksUpToDate>
  <CharactersWithSpaces>9777</CharactersWithSpaces>
  <Application>WPS Office_11.1.0.12763_F1E327BC-269C-435d-A152-05C5408002CA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2024-03-06T09:39:00Z</dcterms:created>
  <dc:creator>Administrator</dc:creator>
  <cp:lastModifiedBy>娟</cp:lastModifiedBy>
  <dcterms:modified xsi:type="dcterms:W3CDTF">2024-03-07T01:54:30Z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6513A82E41D846878F43C59777962118</vt:lpwstr>
  </property>
</Properties>
</file>