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102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103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104</w:t>
      </w:r>
      <w:r>
        <w:fldChar w:fldCharType="end"/>
      </w:r>
      <w:r>
        <w:fldChar w:fldCharType="end"/>
      </w:r>
    </w:p>
    <w:p>
      <w:r>
        <w:fldChar w:fldCharType="end"/>
      </w:r>
    </w:p>
    <w:p>
      <w:r>
        <w:br w:type="page"/>
      </w:r>
    </w:p>
    <w:p>
      <w:pPr>
        <w:rPr>
          <w:rFonts w:eastAsiaTheme="minorEastAsia"/>
          <w:lang w:eastAsia="zh-CN"/>
        </w:rPr>
      </w:pP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14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8"/>
        <w:gridCol w:w="5302"/>
        <w:gridCol w:w="2267"/>
        <w:gridCol w:w="3465"/>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267"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部门编码及名称：[897]中共涞源县委网络安全和信息化委员会办公室</w:t>
            </w:r>
          </w:p>
        </w:tc>
        <w:tc>
          <w:tcPr>
            <w:tcW w:w="346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42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5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4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二、上级拨款收入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147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981"/>
        <w:gridCol w:w="2118"/>
        <w:gridCol w:w="1332"/>
        <w:gridCol w:w="1332"/>
        <w:gridCol w:w="1332"/>
        <w:gridCol w:w="1334"/>
        <w:gridCol w:w="1330"/>
        <w:gridCol w:w="1334"/>
        <w:gridCol w:w="1332"/>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9410" w:type="dxa"/>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bookmarkStart w:id="2" w:name="_Toc_2_2_0000000003"/>
            <w:r>
              <w:rPr>
                <w:rFonts w:hint="eastAsia" w:ascii="宋体" w:hAnsi="宋体" w:eastAsia="宋体" w:cs="宋体"/>
                <w:i w:val="0"/>
                <w:iCs w:val="0"/>
                <w:color w:val="000000"/>
                <w:kern w:val="0"/>
                <w:sz w:val="18"/>
                <w:szCs w:val="18"/>
                <w:u w:val="none"/>
                <w:lang w:val="en-US" w:eastAsia="zh-CN" w:bidi="ar"/>
              </w:rPr>
              <w:t>部门编码及名称：[897]中共涞源县委网络安全和信息化委员会办公室</w:t>
            </w:r>
          </w:p>
        </w:tc>
        <w:tc>
          <w:tcPr>
            <w:tcW w:w="2664"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664"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其中：财政专户收入</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jc w:val="center"/>
        <w:outlineLvl w:val="1"/>
        <w:rPr>
          <w:rFonts w:ascii="方正小标宋_GBK" w:hAnsi="方正小标宋_GBK" w:eastAsia="方正小标宋_GBK" w:cs="方正小标宋_GBK"/>
          <w:color w:val="000000"/>
          <w:sz w:val="36"/>
        </w:r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15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1338"/>
        <w:gridCol w:w="2349"/>
        <w:gridCol w:w="1722"/>
        <w:gridCol w:w="1724"/>
        <w:gridCol w:w="1722"/>
        <w:gridCol w:w="1723"/>
        <w:gridCol w:w="1722"/>
        <w:gridCol w:w="1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129"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bookmarkStart w:id="3" w:name="_Toc_2_2_0000000004"/>
            <w:r>
              <w:rPr>
                <w:rFonts w:hint="eastAsia" w:ascii="宋体" w:hAnsi="宋体" w:eastAsia="宋体" w:cs="宋体"/>
                <w:i w:val="0"/>
                <w:iCs w:val="0"/>
                <w:color w:val="000000"/>
                <w:kern w:val="0"/>
                <w:sz w:val="18"/>
                <w:szCs w:val="18"/>
                <w:u w:val="none"/>
                <w:lang w:val="en-US" w:eastAsia="zh-CN" w:bidi="ar"/>
              </w:rPr>
              <w:t>部门编码及名称：[897]中共涞源县委网络安全和信息化委员会办公室</w:t>
            </w:r>
          </w:p>
        </w:tc>
        <w:tc>
          <w:tcPr>
            <w:tcW w:w="3445"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644"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2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p/>
    <w:tbl>
      <w:tblPr>
        <w:tblStyle w:val="8"/>
        <w:tblW w:w="14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2705"/>
        <w:gridCol w:w="2146"/>
        <w:gridCol w:w="1728"/>
        <w:gridCol w:w="1341"/>
        <w:gridCol w:w="1809"/>
        <w:gridCol w:w="2976"/>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7327"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部门编码及名称：[897]中共涞源县委网络安全和信息化委员会办公室</w:t>
            </w:r>
          </w:p>
        </w:tc>
        <w:tc>
          <w:tcPr>
            <w:tcW w:w="315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4462"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8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34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年初财政拨款结转和结余</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48"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2705"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2146"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728"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341"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809"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2976"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486"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146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1746"/>
        <w:gridCol w:w="3046"/>
        <w:gridCol w:w="3047"/>
        <w:gridCol w:w="3046"/>
        <w:gridCol w:w="3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607"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bookmarkStart w:id="5" w:name="_Toc_2_2_0000000006"/>
            <w:r>
              <w:rPr>
                <w:rFonts w:hint="eastAsia" w:ascii="宋体" w:hAnsi="宋体" w:eastAsia="宋体" w:cs="宋体"/>
                <w:i w:val="0"/>
                <w:iCs w:val="0"/>
                <w:color w:val="000000"/>
                <w:kern w:val="0"/>
                <w:sz w:val="18"/>
                <w:szCs w:val="18"/>
                <w:u w:val="none"/>
                <w:lang w:val="en-US" w:eastAsia="zh-CN" w:bidi="ar"/>
              </w:rPr>
              <w:t>部门编码及名称：[897]中共涞源县委网络安全和信息化委员会办公室</w:t>
            </w:r>
          </w:p>
        </w:tc>
        <w:tc>
          <w:tcPr>
            <w:tcW w:w="304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4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30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14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1687"/>
        <w:gridCol w:w="2942"/>
        <w:gridCol w:w="2943"/>
        <w:gridCol w:w="2942"/>
        <w:gridCol w:w="2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8314"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bookmarkStart w:id="6" w:name="_Toc_2_2_0000000007"/>
            <w:r>
              <w:rPr>
                <w:rFonts w:hint="eastAsia" w:ascii="宋体" w:hAnsi="宋体" w:eastAsia="宋体" w:cs="宋体"/>
                <w:i w:val="0"/>
                <w:iCs w:val="0"/>
                <w:color w:val="000000"/>
                <w:kern w:val="0"/>
                <w:sz w:val="18"/>
                <w:szCs w:val="18"/>
                <w:u w:val="none"/>
                <w:lang w:val="en-US" w:eastAsia="zh-CN" w:bidi="ar"/>
              </w:rPr>
              <w:t>部门编码及名称：[897]中共涞源县委网络安全和信息化委员会办公室</w:t>
            </w:r>
          </w:p>
        </w:tc>
        <w:tc>
          <w:tcPr>
            <w:tcW w:w="2942"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944"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88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经济分类科目编码</w:t>
            </w: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jc w:val="center"/>
        <w:outlineLvl w:val="1"/>
        <w:rPr>
          <w:rFonts w:ascii="方正小标宋_GBK" w:hAnsi="方正小标宋_GBK" w:eastAsia="方正小标宋_GBK" w:cs="方正小标宋_GBK"/>
          <w:color w:val="000000"/>
          <w:sz w:val="36"/>
        </w:r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14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3516"/>
        <w:gridCol w:w="2721"/>
        <w:gridCol w:w="2405"/>
        <w:gridCol w:w="2221"/>
        <w:gridCol w:w="2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232"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部门编码及名称：[897]中共涞源县委网络安全和信息化委员会办公室</w:t>
            </w:r>
          </w:p>
        </w:tc>
        <w:tc>
          <w:tcPr>
            <w:tcW w:w="227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791"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2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注：无政府基金预算，空表列示。</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145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3956"/>
        <w:gridCol w:w="2472"/>
        <w:gridCol w:w="2413"/>
        <w:gridCol w:w="2424"/>
        <w:gridCol w:w="2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386"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部门编码及名称：[897]中共涞源县委网络安全和信息化委员会办公室</w:t>
            </w:r>
          </w:p>
        </w:tc>
        <w:tc>
          <w:tcPr>
            <w:tcW w:w="2497"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71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1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24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2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注：无国有资本经营预算，空表列示。</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4109"/>
        <w:gridCol w:w="2256"/>
        <w:gridCol w:w="2534"/>
        <w:gridCol w:w="2531"/>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94"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部门编码及名称：[897]中共涞源县委网络安全和信息化委员会办公室</w:t>
            </w:r>
          </w:p>
        </w:tc>
        <w:tc>
          <w:tcPr>
            <w:tcW w:w="2531"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53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8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pPr>
        <w:jc w:val="center"/>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中共涞源县委网络安全和信息化委员会办公室</w:t>
      </w:r>
    </w:p>
    <w:p>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中共涞源县委网络安全和信息化委员会办公室</w:t>
      </w:r>
      <w:r>
        <w:rPr>
          <w:rFonts w:eastAsia="方正仿宋_GBK"/>
          <w:color w:val="000000"/>
          <w:sz w:val="28"/>
        </w:rPr>
        <w:t>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1"/>
      </w:pPr>
      <w:r>
        <w:t>县委网信办的主要职责</w:t>
      </w:r>
    </w:p>
    <w:p>
      <w:pPr>
        <w:pStyle w:val="21"/>
        <w:ind w:left="0" w:leftChars="0" w:firstLine="560" w:firstLineChars="200"/>
      </w:pPr>
      <w:r>
        <w:t>(一)负责处理县委网络安全和信息化委员会目常事务工作。协调督促有关方面落实委员会的决定事项、工作部署和要求组织开展对涉及全县政治、经济、文化、社会、生态及军事等各个领域的网络安全和信息化重大问题研究，向委员会提出工作建议。</w:t>
      </w:r>
    </w:p>
    <w:p>
      <w:pPr>
        <w:pStyle w:val="21"/>
      </w:pPr>
      <w:r>
        <w:t>(二)组织研究起草我县网络安全和信息化发展战略、宏观规划和重大政策。统筹推进全县网络安全和信息化法治、标准建设，根据职责权限负责相关法规、规章等的起草、实施和监督检查，根据职责权限推动落实网络安全和信息化领域国家标准并监督实施；依法完善与信息化相关的统计调查制度。</w:t>
      </w:r>
    </w:p>
    <w:p>
      <w:pPr>
        <w:pStyle w:val="21"/>
      </w:pPr>
      <w: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推进网络强县建设，协调推动全县公共服务和社会治理信息化；指导全县网络安全信息共享和通报。</w:t>
      </w:r>
    </w:p>
    <w:p>
      <w:pPr>
        <w:pStyle w:val="21"/>
      </w:pPr>
      <w:r>
        <w:t>(四)督促落实我县涉及政治、经济、文化、社会、生态及军事等各领域网络安全和信息化重大事项；负责协调处理网络安全和信息化重大突发事件与有关应急工作。</w:t>
      </w:r>
    </w:p>
    <w:p>
      <w:pPr>
        <w:pStyle w:val="21"/>
      </w:pPr>
      <w:r>
        <w:t>(五)负责全县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全县落地网站及县内新媒体新应用，会同有关部门处置和封堵网上有害信息，依照相关法律和规定查处违法违规行为和网站。</w:t>
      </w:r>
    </w:p>
    <w:p>
      <w:pPr>
        <w:pStyle w:val="21"/>
      </w:pPr>
      <w:r>
        <w:t>(六)负责指导协调全县网络舆情工作。收集、分析、研判、报送和处置网络舆情信息，依法规范舆情服务市场。</w:t>
      </w:r>
    </w:p>
    <w:p>
      <w:pPr>
        <w:pStyle w:val="21"/>
      </w:pPr>
      <w: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pPr>
        <w:pStyle w:val="21"/>
      </w:pPr>
      <w:r>
        <w:t>(八)推动全县网络社会工作和网络文化、网络文明建设；发展、联系、服务网络社会组织，指导互联网行业自律，推进网站党建工作。</w:t>
      </w:r>
    </w:p>
    <w:p>
      <w:pPr>
        <w:pStyle w:val="21"/>
      </w:pPr>
      <w:r>
        <w:t>(九)落实国家互联网信息服务资本准入和信息网络行业安全审查的有关政策。依法负责全县网络新闻业务和论坛、博客搜索引擎等具有新闻舆论及社会动员功能业务的审批及日常监管。指导全县有关部门督促电信运营企业、接入服务企业、域名注册管理和服务机构做好域名注册、互联网地址(P地址)分配网站登记备案、接入以及网络行为主体身份信息核对等基础管理工作；指导协调有关部门推进新技术新应用安全评估，统筹协调全县移动互联网管理。</w:t>
      </w:r>
    </w:p>
    <w:p>
      <w:pPr>
        <w:pStyle w:val="21"/>
      </w:pPr>
      <w:r>
        <w:t>(十)协调推进全县信息网络行业自主创新和发展。协调开展全县互联网经济和发展态势研究，推动建立健全我县信息网络行业投融资支持服务体系、技术创新服务体系，统筹协调全县重要信息资源的开发利用与共享。</w:t>
      </w:r>
    </w:p>
    <w:p>
      <w:pPr>
        <w:pStyle w:val="21"/>
      </w:pPr>
      <w:r>
        <w:t>(十一)规划指导县内机构开展金融信息服务业务。组织开展全县金融信息服务市场监管；协调金融监管部门建立全县网络金融信息发布、传播监管制度及工作机制。</w:t>
      </w:r>
    </w:p>
    <w:p>
      <w:pPr>
        <w:pStyle w:val="21"/>
      </w:pPr>
      <w:r>
        <w:t>(十二)组织拟订网络安全和信息化干部人才队伍发展规划，组织开展网信系统干部教育培训和人才队伍建设，规划指导全县互联网新闻信息服务从业人员教育培训和考评工作，组织开展网络媒介素养教育。</w:t>
      </w:r>
    </w:p>
    <w:p>
      <w:pPr>
        <w:pStyle w:val="21"/>
      </w:pPr>
      <w:r>
        <w:t>(十三)组织开展相关领域国内国际交流与合作。</w:t>
      </w:r>
    </w:p>
    <w:p>
      <w:pPr>
        <w:pStyle w:val="21"/>
      </w:pPr>
      <w:r>
        <w:t>(十四)指导、检查、推动全县有关部门网络安全和信息化工作。</w:t>
      </w:r>
    </w:p>
    <w:p>
      <w:pPr>
        <w:pStyle w:val="21"/>
      </w:pPr>
      <w:r>
        <w:t>(十五)完成市委网络安全和信息化委员会办公室(市互联网信息办公室)和县委，县政府及县委网络安全和信息化委员会县委宣传部交办的其他任务。</w:t>
      </w:r>
    </w:p>
    <w:p>
      <w:pPr>
        <w:ind w:firstLine="640"/>
        <w:rPr>
          <w:rFonts w:hint="eastAsia"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rFonts w:hint="eastAsia" w:eastAsia="方正书宋_GBK"/>
                <w:lang w:eastAsia="zh-CN"/>
              </w:rPr>
            </w:pPr>
            <w:r>
              <w:rPr>
                <w:rFonts w:hint="eastAsia"/>
                <w:lang w:eastAsia="zh-CN"/>
              </w:rPr>
              <w:t>中共涞源县委网络安全和信息化委员会办公室</w:t>
            </w:r>
          </w:p>
        </w:tc>
        <w:tc>
          <w:tcPr>
            <w:tcW w:w="1843" w:type="dxa"/>
            <w:vAlign w:val="center"/>
          </w:tcPr>
          <w:p>
            <w:pPr>
              <w:pStyle w:val="17"/>
            </w:pPr>
            <w:r>
              <w:t>行政</w:t>
            </w:r>
          </w:p>
        </w:tc>
        <w:tc>
          <w:tcPr>
            <w:tcW w:w="2126" w:type="dxa"/>
            <w:vAlign w:val="center"/>
          </w:tcPr>
          <w:p>
            <w:pPr>
              <w:pStyle w:val="17"/>
              <w:rPr>
                <w:rFonts w:hint="eastAsia" w:eastAsia="方正书宋_GBK"/>
                <w:lang w:eastAsia="zh-CN"/>
              </w:rPr>
            </w:pPr>
            <w:r>
              <w:rPr>
                <w:rFonts w:hint="eastAsia"/>
                <w:lang w:eastAsia="zh-CN"/>
              </w:rPr>
              <w:t>正科级</w:t>
            </w:r>
          </w:p>
        </w:tc>
        <w:tc>
          <w:tcPr>
            <w:tcW w:w="3827" w:type="dxa"/>
            <w:vAlign w:val="center"/>
          </w:tcPr>
          <w:p>
            <w:pPr>
              <w:pStyle w:val="17"/>
            </w:pPr>
            <w:r>
              <w:t>财政拨款</w:t>
            </w:r>
          </w:p>
        </w:tc>
      </w:tr>
    </w:tbl>
    <w:p>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bookmarkStart w:id="11" w:name="_Toc_3_3_0000000012"/>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按照预算管理有关规定，目前我省部门预算的编制实行综合预算管理，即全部收入和支出都反映在预算中。中共涞源县委网络安全和信息化委员会办公室机关及所属事业单位的收支包含在部门预算中。</w:t>
      </w:r>
    </w:p>
    <w:p>
      <w:pPr>
        <w:pStyle w:val="22"/>
      </w:pPr>
      <w:r>
        <w:t>按照预算管理有关规定，目前我办部门预算的编制实行综合预算管理，即全部收入和支出都反映在预算中。中共涞源县委网络安全和信息化委员会办公室的收支包含在部门预算中。</w:t>
      </w:r>
    </w:p>
    <w:p>
      <w:pPr>
        <w:pStyle w:val="22"/>
      </w:pPr>
      <w:r>
        <w:t>1、收入说明</w:t>
      </w:r>
    </w:p>
    <w:p>
      <w:pPr>
        <w:pStyle w:val="22"/>
      </w:pPr>
      <w:r>
        <w:t>反映本部门当年全部收入。202</w:t>
      </w:r>
      <w:r>
        <w:rPr>
          <w:rFonts w:hint="eastAsia"/>
          <w:lang w:val="en-US" w:eastAsia="zh-CN"/>
        </w:rPr>
        <w:t>1</w:t>
      </w:r>
      <w:r>
        <w:t>年预算收入</w:t>
      </w:r>
      <w:r>
        <w:rPr>
          <w:rFonts w:hint="eastAsia"/>
          <w:lang w:val="en-US" w:eastAsia="zh-CN"/>
        </w:rPr>
        <w:t>110.93</w:t>
      </w:r>
      <w:r>
        <w:t>万元，其中：一般公共预算收入</w:t>
      </w:r>
      <w:r>
        <w:rPr>
          <w:rFonts w:hint="eastAsia"/>
          <w:lang w:val="en-US" w:eastAsia="zh-CN"/>
        </w:rPr>
        <w:t>110.93</w:t>
      </w:r>
      <w:r>
        <w:t>万元，基金预算收入0万元，国有资本经营预算收入0万元，财政专户核拨收入0万元。</w:t>
      </w:r>
    </w:p>
    <w:p>
      <w:pPr>
        <w:pStyle w:val="22"/>
      </w:pPr>
      <w:r>
        <w:t>2、支出说明</w:t>
      </w:r>
    </w:p>
    <w:p>
      <w:pPr>
        <w:pStyle w:val="22"/>
      </w:pPr>
      <w:r>
        <w:t>收支预算总表支出栏、基本支出表、项目支出表按经济分类和支出功能分类科目编制，反映中共涞源县委网络安全和信息化委员会办公室年度部门预算中支出预算的总体情况。202</w:t>
      </w:r>
      <w:r>
        <w:rPr>
          <w:rFonts w:hint="eastAsia"/>
          <w:lang w:val="en-US" w:eastAsia="zh-CN"/>
        </w:rPr>
        <w:t>1</w:t>
      </w:r>
      <w:r>
        <w:t>年支出预算</w:t>
      </w:r>
      <w:r>
        <w:rPr>
          <w:rFonts w:hint="eastAsia"/>
          <w:lang w:val="en-US" w:eastAsia="zh-CN"/>
        </w:rPr>
        <w:t>110.93</w:t>
      </w:r>
      <w:r>
        <w:t>万元，其中基本支出</w:t>
      </w:r>
      <w:r>
        <w:rPr>
          <w:rFonts w:hint="eastAsia"/>
          <w:lang w:val="en-US" w:eastAsia="zh-CN"/>
        </w:rPr>
        <w:t>71.53</w:t>
      </w:r>
      <w:r>
        <w:t>万元，包括人员经费</w:t>
      </w:r>
      <w:r>
        <w:rPr>
          <w:rFonts w:hint="eastAsia"/>
          <w:lang w:val="en-US" w:eastAsia="zh-CN"/>
        </w:rPr>
        <w:t>65.84</w:t>
      </w:r>
      <w:r>
        <w:t>万元和日常公用经费5.69万元；项目支出</w:t>
      </w:r>
      <w:r>
        <w:rPr>
          <w:rFonts w:hint="eastAsia"/>
          <w:lang w:val="en-US" w:eastAsia="zh-CN"/>
        </w:rPr>
        <w:t>39.40</w:t>
      </w:r>
      <w:r>
        <w:t>万元，主要为网信办互联网宣传引导专项经费、网信办网络舆情检测设备专项经费、网信办信息化安全检查专项经费、网信办舆情处置专项经费。</w:t>
      </w:r>
    </w:p>
    <w:p>
      <w:pPr>
        <w:pStyle w:val="22"/>
        <w:rPr>
          <w:highlight w:val="yellow"/>
        </w:rPr>
      </w:pPr>
      <w:r>
        <w:rPr>
          <w:highlight w:val="yellow"/>
        </w:rPr>
        <w:t>3、比上年增减情况</w:t>
      </w:r>
    </w:p>
    <w:p>
      <w:pPr>
        <w:pStyle w:val="22"/>
        <w:rPr>
          <w:highlight w:val="yellow"/>
        </w:rPr>
      </w:pPr>
      <w:r>
        <w:rPr>
          <w:highlight w:val="yellow"/>
        </w:rPr>
        <w:t>202</w:t>
      </w:r>
      <w:r>
        <w:rPr>
          <w:rFonts w:hint="eastAsia"/>
          <w:highlight w:val="yellow"/>
          <w:lang w:val="en-US" w:eastAsia="zh-CN"/>
        </w:rPr>
        <w:t>1</w:t>
      </w:r>
      <w:r>
        <w:rPr>
          <w:highlight w:val="yellow"/>
        </w:rPr>
        <w:t>年预算收支安排110.9</w:t>
      </w:r>
      <w:r>
        <w:rPr>
          <w:rFonts w:hint="eastAsia"/>
          <w:highlight w:val="yellow"/>
          <w:lang w:val="en-US" w:eastAsia="zh-CN"/>
        </w:rPr>
        <w:t>3</w:t>
      </w:r>
      <w:r>
        <w:rPr>
          <w:highlight w:val="yellow"/>
        </w:rPr>
        <w:t>万元，较202</w:t>
      </w:r>
      <w:r>
        <w:rPr>
          <w:rFonts w:hint="eastAsia"/>
          <w:highlight w:val="yellow"/>
          <w:lang w:val="en-US" w:eastAsia="zh-CN"/>
        </w:rPr>
        <w:t>0</w:t>
      </w:r>
      <w:r>
        <w:rPr>
          <w:highlight w:val="yellow"/>
        </w:rPr>
        <w:t>年预算增加</w:t>
      </w:r>
      <w:r>
        <w:rPr>
          <w:rFonts w:hint="eastAsia"/>
          <w:highlight w:val="yellow"/>
          <w:lang w:val="en-US" w:eastAsia="zh-CN"/>
        </w:rPr>
        <w:t>82.2</w:t>
      </w:r>
      <w:r>
        <w:rPr>
          <w:highlight w:val="yellow"/>
        </w:rPr>
        <w:t>万元，其中：基本支出增加71.53万元，主要为增加人员经费支出；项目支出增加39.4万元，主要为网信办互联网宣传引导专项经费、网信办网络舆情检测设备专项经费、网信办信息化安全检查专项经费、网信办舆情处置专项经费。</w:t>
      </w:r>
    </w:p>
    <w:bookmarkEnd w:id="11"/>
    <w:p>
      <w:pPr>
        <w:spacing w:before="10" w:after="10" w:line="360" w:lineRule="auto"/>
        <w:ind w:firstLine="640"/>
        <w:jc w:val="left"/>
        <w:outlineLvl w:val="2"/>
        <w:rPr>
          <w:highlight w:val="yellow"/>
        </w:rPr>
      </w:pPr>
      <w:r>
        <w:rPr>
          <w:rFonts w:ascii="黑体" w:hAnsi="黑体" w:eastAsia="黑体" w:cs="黑体"/>
          <w:color w:val="000000"/>
          <w:sz w:val="32"/>
          <w:highlight w:val="yellow"/>
        </w:rPr>
        <w:t>三、机关运行经费安排情况</w:t>
      </w:r>
    </w:p>
    <w:p>
      <w:pPr>
        <w:pStyle w:val="23"/>
        <w:rPr>
          <w:highlight w:val="yellow"/>
        </w:rPr>
      </w:pPr>
      <w:r>
        <w:rPr>
          <w:highlight w:val="yellow"/>
        </w:rPr>
        <w:t>202</w:t>
      </w:r>
      <w:r>
        <w:rPr>
          <w:rFonts w:hint="eastAsia"/>
          <w:highlight w:val="yellow"/>
          <w:lang w:val="en-US" w:eastAsia="zh-CN"/>
        </w:rPr>
        <w:t>1</w:t>
      </w:r>
      <w:r>
        <w:rPr>
          <w:highlight w:val="yellow"/>
        </w:rPr>
        <w:t>年，我部门运行经费共计安排5.69万元，主要用于日常办公、水电费、差旅费、通讯费等日常运行支出。</w:t>
      </w:r>
    </w:p>
    <w:p>
      <w:pPr>
        <w:pStyle w:val="23"/>
        <w:rPr>
          <w:highlight w:val="yellow"/>
        </w:rPr>
      </w:pPr>
    </w:p>
    <w:p>
      <w:pPr>
        <w:spacing w:before="10" w:after="10" w:line="360" w:lineRule="auto"/>
        <w:ind w:firstLine="640"/>
        <w:jc w:val="left"/>
        <w:outlineLvl w:val="2"/>
        <w:rPr>
          <w:highlight w:val="yellow"/>
        </w:rPr>
      </w:pPr>
      <w:bookmarkStart w:id="12" w:name="_Toc_3_3_0000000013"/>
      <w:r>
        <w:rPr>
          <w:rFonts w:ascii="黑体" w:hAnsi="黑体" w:eastAsia="黑体" w:cs="黑体"/>
          <w:color w:val="000000"/>
          <w:sz w:val="32"/>
          <w:highlight w:val="yellow"/>
        </w:rPr>
        <w:t>四、财政拨款“三公”经费预算情况及增减变化原因</w:t>
      </w:r>
      <w:bookmarkEnd w:id="12"/>
    </w:p>
    <w:p>
      <w:pPr>
        <w:pStyle w:val="24"/>
        <w:rPr>
          <w:highlight w:val="yellow"/>
        </w:rPr>
      </w:pPr>
      <w:r>
        <w:rPr>
          <w:highlight w:val="yellow"/>
        </w:rPr>
        <w:t>202</w:t>
      </w:r>
      <w:r>
        <w:rPr>
          <w:rFonts w:hint="eastAsia"/>
          <w:highlight w:val="yellow"/>
          <w:lang w:val="en-US" w:eastAsia="zh-CN"/>
        </w:rPr>
        <w:t>1</w:t>
      </w:r>
      <w:r>
        <w:rPr>
          <w:highlight w:val="yellow"/>
        </w:rPr>
        <w:t>年，我部门财政拨款“三公”经费预算安排2万元，其中因公出国（境）费0万元；公务用车购置及运维费0万元（其中：公务用车购置费为0万元，公务用车运维费0万元)；公务接待费2万元。与2021年相比无变化。</w:t>
      </w:r>
      <w:r>
        <w:rPr>
          <w:highlight w:val="yellow"/>
        </w:rPr>
        <w:tab/>
      </w:r>
      <w:r>
        <w:rPr>
          <w:highlight w:val="yellow"/>
        </w:rPr>
        <w:tab/>
      </w:r>
      <w:r>
        <w:rPr>
          <w:highlight w:val="yellow"/>
        </w:rPr>
        <w:tab/>
      </w:r>
      <w:r>
        <w:rPr>
          <w:highlight w:val="yellow"/>
        </w:rPr>
        <w:tab/>
      </w:r>
    </w:p>
    <w:p>
      <w:pPr>
        <w:spacing w:before="10" w:after="10" w:line="360" w:lineRule="auto"/>
        <w:ind w:firstLine="640"/>
        <w:jc w:val="left"/>
        <w:outlineLvl w:val="2"/>
        <w:rPr>
          <w:highlight w:val="yellow"/>
        </w:rPr>
      </w:pPr>
      <w:bookmarkStart w:id="13" w:name="_Toc_3_3_0000000014"/>
      <w:r>
        <w:rPr>
          <w:rFonts w:ascii="黑体" w:hAnsi="黑体" w:eastAsia="黑体" w:cs="黑体"/>
          <w:color w:val="000000"/>
          <w:sz w:val="32"/>
          <w:highlight w:val="yellow"/>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pStyle w:val="25"/>
      </w:pPr>
      <w:r>
        <w:t>中共涞源县委网络安全和信息化委员会办公室总体绩效目标</w:t>
      </w:r>
    </w:p>
    <w:p>
      <w:pPr>
        <w:pStyle w:val="25"/>
      </w:pPr>
      <w:r>
        <w:t>2022</w:t>
      </w:r>
      <w:r>
        <w:rPr>
          <w:rFonts w:ascii="宋体" w:hAnsi="宋体" w:eastAsia="宋体" w:cs="宋体"/>
          <w:sz w:val="24"/>
          <w:szCs w:val="24"/>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57200" cy="457200"/>
                    </a:xfrm>
                    <a:prstGeom prst="rect">
                      <a:avLst/>
                    </a:prstGeom>
                    <a:noFill/>
                    <a:ln w="9525">
                      <a:noFill/>
                    </a:ln>
                  </pic:spPr>
                </pic:pic>
              </a:graphicData>
            </a:graphic>
          </wp:inline>
        </w:drawing>
      </w:r>
      <w:r>
        <w:t>年，我办将继续提高站位，深化学习，切实履行网络意识形态工作主体责任。以习近平新时代中国特色社会主义思想为指导，深化学习习近平总书记关于网络安全和信息化工作的系列讲话精神。</w:t>
      </w:r>
    </w:p>
    <w:p>
      <w:pPr>
        <w:pStyle w:val="25"/>
      </w:pPr>
      <w:r>
        <w:t xml:space="preserve">完成全年整体绩效目标，通过互联网引导宣传、舆情设备、舆情处置、信息化安全检查四个项目，扎实推进网信工作。加强监测，强化处置，认真践行我县网上群众工作思想路线。我办用好“千里眼”，监测研判把握舆情发生动态，准确把握舆情走势，对网络舆情进行24小时不间断监测，做到及时掌握舆情动向，准确捕捉敏感信息并提供预警，对其中有较重大影响的事件能快速发现。认真落实省、市网信工作部署，牢固树立“四个意识”，不断增强“四个自信”，抓住信息化发展的历史机遇，加强网络主体责任，推进网络强国建设的战略思想的学习，维护网络安全，加强网上正面宣传和舆论管控，主动参与网络空间治理，净化网络环境。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rPr>
          <w:rFonts w:hint="eastAsia" w:eastAsia="方正仿宋_GBK"/>
          <w:lang w:eastAsia="zh-CN"/>
        </w:rPr>
      </w:pPr>
      <w:r>
        <w:t>做好宏观规划，在当好参谋助手上有新提升</w:t>
      </w:r>
      <w:r>
        <w:rPr>
          <w:rFonts w:hint="eastAsia"/>
          <w:lang w:eastAsia="zh-CN"/>
        </w:rPr>
        <w:t>。</w:t>
      </w:r>
    </w:p>
    <w:p>
      <w:pPr>
        <w:pStyle w:val="26"/>
      </w:pPr>
      <w:r>
        <w:t>绩效目标：研究制定主要目标任务分工，层层压实责任，开展重大课题研究，为决策提供支持，政策引导更加有力。</w:t>
      </w:r>
    </w:p>
    <w:p>
      <w:pPr>
        <w:pStyle w:val="26"/>
      </w:pPr>
      <w:r>
        <w:t>完成情况：我办组织网络安全宣传10次，涉及全县各个乡镇办事处，发放宣传资料10000余份，组织网络安全检查2次，涉及各县直单位及乡镇办事处。</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工作保障措施</w:t>
      </w:r>
    </w:p>
    <w:p>
      <w:pPr>
        <w:pStyle w:val="27"/>
      </w:pPr>
      <w:r>
        <w:t>1、细化项目管理，确保项目按期实施。项目一经批复，各实施部门要认真细化方案，明确责任人，确定项目实施期间，定期开展内部检查，出现不可抗力因素，及时按程序进行必要的调整和变更，同时，做好各项目支出绩效目标执行中的控制管理，建好控制台账，确保资金对应绩效目标执行，强化项目推进过程的管理，确保项目按计划推进。</w:t>
      </w:r>
    </w:p>
    <w:p>
      <w:pPr>
        <w:pStyle w:val="27"/>
      </w:pPr>
      <w:r>
        <w:t>2、严格人员管理，提高绩效目标管理水平。加强财务人员培训，熟练掌握预算编制和预算执行等各项政策，严格遵守各项财经纪律，不断提高业务能力，确保预算指标执行过程不交叉，不断提高绩效目标管理水平。</w:t>
      </w:r>
    </w:p>
    <w:p>
      <w:pPr>
        <w:pStyle w:val="27"/>
      </w:pPr>
      <w:r>
        <w:t>3、严格绩效考核，落实责任追究。进一步明确专项资金绩效考核责任，项目单位是第一责任单位，项目负责人是第一责任人。按承诺要求，项目年内完不成的下一年一律不再安排资金，财政收回资金给单位造成损失的，追究单位负责人的责任。</w:t>
      </w:r>
    </w:p>
    <w:p>
      <w:pPr>
        <w:pStyle w:val="27"/>
      </w:pPr>
      <w:r>
        <w:t>4、加强日常监控工作。</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第二部分  专项资金绩效目标</w:t>
      </w:r>
    </w:p>
    <w:p>
      <w:pPr>
        <w:pStyle w:val="28"/>
        <w:ind w:firstLine="560" w:firstLineChars="200"/>
        <w:rPr>
          <w:rFonts w:hint="eastAsia" w:eastAsia="宋体"/>
          <w:lang w:eastAsia="zh-CN"/>
        </w:rPr>
      </w:pPr>
      <w:r>
        <w:rPr>
          <w:rFonts w:hint="eastAsia" w:ascii="方正仿宋_GBK" w:hAnsi="方正仿宋_GBK" w:eastAsia="方正仿宋_GBK" w:cs="方正仿宋_GBK"/>
          <w:b/>
          <w:color w:val="000000"/>
          <w:sz w:val="28"/>
          <w:lang w:eastAsia="zh-CN"/>
        </w:rPr>
        <w:t>无</w:t>
      </w:r>
    </w:p>
    <w:p>
      <w:pPr>
        <w:pStyle w:val="28"/>
      </w:pPr>
    </w:p>
    <w:p>
      <w:pPr>
        <w:pStyle w:val="28"/>
        <w:ind w:firstLine="640"/>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bookmarkStart w:id="14" w:name="_Toc_3_3_0000000015"/>
      <w:r>
        <w:rPr>
          <w:rFonts w:ascii="方正仿宋_GBK" w:hAnsi="方正仿宋_GBK" w:eastAsia="方正仿宋_GBK" w:cs="方正仿宋_GBK"/>
          <w:b/>
          <w:color w:val="000000"/>
          <w:sz w:val="28"/>
        </w:rPr>
        <w:t>1、互联网宣传引导专项经费绩效目标表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1.完成上级宣传任务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举办活动场次</w:t>
            </w:r>
          </w:p>
        </w:tc>
        <w:tc>
          <w:tcPr>
            <w:tcW w:w="2835" w:type="dxa"/>
            <w:vAlign w:val="center"/>
          </w:tcPr>
          <w:p>
            <w:pPr>
              <w:pStyle w:val="16"/>
            </w:pPr>
            <w:r>
              <w:t>举办活动场次</w:t>
            </w:r>
          </w:p>
        </w:tc>
        <w:tc>
          <w:tcPr>
            <w:tcW w:w="2551" w:type="dxa"/>
            <w:vAlign w:val="center"/>
          </w:tcPr>
          <w:p>
            <w:pPr>
              <w:pStyle w:val="16"/>
            </w:pPr>
            <w:r>
              <w:t>≥10圆满完成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网络违法有害信息处置率</w:t>
            </w:r>
          </w:p>
        </w:tc>
        <w:tc>
          <w:tcPr>
            <w:tcW w:w="2835" w:type="dxa"/>
            <w:vAlign w:val="center"/>
          </w:tcPr>
          <w:p>
            <w:pPr>
              <w:pStyle w:val="16"/>
            </w:pPr>
            <w:r>
              <w:t>网络违法有害信息处置率</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案件、资料上报及时率</w:t>
            </w:r>
          </w:p>
        </w:tc>
        <w:tc>
          <w:tcPr>
            <w:tcW w:w="2835" w:type="dxa"/>
            <w:vAlign w:val="center"/>
          </w:tcPr>
          <w:p>
            <w:pPr>
              <w:pStyle w:val="16"/>
            </w:pPr>
            <w:r>
              <w:t>案件、资料上报及时率</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科技进步贡献率</w:t>
            </w:r>
          </w:p>
        </w:tc>
        <w:tc>
          <w:tcPr>
            <w:tcW w:w="2835" w:type="dxa"/>
            <w:vAlign w:val="center"/>
          </w:tcPr>
          <w:p>
            <w:pPr>
              <w:pStyle w:val="16"/>
            </w:pPr>
            <w:r>
              <w:t>科技进步贡献率</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网络安全事件发生率</w:t>
            </w:r>
          </w:p>
        </w:tc>
        <w:tc>
          <w:tcPr>
            <w:tcW w:w="2835" w:type="dxa"/>
            <w:vAlign w:val="center"/>
          </w:tcPr>
          <w:p>
            <w:pPr>
              <w:pStyle w:val="16"/>
            </w:pPr>
            <w:r>
              <w:t>网络安全事件发生率</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生态环境质量改善</w:t>
            </w:r>
          </w:p>
        </w:tc>
        <w:tc>
          <w:tcPr>
            <w:tcW w:w="2835" w:type="dxa"/>
            <w:vAlign w:val="center"/>
          </w:tcPr>
          <w:p>
            <w:pPr>
              <w:pStyle w:val="16"/>
            </w:pPr>
            <w:r>
              <w:t>生态环境质量改善</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网络安全稳定运行</w:t>
            </w:r>
          </w:p>
        </w:tc>
        <w:tc>
          <w:tcPr>
            <w:tcW w:w="2835" w:type="dxa"/>
            <w:vAlign w:val="center"/>
          </w:tcPr>
          <w:p>
            <w:pPr>
              <w:pStyle w:val="16"/>
            </w:pPr>
            <w:r>
              <w:t>网络安全稳定运行</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≥95圆满完成</w:t>
            </w:r>
          </w:p>
        </w:tc>
        <w:tc>
          <w:tcPr>
            <w:tcW w:w="2268" w:type="dxa"/>
            <w:vAlign w:val="center"/>
          </w:tcPr>
          <w:p>
            <w:pPr>
              <w:pStyle w:val="16"/>
            </w:pPr>
            <w:r>
              <w:t>单位职能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2、网络舆情检测设备专项经费绩效目标表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1.完成网络舆情检测设备购买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各项检务保障工作完成率</w:t>
            </w:r>
          </w:p>
        </w:tc>
        <w:tc>
          <w:tcPr>
            <w:tcW w:w="2835" w:type="dxa"/>
            <w:vAlign w:val="center"/>
          </w:tcPr>
          <w:p>
            <w:pPr>
              <w:pStyle w:val="16"/>
            </w:pPr>
            <w:r>
              <w:t>各项检务保障工作完成率</w:t>
            </w:r>
          </w:p>
        </w:tc>
        <w:tc>
          <w:tcPr>
            <w:tcW w:w="2551" w:type="dxa"/>
            <w:vAlign w:val="center"/>
          </w:tcPr>
          <w:p>
            <w:pPr>
              <w:pStyle w:val="16"/>
            </w:pPr>
            <w:r>
              <w:t>≥95圆满完成</w:t>
            </w:r>
          </w:p>
        </w:tc>
        <w:tc>
          <w:tcPr>
            <w:tcW w:w="2268" w:type="dxa"/>
            <w:vAlign w:val="center"/>
          </w:tcPr>
          <w:p>
            <w:pPr>
              <w:pStyle w:val="16"/>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案件办理率</w:t>
            </w:r>
          </w:p>
        </w:tc>
        <w:tc>
          <w:tcPr>
            <w:tcW w:w="2835" w:type="dxa"/>
            <w:vAlign w:val="center"/>
          </w:tcPr>
          <w:p>
            <w:pPr>
              <w:pStyle w:val="16"/>
            </w:pPr>
            <w:r>
              <w:t>案件办理率</w:t>
            </w:r>
          </w:p>
        </w:tc>
        <w:tc>
          <w:tcPr>
            <w:tcW w:w="2551" w:type="dxa"/>
            <w:vAlign w:val="center"/>
          </w:tcPr>
          <w:p>
            <w:pPr>
              <w:pStyle w:val="16"/>
            </w:pPr>
            <w:r>
              <w:t>≥95圆满完成</w:t>
            </w:r>
          </w:p>
        </w:tc>
        <w:tc>
          <w:tcPr>
            <w:tcW w:w="2268" w:type="dxa"/>
            <w:vAlign w:val="center"/>
          </w:tcPr>
          <w:p>
            <w:pPr>
              <w:pStyle w:val="16"/>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≥95圆满完成</w:t>
            </w:r>
          </w:p>
        </w:tc>
        <w:tc>
          <w:tcPr>
            <w:tcW w:w="2268" w:type="dxa"/>
            <w:vAlign w:val="center"/>
          </w:tcPr>
          <w:p>
            <w:pPr>
              <w:pStyle w:val="16"/>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检验成本率</w:t>
            </w:r>
          </w:p>
        </w:tc>
        <w:tc>
          <w:tcPr>
            <w:tcW w:w="2835" w:type="dxa"/>
            <w:vAlign w:val="center"/>
          </w:tcPr>
          <w:p>
            <w:pPr>
              <w:pStyle w:val="16"/>
            </w:pPr>
            <w:r>
              <w:t>检验成本率</w:t>
            </w:r>
          </w:p>
        </w:tc>
        <w:tc>
          <w:tcPr>
            <w:tcW w:w="2551" w:type="dxa"/>
            <w:vAlign w:val="center"/>
          </w:tcPr>
          <w:p>
            <w:pPr>
              <w:pStyle w:val="16"/>
            </w:pPr>
            <w:r>
              <w:t>≥95圆满完成</w:t>
            </w:r>
          </w:p>
        </w:tc>
        <w:tc>
          <w:tcPr>
            <w:tcW w:w="2268" w:type="dxa"/>
            <w:vAlign w:val="center"/>
          </w:tcPr>
          <w:p>
            <w:pPr>
              <w:pStyle w:val="16"/>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能力提升率</w:t>
            </w:r>
          </w:p>
        </w:tc>
        <w:tc>
          <w:tcPr>
            <w:tcW w:w="2835" w:type="dxa"/>
            <w:vAlign w:val="center"/>
          </w:tcPr>
          <w:p>
            <w:pPr>
              <w:pStyle w:val="16"/>
            </w:pPr>
            <w:r>
              <w:t>能力提升率</w:t>
            </w:r>
          </w:p>
        </w:tc>
        <w:tc>
          <w:tcPr>
            <w:tcW w:w="2551" w:type="dxa"/>
            <w:vAlign w:val="center"/>
          </w:tcPr>
          <w:p>
            <w:pPr>
              <w:pStyle w:val="16"/>
            </w:pPr>
            <w:r>
              <w:t>≥95圆满完成</w:t>
            </w:r>
          </w:p>
        </w:tc>
        <w:tc>
          <w:tcPr>
            <w:tcW w:w="2268" w:type="dxa"/>
            <w:vAlign w:val="center"/>
          </w:tcPr>
          <w:p>
            <w:pPr>
              <w:pStyle w:val="16"/>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≥95圆满完成</w:t>
            </w:r>
          </w:p>
        </w:tc>
        <w:tc>
          <w:tcPr>
            <w:tcW w:w="2268" w:type="dxa"/>
            <w:vAlign w:val="center"/>
          </w:tcPr>
          <w:p>
            <w:pPr>
              <w:pStyle w:val="16"/>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生态效益提升值%</w:t>
            </w:r>
          </w:p>
        </w:tc>
        <w:tc>
          <w:tcPr>
            <w:tcW w:w="2835" w:type="dxa"/>
            <w:vAlign w:val="center"/>
          </w:tcPr>
          <w:p>
            <w:pPr>
              <w:pStyle w:val="16"/>
            </w:pPr>
            <w:r>
              <w:t>生态效益提升值%</w:t>
            </w:r>
          </w:p>
        </w:tc>
        <w:tc>
          <w:tcPr>
            <w:tcW w:w="2551" w:type="dxa"/>
            <w:vAlign w:val="center"/>
          </w:tcPr>
          <w:p>
            <w:pPr>
              <w:pStyle w:val="16"/>
            </w:pPr>
            <w:r>
              <w:t>≥95圆满完成</w:t>
            </w:r>
          </w:p>
        </w:tc>
        <w:tc>
          <w:tcPr>
            <w:tcW w:w="2268" w:type="dxa"/>
            <w:vAlign w:val="center"/>
          </w:tcPr>
          <w:p>
            <w:pPr>
              <w:pStyle w:val="16"/>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持续服务率(%)</w:t>
            </w:r>
          </w:p>
        </w:tc>
        <w:tc>
          <w:tcPr>
            <w:tcW w:w="2835" w:type="dxa"/>
            <w:vAlign w:val="center"/>
          </w:tcPr>
          <w:p>
            <w:pPr>
              <w:pStyle w:val="16"/>
            </w:pPr>
            <w:r>
              <w:t>持续服务率(%)</w:t>
            </w:r>
          </w:p>
        </w:tc>
        <w:tc>
          <w:tcPr>
            <w:tcW w:w="2551" w:type="dxa"/>
            <w:vAlign w:val="center"/>
          </w:tcPr>
          <w:p>
            <w:pPr>
              <w:pStyle w:val="16"/>
            </w:pPr>
            <w:r>
              <w:t>≥95圆满完成</w:t>
            </w:r>
          </w:p>
        </w:tc>
        <w:tc>
          <w:tcPr>
            <w:tcW w:w="2268" w:type="dxa"/>
            <w:vAlign w:val="center"/>
          </w:tcPr>
          <w:p>
            <w:pPr>
              <w:pStyle w:val="16"/>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≥95圆满完成</w:t>
            </w:r>
          </w:p>
        </w:tc>
        <w:tc>
          <w:tcPr>
            <w:tcW w:w="2268" w:type="dxa"/>
            <w:vAlign w:val="center"/>
          </w:tcPr>
          <w:p>
            <w:pPr>
              <w:pStyle w:val="16"/>
            </w:pPr>
            <w:r>
              <w:t>单位职责</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3、信息化安全检查专项经费绩效目标表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1.完成信息化安全检查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治安监控视频覆盖率</w:t>
            </w:r>
          </w:p>
        </w:tc>
        <w:tc>
          <w:tcPr>
            <w:tcW w:w="2835" w:type="dxa"/>
            <w:vAlign w:val="center"/>
          </w:tcPr>
          <w:p>
            <w:pPr>
              <w:pStyle w:val="16"/>
            </w:pPr>
            <w:r>
              <w:t>治安监控视频覆盖率</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项目按计划完成率（%）</w:t>
            </w:r>
          </w:p>
        </w:tc>
        <w:tc>
          <w:tcPr>
            <w:tcW w:w="2835" w:type="dxa"/>
            <w:vAlign w:val="center"/>
          </w:tcPr>
          <w:p>
            <w:pPr>
              <w:pStyle w:val="16"/>
            </w:pPr>
            <w:r>
              <w:t>项目按计划完成率（%）</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预算（成本）控制率</w:t>
            </w:r>
          </w:p>
        </w:tc>
        <w:tc>
          <w:tcPr>
            <w:tcW w:w="2835" w:type="dxa"/>
            <w:vAlign w:val="center"/>
          </w:tcPr>
          <w:p>
            <w:pPr>
              <w:pStyle w:val="16"/>
            </w:pPr>
            <w:r>
              <w:t>预算（成本）控制率</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设施完好率(％)</w:t>
            </w:r>
          </w:p>
        </w:tc>
        <w:tc>
          <w:tcPr>
            <w:tcW w:w="2835" w:type="dxa"/>
            <w:vAlign w:val="center"/>
          </w:tcPr>
          <w:p>
            <w:pPr>
              <w:pStyle w:val="16"/>
            </w:pPr>
            <w:r>
              <w:t>设施完好率(％)</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成果应用率（%）</w:t>
            </w:r>
          </w:p>
        </w:tc>
        <w:tc>
          <w:tcPr>
            <w:tcW w:w="2835" w:type="dxa"/>
            <w:vAlign w:val="center"/>
          </w:tcPr>
          <w:p>
            <w:pPr>
              <w:pStyle w:val="16"/>
            </w:pPr>
            <w:r>
              <w:t>成果应用率（%）</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生态效益提升值%</w:t>
            </w:r>
          </w:p>
        </w:tc>
        <w:tc>
          <w:tcPr>
            <w:tcW w:w="2835" w:type="dxa"/>
            <w:vAlign w:val="center"/>
          </w:tcPr>
          <w:p>
            <w:pPr>
              <w:pStyle w:val="16"/>
            </w:pPr>
            <w:r>
              <w:t>生态效益提升值%</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持续服务率(%)</w:t>
            </w:r>
          </w:p>
        </w:tc>
        <w:tc>
          <w:tcPr>
            <w:tcW w:w="2835" w:type="dxa"/>
            <w:vAlign w:val="center"/>
          </w:tcPr>
          <w:p>
            <w:pPr>
              <w:pStyle w:val="16"/>
            </w:pPr>
            <w:r>
              <w:t>持续服务率(%)</w:t>
            </w:r>
          </w:p>
        </w:tc>
        <w:tc>
          <w:tcPr>
            <w:tcW w:w="2551" w:type="dxa"/>
            <w:vAlign w:val="center"/>
          </w:tcPr>
          <w:p>
            <w:pPr>
              <w:pStyle w:val="16"/>
            </w:pPr>
            <w:r>
              <w:t>≥95圆满完成</w:t>
            </w:r>
          </w:p>
        </w:tc>
        <w:tc>
          <w:tcPr>
            <w:tcW w:w="2268" w:type="dxa"/>
            <w:vAlign w:val="center"/>
          </w:tcPr>
          <w:p>
            <w:pPr>
              <w:pStyle w:val="16"/>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≥95圆满完成</w:t>
            </w:r>
          </w:p>
        </w:tc>
        <w:tc>
          <w:tcPr>
            <w:tcW w:w="2268" w:type="dxa"/>
            <w:vAlign w:val="center"/>
          </w:tcPr>
          <w:p>
            <w:pPr>
              <w:pStyle w:val="16"/>
            </w:pPr>
            <w:r>
              <w:t>单位职能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4、舆情处置专项经费绩效目标表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1.完成舆情处置及相关业务培训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社会科学普及任务完成率</w:t>
            </w:r>
          </w:p>
        </w:tc>
        <w:tc>
          <w:tcPr>
            <w:tcW w:w="2835" w:type="dxa"/>
            <w:vAlign w:val="center"/>
          </w:tcPr>
          <w:p>
            <w:pPr>
              <w:pStyle w:val="16"/>
            </w:pPr>
            <w:r>
              <w:t>社会科学普及任务完成率</w:t>
            </w:r>
          </w:p>
        </w:tc>
        <w:tc>
          <w:tcPr>
            <w:tcW w:w="2551" w:type="dxa"/>
            <w:vAlign w:val="center"/>
          </w:tcPr>
          <w:p>
            <w:pPr>
              <w:pStyle w:val="16"/>
            </w:pPr>
            <w:r>
              <w:t>≥95圆满完成</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安全播出率</w:t>
            </w:r>
          </w:p>
        </w:tc>
        <w:tc>
          <w:tcPr>
            <w:tcW w:w="2835" w:type="dxa"/>
            <w:vAlign w:val="center"/>
          </w:tcPr>
          <w:p>
            <w:pPr>
              <w:pStyle w:val="16"/>
            </w:pPr>
            <w:r>
              <w:t>安全播出率</w:t>
            </w:r>
          </w:p>
        </w:tc>
        <w:tc>
          <w:tcPr>
            <w:tcW w:w="2551" w:type="dxa"/>
            <w:vAlign w:val="center"/>
          </w:tcPr>
          <w:p>
            <w:pPr>
              <w:pStyle w:val="16"/>
            </w:pPr>
            <w:r>
              <w:t>≥95圆满完成</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按期完成率</w:t>
            </w:r>
          </w:p>
        </w:tc>
        <w:tc>
          <w:tcPr>
            <w:tcW w:w="2551" w:type="dxa"/>
            <w:vAlign w:val="center"/>
          </w:tcPr>
          <w:p>
            <w:pPr>
              <w:pStyle w:val="16"/>
            </w:pPr>
            <w:r>
              <w:t>≥95圆满完成</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项目总成本</w:t>
            </w:r>
          </w:p>
        </w:tc>
        <w:tc>
          <w:tcPr>
            <w:tcW w:w="2551" w:type="dxa"/>
            <w:vAlign w:val="center"/>
          </w:tcPr>
          <w:p>
            <w:pPr>
              <w:pStyle w:val="16"/>
            </w:pPr>
            <w:r>
              <w:t>≥95圆满完成</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系统录取信息准确率</w:t>
            </w:r>
          </w:p>
        </w:tc>
        <w:tc>
          <w:tcPr>
            <w:tcW w:w="2835" w:type="dxa"/>
            <w:vAlign w:val="center"/>
          </w:tcPr>
          <w:p>
            <w:pPr>
              <w:pStyle w:val="16"/>
            </w:pPr>
            <w:r>
              <w:t>正确录入系统的机动车信息数量与全国信息比率</w:t>
            </w:r>
          </w:p>
        </w:tc>
        <w:tc>
          <w:tcPr>
            <w:tcW w:w="2551" w:type="dxa"/>
            <w:vAlign w:val="center"/>
          </w:tcPr>
          <w:p>
            <w:pPr>
              <w:pStyle w:val="16"/>
            </w:pPr>
            <w:r>
              <w:t>≥95圆满完成</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≥95圆满完成</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生态效益提升值%</w:t>
            </w:r>
          </w:p>
        </w:tc>
        <w:tc>
          <w:tcPr>
            <w:tcW w:w="2835" w:type="dxa"/>
            <w:vAlign w:val="center"/>
          </w:tcPr>
          <w:p>
            <w:pPr>
              <w:pStyle w:val="16"/>
            </w:pPr>
            <w:r>
              <w:t>生态效益提升值%</w:t>
            </w:r>
          </w:p>
        </w:tc>
        <w:tc>
          <w:tcPr>
            <w:tcW w:w="2551" w:type="dxa"/>
            <w:vAlign w:val="center"/>
          </w:tcPr>
          <w:p>
            <w:pPr>
              <w:pStyle w:val="16"/>
            </w:pPr>
            <w:r>
              <w:t>≥95圆满完成</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监测、评价完成率</w:t>
            </w:r>
          </w:p>
        </w:tc>
        <w:tc>
          <w:tcPr>
            <w:tcW w:w="2835" w:type="dxa"/>
            <w:vAlign w:val="center"/>
          </w:tcPr>
          <w:p>
            <w:pPr>
              <w:pStyle w:val="16"/>
            </w:pPr>
            <w:r>
              <w:t>监测、评价完成率</w:t>
            </w:r>
          </w:p>
        </w:tc>
        <w:tc>
          <w:tcPr>
            <w:tcW w:w="2551" w:type="dxa"/>
            <w:vAlign w:val="center"/>
          </w:tcPr>
          <w:p>
            <w:pPr>
              <w:pStyle w:val="16"/>
            </w:pPr>
            <w:r>
              <w:t>≥95圆满完成</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≥95圆满完成</w:t>
            </w:r>
          </w:p>
        </w:tc>
        <w:tc>
          <w:tcPr>
            <w:tcW w:w="2268" w:type="dxa"/>
            <w:vAlign w:val="center"/>
          </w:tcPr>
          <w:p>
            <w:pPr>
              <w:pStyle w:val="16"/>
            </w:pPr>
            <w:r>
              <w:t>部门职责</w:t>
            </w:r>
          </w:p>
        </w:tc>
      </w:tr>
    </w:tbl>
    <w:p>
      <w:pPr>
        <w:sectPr>
          <w:pgSz w:w="16840" w:h="11900" w:orient="landscape"/>
          <w:pgMar w:top="1361" w:right="1020" w:bottom="1134" w:left="1020" w:header="720" w:footer="720" w:gutter="0"/>
          <w:cols w:space="720" w:num="1"/>
        </w:sectPr>
      </w:pPr>
    </w:p>
    <w:bookmarkEnd w:id="14"/>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2022年，中共涞源县委网络安全和信息化委员会办公室安排政府采购预算0.00万元。具体内容见下表。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897中共涞源县委网络安全和信息化委员会办公室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highlight w:val="yellow"/>
        </w:rPr>
      </w:pPr>
      <w:bookmarkStart w:id="15" w:name="_Toc_3_3_0000000016"/>
      <w:r>
        <w:rPr>
          <w:rFonts w:ascii="黑体" w:hAnsi="黑体" w:eastAsia="黑体" w:cs="黑体"/>
          <w:color w:val="000000"/>
          <w:sz w:val="32"/>
          <w:highlight w:val="yellow"/>
        </w:rPr>
        <w:t>七、国有资产信息</w:t>
      </w:r>
      <w:bookmarkEnd w:id="15"/>
    </w:p>
    <w:p>
      <w:pPr>
        <w:spacing w:before="0" w:after="0" w:line="500" w:lineRule="exact"/>
        <w:ind w:firstLine="560"/>
        <w:jc w:val="left"/>
        <w:outlineLvl w:val="9"/>
        <w:rPr>
          <w:highlight w:val="yellow"/>
        </w:rPr>
      </w:pPr>
      <w:r>
        <w:rPr>
          <w:rFonts w:ascii="Times New Roman" w:hAnsi="Times New Roman" w:eastAsia="方正仿宋_GBK" w:cs="Times New Roman"/>
          <w:b w:val="0"/>
          <w:color w:val="000000"/>
          <w:sz w:val="28"/>
          <w:highlight w:val="yellow"/>
        </w:rPr>
        <w:t>中共涞源县委网络安全和信息化委员会办公室（含所属单位）上年末固定资产金额为3.65万元（详见下表）。本年度拟购置固定资产总额为0.00万元，已按要求列入政府采购预算，详见政府采购预算表。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897中共涞源县委网络安全和信息化委员会办公室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13</w:t>
            </w:r>
          </w:p>
        </w:tc>
        <w:tc>
          <w:tcPr>
            <w:tcW w:w="2835" w:type="dxa"/>
            <w:vAlign w:val="center"/>
          </w:tcPr>
          <w:p>
            <w:pPr>
              <w:pStyle w:val="15"/>
            </w:pPr>
            <w:r>
              <w:t>3.65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TI2NTQwZmI3ZDEzYTczOTE2ZjBkZGRiZGViODkifQ=="/>
  </w:docVars>
  <w:rsids>
    <w:rsidRoot w:val="00BB3BBC"/>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A97111"/>
    <w:rsid w:val="00BB3BBC"/>
    <w:rsid w:val="00BF3B18"/>
    <w:rsid w:val="00C553F8"/>
    <w:rsid w:val="00CF7B32"/>
    <w:rsid w:val="00D0667A"/>
    <w:rsid w:val="00D40AC8"/>
    <w:rsid w:val="00E5312D"/>
    <w:rsid w:val="00E77EFD"/>
    <w:rsid w:val="00EE0592"/>
    <w:rsid w:val="00EE41C5"/>
    <w:rsid w:val="00F23EFD"/>
    <w:rsid w:val="1A8340CA"/>
    <w:rsid w:val="1C6E39C8"/>
    <w:rsid w:val="207C5EF6"/>
    <w:rsid w:val="245A0892"/>
    <w:rsid w:val="376554CA"/>
    <w:rsid w:val="39540DF6"/>
    <w:rsid w:val="4B8B7843"/>
    <w:rsid w:val="5EE842E4"/>
    <w:rsid w:val="61656517"/>
    <w:rsid w:val="633F2F95"/>
    <w:rsid w:val="682E26D8"/>
    <w:rsid w:val="74CC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8488</Words>
  <Characters>9920</Characters>
  <Lines>443</Lines>
  <Paragraphs>124</Paragraphs>
  <TotalTime>922</TotalTime>
  <ScaleCrop>false</ScaleCrop>
  <LinksUpToDate>false</LinksUpToDate>
  <CharactersWithSpaces>10143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兔泡泡</cp:lastModifiedBy>
  <dcterms:modified xsi:type="dcterms:W3CDTF">2024-01-23T12:16:47Z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7399254912694ECA844000375F118AEA_13</vt:lpwstr>
  </property>
</Properties>
</file>