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44"/>
          <w:szCs w:val="44"/>
        </w:rPr>
      </w:pPr>
      <w:r>
        <w:rPr>
          <w:rFonts w:hint="eastAsia" w:ascii="黑体" w:hAnsi="黑体" w:eastAsia="黑体" w:cs="宋体-方正超大字符集"/>
          <w:b/>
          <w:bCs/>
          <w:sz w:val="44"/>
          <w:szCs w:val="44"/>
        </w:rPr>
        <w:t>部门预算信息公开目录</w:t>
      </w:r>
    </w:p>
    <w:p>
      <w:pPr>
        <w:rPr>
          <w:rFonts w:ascii="仿宋" w:hAnsi="仿宋" w:eastAsia="仿宋" w:cs="仿宋_GB2312"/>
          <w:b/>
          <w:sz w:val="28"/>
          <w:szCs w:val="28"/>
        </w:rPr>
      </w:pPr>
    </w:p>
    <w:p>
      <w:pPr>
        <w:spacing w:line="600" w:lineRule="exact"/>
        <w:rPr>
          <w:rFonts w:ascii="仿宋" w:hAnsi="仿宋" w:eastAsia="仿宋" w:cs="仿宋_GB2312"/>
          <w:b/>
          <w:sz w:val="28"/>
          <w:szCs w:val="28"/>
        </w:rPr>
      </w:pPr>
      <w:r>
        <w:rPr>
          <w:rFonts w:hint="eastAsia" w:ascii="仿宋" w:hAnsi="仿宋" w:eastAsia="仿宋" w:cs="仿宋_GB2312"/>
          <w:b/>
          <w:sz w:val="28"/>
          <w:szCs w:val="28"/>
        </w:rPr>
        <w:t>部门预算公开表</w:t>
      </w:r>
    </w:p>
    <w:p>
      <w:pPr>
        <w:spacing w:line="600" w:lineRule="exact"/>
        <w:rPr>
          <w:rFonts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pPr>
        <w:spacing w:line="600" w:lineRule="exact"/>
        <w:rPr>
          <w:rFonts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pPr>
        <w:spacing w:line="600" w:lineRule="exact"/>
        <w:rPr>
          <w:rFonts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6</w:t>
      </w:r>
    </w:p>
    <w:p>
      <w:pPr>
        <w:spacing w:line="600" w:lineRule="exact"/>
        <w:rPr>
          <w:rFonts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7</w:t>
      </w:r>
    </w:p>
    <w:p>
      <w:pPr>
        <w:spacing w:line="600" w:lineRule="exact"/>
        <w:rPr>
          <w:rFonts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9</w:t>
      </w:r>
    </w:p>
    <w:p>
      <w:pPr>
        <w:spacing w:line="600" w:lineRule="exact"/>
        <w:rPr>
          <w:rFonts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10</w:t>
      </w:r>
    </w:p>
    <w:p>
      <w:pPr>
        <w:spacing w:line="600" w:lineRule="exact"/>
        <w:rPr>
          <w:rFonts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pPr>
        <w:spacing w:line="600" w:lineRule="exact"/>
        <w:rPr>
          <w:rFonts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12</w:t>
      </w:r>
    </w:p>
    <w:p>
      <w:pPr>
        <w:spacing w:line="600" w:lineRule="exact"/>
        <w:rPr>
          <w:rFonts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13</w:t>
      </w:r>
    </w:p>
    <w:p>
      <w:pPr>
        <w:spacing w:line="600" w:lineRule="exact"/>
        <w:rPr>
          <w:rFonts w:ascii="仿宋" w:hAnsi="仿宋" w:eastAsia="仿宋" w:cs="仿宋_GB2312"/>
          <w:sz w:val="28"/>
          <w:szCs w:val="28"/>
        </w:rPr>
      </w:pPr>
    </w:p>
    <w:p>
      <w:pPr>
        <w:spacing w:line="600" w:lineRule="exact"/>
        <w:rPr>
          <w:rFonts w:ascii="仿宋" w:hAnsi="仿宋" w:eastAsia="仿宋" w:cs="仿宋_GB2312"/>
          <w:b/>
          <w:sz w:val="28"/>
          <w:szCs w:val="28"/>
        </w:rPr>
      </w:pPr>
      <w:r>
        <w:rPr>
          <w:rFonts w:hint="eastAsia" w:ascii="仿宋" w:hAnsi="仿宋" w:eastAsia="仿宋" w:cs="仿宋_GB2312"/>
          <w:b/>
          <w:sz w:val="28"/>
          <w:szCs w:val="28"/>
        </w:rPr>
        <w:t>部门预算信息公开情况说明</w:t>
      </w:r>
    </w:p>
    <w:p>
      <w:pPr>
        <w:spacing w:line="600" w:lineRule="exact"/>
        <w:rPr>
          <w:rFonts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14</w:t>
      </w:r>
    </w:p>
    <w:p>
      <w:pPr>
        <w:spacing w:line="600" w:lineRule="exact"/>
        <w:rPr>
          <w:rFonts w:ascii="仿宋" w:hAnsi="仿宋" w:eastAsia="仿宋" w:cs="仿宋_GB2312"/>
          <w:sz w:val="28"/>
          <w:szCs w:val="28"/>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16</w:t>
      </w:r>
    </w:p>
    <w:p>
      <w:pPr>
        <w:spacing w:line="600" w:lineRule="exact"/>
        <w:rPr>
          <w:rFonts w:ascii="仿宋" w:hAnsi="仿宋" w:eastAsia="仿宋" w:cs="仿宋_GB2312"/>
          <w:sz w:val="28"/>
          <w:szCs w:val="28"/>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18</w:t>
      </w:r>
    </w:p>
    <w:p>
      <w:pPr>
        <w:spacing w:line="600" w:lineRule="exact"/>
        <w:rPr>
          <w:rFonts w:ascii="仿宋" w:hAnsi="仿宋" w:eastAsia="仿宋" w:cs="仿宋_GB2312"/>
          <w:sz w:val="28"/>
          <w:szCs w:val="28"/>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18</w:t>
      </w:r>
    </w:p>
    <w:p>
      <w:pPr>
        <w:spacing w:line="600" w:lineRule="exact"/>
        <w:rPr>
          <w:rFonts w:ascii="仿宋" w:hAnsi="仿宋" w:eastAsia="仿宋" w:cs="仿宋_GB2312"/>
          <w:sz w:val="28"/>
          <w:szCs w:val="28"/>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19</w:t>
      </w:r>
    </w:p>
    <w:p>
      <w:pPr>
        <w:spacing w:line="600" w:lineRule="exact"/>
        <w:rPr>
          <w:rFonts w:ascii="仿宋" w:hAnsi="仿宋" w:eastAsia="仿宋" w:cs="仿宋_GB2312"/>
          <w:sz w:val="28"/>
          <w:szCs w:val="28"/>
        </w:rPr>
      </w:pPr>
      <w:r>
        <w:rPr>
          <w:rFonts w:hint="eastAsia" w:ascii="仿宋" w:hAnsi="仿宋" w:eastAsia="仿宋" w:cs="仿宋_GB2312"/>
          <w:sz w:val="28"/>
          <w:szCs w:val="28"/>
        </w:rPr>
        <w:t>六、政府采购预算情况</w:t>
      </w:r>
      <w:r>
        <w:rPr>
          <w:rFonts w:ascii="仿宋" w:hAnsi="仿宋" w:eastAsia="仿宋" w:cs="仿宋_GB2312"/>
          <w:sz w:val="28"/>
          <w:szCs w:val="28"/>
        </w:rPr>
        <w:t>………………………………………………………………………………………</w:t>
      </w:r>
      <w:r>
        <w:rPr>
          <w:rFonts w:hint="eastAsia" w:ascii="仿宋" w:hAnsi="仿宋" w:eastAsia="仿宋" w:cs="仿宋_GB2312"/>
          <w:sz w:val="28"/>
          <w:szCs w:val="28"/>
        </w:rPr>
        <w:t>40</w:t>
      </w:r>
    </w:p>
    <w:p>
      <w:pPr>
        <w:spacing w:line="600" w:lineRule="exact"/>
        <w:rPr>
          <w:rFonts w:ascii="仿宋" w:hAnsi="仿宋" w:eastAsia="仿宋" w:cs="仿宋_GB2312"/>
          <w:sz w:val="28"/>
          <w:szCs w:val="28"/>
        </w:rPr>
      </w:pPr>
      <w:r>
        <w:rPr>
          <w:rFonts w:hint="eastAsia" w:ascii="仿宋" w:hAnsi="仿宋" w:eastAsia="仿宋" w:cs="仿宋_GB2312"/>
          <w:sz w:val="28"/>
          <w:szCs w:val="28"/>
        </w:rPr>
        <w:t>七、国有资产信息</w:t>
      </w:r>
      <w:r>
        <w:rPr>
          <w:rFonts w:ascii="仿宋" w:hAnsi="仿宋" w:eastAsia="仿宋" w:cs="仿宋_GB2312"/>
          <w:sz w:val="28"/>
          <w:szCs w:val="28"/>
        </w:rPr>
        <w:t>……………………………………………………………………………………………</w:t>
      </w:r>
      <w:r>
        <w:rPr>
          <w:rFonts w:hint="eastAsia" w:ascii="仿宋" w:hAnsi="仿宋" w:eastAsia="仿宋" w:cs="仿宋_GB2312"/>
          <w:sz w:val="28"/>
          <w:szCs w:val="28"/>
        </w:rPr>
        <w:t>41</w:t>
      </w:r>
    </w:p>
    <w:p>
      <w:pPr>
        <w:spacing w:line="600" w:lineRule="exact"/>
        <w:rPr>
          <w:rFonts w:ascii="仿宋" w:hAnsi="仿宋" w:eastAsia="仿宋" w:cs="仿宋_GB2312"/>
          <w:sz w:val="28"/>
          <w:szCs w:val="28"/>
        </w:rPr>
      </w:pPr>
      <w:r>
        <w:rPr>
          <w:rFonts w:hint="eastAsia" w:ascii="仿宋" w:hAnsi="仿宋" w:eastAsia="仿宋" w:cs="仿宋_GB2312"/>
          <w:sz w:val="28"/>
          <w:szCs w:val="28"/>
        </w:rPr>
        <w:t>八、名词解释</w:t>
      </w:r>
      <w:r>
        <w:rPr>
          <w:rFonts w:ascii="仿宋" w:hAnsi="仿宋" w:eastAsia="仿宋" w:cs="仿宋_GB2312"/>
          <w:sz w:val="28"/>
          <w:szCs w:val="28"/>
        </w:rPr>
        <w:t>…………………………………………………………………………………………………</w:t>
      </w:r>
      <w:r>
        <w:rPr>
          <w:rFonts w:hint="eastAsia" w:ascii="仿宋" w:hAnsi="仿宋" w:eastAsia="仿宋" w:cs="仿宋_GB2312"/>
          <w:sz w:val="28"/>
          <w:szCs w:val="28"/>
        </w:rPr>
        <w:t>41</w:t>
      </w:r>
    </w:p>
    <w:p>
      <w:pPr>
        <w:spacing w:line="600" w:lineRule="exact"/>
        <w:rPr>
          <w:rFonts w:ascii="仿宋" w:hAnsi="仿宋" w:eastAsia="仿宋" w:cs="仿宋_GB2312"/>
          <w:sz w:val="28"/>
          <w:szCs w:val="28"/>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rPr>
        <w:t>42</w:t>
      </w:r>
    </w:p>
    <w:p>
      <w:pPr>
        <w:spacing w:line="600" w:lineRule="exact"/>
        <w:jc w:val="center"/>
        <w:rPr>
          <w:rFonts w:ascii="宋体" w:hAnsi="宋体" w:eastAsia="宋体" w:cs="Times New Roman"/>
          <w:b/>
          <w:sz w:val="44"/>
          <w:szCs w:val="24"/>
        </w:rPr>
      </w:pPr>
    </w:p>
    <w:p>
      <w:pPr>
        <w:jc w:val="center"/>
        <w:rPr>
          <w:rFonts w:ascii="宋体" w:hAnsi="宋体" w:eastAsia="宋体" w:cs="Times New Roman"/>
          <w:b/>
          <w:sz w:val="44"/>
          <w:szCs w:val="24"/>
        </w:rPr>
      </w:pPr>
    </w:p>
    <w:p>
      <w:pPr>
        <w:jc w:val="center"/>
        <w:rPr>
          <w:rFonts w:ascii="宋体" w:hAnsi="宋体" w:eastAsia="宋体" w:cs="Times New Roman"/>
          <w:b/>
          <w:sz w:val="44"/>
          <w:szCs w:val="24"/>
        </w:rPr>
      </w:pPr>
    </w:p>
    <w:p>
      <w:pPr>
        <w:jc w:val="center"/>
        <w:rPr>
          <w:rFonts w:ascii="宋体" w:hAnsi="宋体" w:eastAsia="宋体" w:cs="Times New Roman"/>
          <w:b/>
          <w:sz w:val="44"/>
          <w:szCs w:val="24"/>
        </w:rPr>
      </w:pPr>
    </w:p>
    <w:tbl>
      <w:tblPr>
        <w:tblStyle w:val="6"/>
        <w:tblW w:w="12760" w:type="dxa"/>
        <w:jc w:val="center"/>
        <w:tblLayout w:type="autofit"/>
        <w:tblCellMar>
          <w:top w:w="0" w:type="dxa"/>
          <w:left w:w="108" w:type="dxa"/>
          <w:bottom w:w="0" w:type="dxa"/>
          <w:right w:w="108" w:type="dxa"/>
        </w:tblCellMar>
      </w:tblPr>
      <w:tblGrid>
        <w:gridCol w:w="760"/>
        <w:gridCol w:w="4200"/>
        <w:gridCol w:w="1800"/>
        <w:gridCol w:w="4200"/>
        <w:gridCol w:w="1800"/>
      </w:tblGrid>
      <w:tr>
        <w:tblPrEx>
          <w:tblCellMar>
            <w:top w:w="0" w:type="dxa"/>
            <w:left w:w="108" w:type="dxa"/>
            <w:bottom w:w="0" w:type="dxa"/>
            <w:right w:w="108" w:type="dxa"/>
          </w:tblCellMar>
        </w:tblPrEx>
        <w:trPr>
          <w:trHeight w:val="750" w:hRule="atLeast"/>
          <w:jc w:val="center"/>
        </w:trPr>
        <w:tc>
          <w:tcPr>
            <w:tcW w:w="12760" w:type="dxa"/>
            <w:gridSpan w:val="5"/>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部门预算收支总表</w:t>
            </w:r>
          </w:p>
        </w:tc>
      </w:tr>
      <w:tr>
        <w:tblPrEx>
          <w:tblCellMar>
            <w:top w:w="0" w:type="dxa"/>
            <w:left w:w="108" w:type="dxa"/>
            <w:bottom w:w="0" w:type="dxa"/>
            <w:right w:w="108" w:type="dxa"/>
          </w:tblCellMar>
        </w:tblPrEx>
        <w:trPr>
          <w:trHeight w:val="300" w:hRule="atLeast"/>
          <w:jc w:val="center"/>
        </w:trPr>
        <w:tc>
          <w:tcPr>
            <w:tcW w:w="6760" w:type="dxa"/>
            <w:gridSpan w:val="3"/>
            <w:tcBorders>
              <w:top w:val="nil"/>
              <w:left w:val="nil"/>
              <w:bottom w:val="nil"/>
              <w:right w:val="nil"/>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部门编码及名称：[897]中共涞源县委网络安全和信息化委员会办公室</w:t>
            </w:r>
          </w:p>
        </w:tc>
        <w:tc>
          <w:tcPr>
            <w:tcW w:w="4200" w:type="dxa"/>
            <w:tcBorders>
              <w:top w:val="nil"/>
              <w:left w:val="nil"/>
              <w:bottom w:val="nil"/>
              <w:right w:val="nil"/>
            </w:tcBorders>
            <w:shd w:val="clear" w:color="auto" w:fill="auto"/>
            <w:vAlign w:val="center"/>
          </w:tcPr>
          <w:p>
            <w:pPr>
              <w:widowControl/>
              <w:jc w:val="right"/>
              <w:rPr>
                <w:rFonts w:ascii="仿宋" w:hAnsi="仿宋" w:eastAsia="仿宋" w:cs="宋体"/>
                <w:kern w:val="0"/>
                <w:szCs w:val="21"/>
              </w:rPr>
            </w:pPr>
            <w:r>
              <w:rPr>
                <w:rFonts w:hint="eastAsia" w:ascii="仿宋" w:hAnsi="仿宋" w:eastAsia="仿宋" w:cs="宋体"/>
                <w:kern w:val="0"/>
                <w:szCs w:val="21"/>
              </w:rPr>
              <w:t>预算年度：20</w:t>
            </w:r>
            <w:r>
              <w:rPr>
                <w:rFonts w:ascii="仿宋" w:hAnsi="仿宋" w:eastAsia="仿宋" w:cs="宋体"/>
                <w:kern w:val="0"/>
                <w:szCs w:val="21"/>
              </w:rPr>
              <w:t>20</w:t>
            </w:r>
          </w:p>
        </w:tc>
        <w:tc>
          <w:tcPr>
            <w:tcW w:w="1800" w:type="dxa"/>
            <w:tcBorders>
              <w:top w:val="nil"/>
              <w:left w:val="nil"/>
              <w:bottom w:val="nil"/>
              <w:right w:val="nil"/>
            </w:tcBorders>
            <w:shd w:val="clear" w:color="auto" w:fill="auto"/>
            <w:vAlign w:val="center"/>
          </w:tcPr>
          <w:p>
            <w:pPr>
              <w:widowControl/>
              <w:jc w:val="right"/>
              <w:rPr>
                <w:rFonts w:ascii="仿宋" w:hAnsi="仿宋" w:eastAsia="仿宋" w:cs="宋体"/>
                <w:kern w:val="0"/>
                <w:szCs w:val="21"/>
              </w:rPr>
            </w:pPr>
            <w:r>
              <w:rPr>
                <w:rFonts w:hint="eastAsia" w:ascii="仿宋" w:hAnsi="仿宋" w:eastAsia="仿宋" w:cs="宋体"/>
                <w:kern w:val="0"/>
                <w:szCs w:val="21"/>
              </w:rPr>
              <w:t>金额单位：万元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6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收入</w:t>
            </w:r>
          </w:p>
        </w:tc>
        <w:tc>
          <w:tcPr>
            <w:tcW w:w="6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4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预算数</w:t>
            </w:r>
          </w:p>
        </w:tc>
        <w:tc>
          <w:tcPr>
            <w:tcW w:w="4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预算数</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4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4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r>
      <w:tr>
        <w:tblPrEx>
          <w:tblCellMar>
            <w:top w:w="0" w:type="dxa"/>
            <w:left w:w="108" w:type="dxa"/>
            <w:bottom w:w="0" w:type="dxa"/>
            <w:right w:w="108" w:type="dxa"/>
          </w:tblCellMar>
        </w:tblPrEx>
        <w:trPr>
          <w:trHeight w:val="7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一、财政拨款收入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ascii="仿宋" w:hAnsi="仿宋" w:eastAsia="仿宋" w:cs="宋体"/>
                <w:kern w:val="0"/>
                <w:sz w:val="18"/>
                <w:szCs w:val="18"/>
              </w:rPr>
              <w:t>82.12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一、一般公共服务支出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18"/>
                <w:szCs w:val="18"/>
              </w:rPr>
            </w:pPr>
            <w:r>
              <w:rPr>
                <w:rFonts w:ascii="Times New Roman" w:hAnsi="Times New Roman" w:eastAsia="宋体" w:cs="Times New Roman"/>
                <w:sz w:val="18"/>
                <w:szCs w:val="18"/>
              </w:rPr>
              <w:t>74.74</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二、上级拨款收入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二、外交支出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三、事业收入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三、国防支出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其中：财政专户收入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四、公共安全支出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四、经营收入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五、教育支出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五、附属单位上缴收入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六、科学技术支出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六、其他收入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七、文化旅游体育与传媒支出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八、社会保障和就业支出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5.61</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九、社会保险基金支出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十、卫生健康支出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十一、节能环保支出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十二、城乡社区支出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十三、农林水支出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十四、交通运输支出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十五、资源勘探信息等支出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十六、商业服务业等支出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十七、金融支出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十八、援助其他地区支出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十九、自然资源海洋气象等支出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二十、住房保障支出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1.77</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二十一、粮油物资储备支出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二十二、国有资本经营预算支出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二十三、灾害防治及应急管理支出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二十四、预备费</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二十五、其他支出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二十六、转移性支出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二十七、债务还本支出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二十八、债务付息支出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二十九、债务发行费用支出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本年收入合计</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18"/>
                <w:szCs w:val="18"/>
              </w:rPr>
            </w:pPr>
            <w:r>
              <w:rPr>
                <w:rFonts w:ascii="Times New Roman" w:hAnsi="Times New Roman" w:eastAsia="宋体" w:cs="Times New Roman"/>
                <w:sz w:val="18"/>
                <w:szCs w:val="18"/>
              </w:rPr>
              <w:t>82.12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本年支出合计</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82.12</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用事业基金弥补收支差额</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结余分配</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年初结转和结余</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年末结转和结余</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82.12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82.12</w:t>
            </w:r>
          </w:p>
        </w:tc>
      </w:tr>
    </w:tbl>
    <w:p>
      <w:pPr>
        <w:rPr>
          <w:rFonts w:ascii="仿宋" w:hAnsi="仿宋" w:eastAsia="仿宋"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tbl>
      <w:tblPr>
        <w:tblStyle w:val="6"/>
        <w:tblW w:w="13340" w:type="dxa"/>
        <w:jc w:val="center"/>
        <w:tblLayout w:type="autofit"/>
        <w:tblCellMar>
          <w:top w:w="0" w:type="dxa"/>
          <w:left w:w="108" w:type="dxa"/>
          <w:bottom w:w="0" w:type="dxa"/>
          <w:right w:w="108" w:type="dxa"/>
        </w:tblCellMar>
      </w:tblPr>
      <w:tblGrid>
        <w:gridCol w:w="760"/>
        <w:gridCol w:w="1660"/>
        <w:gridCol w:w="3000"/>
        <w:gridCol w:w="974"/>
        <w:gridCol w:w="851"/>
        <w:gridCol w:w="850"/>
        <w:gridCol w:w="965"/>
        <w:gridCol w:w="1060"/>
        <w:gridCol w:w="1200"/>
        <w:gridCol w:w="1028"/>
        <w:gridCol w:w="992"/>
      </w:tblGrid>
      <w:tr>
        <w:tblPrEx>
          <w:tblCellMar>
            <w:top w:w="0" w:type="dxa"/>
            <w:left w:w="108" w:type="dxa"/>
            <w:bottom w:w="0" w:type="dxa"/>
            <w:right w:w="108" w:type="dxa"/>
          </w:tblCellMar>
        </w:tblPrEx>
        <w:trPr>
          <w:trHeight w:val="555" w:hRule="atLeast"/>
          <w:jc w:val="center"/>
        </w:trPr>
        <w:tc>
          <w:tcPr>
            <w:tcW w:w="13340" w:type="dxa"/>
            <w:gridSpan w:val="11"/>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部门预算收入总表</w:t>
            </w:r>
          </w:p>
        </w:tc>
      </w:tr>
      <w:tr>
        <w:tblPrEx>
          <w:tblCellMar>
            <w:top w:w="0" w:type="dxa"/>
            <w:left w:w="108" w:type="dxa"/>
            <w:bottom w:w="0" w:type="dxa"/>
            <w:right w:w="108" w:type="dxa"/>
          </w:tblCellMar>
        </w:tblPrEx>
        <w:trPr>
          <w:trHeight w:val="300" w:hRule="atLeast"/>
          <w:jc w:val="center"/>
        </w:trPr>
        <w:tc>
          <w:tcPr>
            <w:tcW w:w="9060" w:type="dxa"/>
            <w:gridSpan w:val="7"/>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部门编码及名称：[897]中共涞源县委网络安全和信息化委员会办公室</w:t>
            </w:r>
          </w:p>
        </w:tc>
        <w:tc>
          <w:tcPr>
            <w:tcW w:w="2260"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2020"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本年收入合计</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财政拨款收入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上级补助收入</w:t>
            </w:r>
          </w:p>
        </w:tc>
        <w:tc>
          <w:tcPr>
            <w:tcW w:w="20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事业收入</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经营收入</w:t>
            </w:r>
          </w:p>
        </w:tc>
        <w:tc>
          <w:tcPr>
            <w:tcW w:w="10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附属单位上缴收入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其他收入</w:t>
            </w:r>
          </w:p>
        </w:tc>
      </w:tr>
      <w:tr>
        <w:tblPrEx>
          <w:tblCellMar>
            <w:top w:w="0" w:type="dxa"/>
            <w:left w:w="108" w:type="dxa"/>
            <w:bottom w:w="0" w:type="dxa"/>
            <w:right w:w="108" w:type="dxa"/>
          </w:tblCellMar>
        </w:tblPrEx>
        <w:trPr>
          <w:trHeight w:val="825"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其中：财政专户收入</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82</w:t>
            </w:r>
            <w:r>
              <w:rPr>
                <w:rFonts w:ascii="Times New Roman" w:hAnsi="Times New Roman" w:eastAsia="宋体" w:cs="Times New Roman"/>
                <w:kern w:val="0"/>
                <w:sz w:val="18"/>
                <w:szCs w:val="18"/>
              </w:rPr>
              <w:t>.12</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82</w:t>
            </w:r>
            <w:r>
              <w:rPr>
                <w:rFonts w:ascii="Times New Roman" w:hAnsi="Times New Roman" w:eastAsia="宋体" w:cs="Times New Roman"/>
                <w:sz w:val="18"/>
                <w:szCs w:val="18"/>
              </w:rPr>
              <w:t>.12</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一般公共服务支出</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74</w:t>
            </w:r>
            <w:r>
              <w:rPr>
                <w:rFonts w:ascii="Times New Roman" w:hAnsi="Times New Roman" w:eastAsia="宋体" w:cs="Times New Roman"/>
                <w:sz w:val="18"/>
                <w:szCs w:val="18"/>
              </w:rPr>
              <w:t>.74</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74</w:t>
            </w:r>
            <w:r>
              <w:rPr>
                <w:rFonts w:ascii="Times New Roman" w:hAnsi="Times New Roman" w:eastAsia="宋体" w:cs="Times New Roman"/>
                <w:sz w:val="18"/>
                <w:szCs w:val="18"/>
              </w:rPr>
              <w:t>.74</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2010</w:t>
            </w:r>
            <w:r>
              <w:rPr>
                <w:rFonts w:ascii="仿宋" w:hAnsi="仿宋" w:eastAsia="仿宋" w:cs="宋体"/>
                <w:kern w:val="0"/>
                <w:sz w:val="18"/>
                <w:szCs w:val="18"/>
              </w:rPr>
              <w:t>4</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发展与</w:t>
            </w:r>
            <w:r>
              <w:rPr>
                <w:rFonts w:ascii="仿宋" w:hAnsi="仿宋" w:eastAsia="仿宋" w:cs="宋体"/>
                <w:kern w:val="0"/>
                <w:sz w:val="18"/>
                <w:szCs w:val="18"/>
              </w:rPr>
              <w:t>改革事务</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2010</w:t>
            </w:r>
            <w:r>
              <w:rPr>
                <w:rFonts w:ascii="仿宋" w:hAnsi="仿宋" w:eastAsia="仿宋" w:cs="宋体"/>
                <w:kern w:val="0"/>
                <w:sz w:val="18"/>
                <w:szCs w:val="18"/>
              </w:rPr>
              <w:t>4</w:t>
            </w:r>
            <w:r>
              <w:rPr>
                <w:rFonts w:hint="eastAsia" w:ascii="仿宋" w:hAnsi="仿宋" w:eastAsia="仿宋" w:cs="宋体"/>
                <w:kern w:val="0"/>
                <w:sz w:val="18"/>
                <w:szCs w:val="18"/>
              </w:rPr>
              <w:t>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行政运行</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20131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党委</w:t>
            </w:r>
            <w:r>
              <w:rPr>
                <w:rFonts w:ascii="仿宋" w:hAnsi="仿宋" w:eastAsia="仿宋" w:cs="宋体"/>
                <w:kern w:val="0"/>
                <w:sz w:val="18"/>
                <w:szCs w:val="18"/>
              </w:rPr>
              <w:t>办公厅（</w:t>
            </w:r>
            <w:r>
              <w:rPr>
                <w:rFonts w:hint="eastAsia" w:ascii="仿宋" w:hAnsi="仿宋" w:eastAsia="仿宋" w:cs="宋体"/>
                <w:kern w:val="0"/>
                <w:sz w:val="18"/>
                <w:szCs w:val="18"/>
              </w:rPr>
              <w:t>室</w:t>
            </w:r>
            <w:r>
              <w:rPr>
                <w:rFonts w:ascii="仿宋" w:hAnsi="仿宋" w:eastAsia="仿宋" w:cs="宋体"/>
                <w:kern w:val="0"/>
                <w:sz w:val="18"/>
                <w:szCs w:val="18"/>
              </w:rPr>
              <w:t>）</w:t>
            </w:r>
            <w:r>
              <w:rPr>
                <w:rFonts w:hint="eastAsia" w:ascii="仿宋" w:hAnsi="仿宋" w:eastAsia="仿宋" w:cs="宋体"/>
                <w:kern w:val="0"/>
                <w:sz w:val="18"/>
                <w:szCs w:val="18"/>
              </w:rPr>
              <w:t>及</w:t>
            </w:r>
            <w:r>
              <w:rPr>
                <w:rFonts w:ascii="仿宋" w:hAnsi="仿宋" w:eastAsia="仿宋" w:cs="宋体"/>
                <w:kern w:val="0"/>
                <w:sz w:val="18"/>
                <w:szCs w:val="18"/>
              </w:rPr>
              <w:t>相关</w:t>
            </w:r>
            <w:r>
              <w:rPr>
                <w:rFonts w:hint="eastAsia" w:ascii="仿宋" w:hAnsi="仿宋" w:eastAsia="仿宋" w:cs="宋体"/>
                <w:kern w:val="0"/>
                <w:sz w:val="18"/>
                <w:szCs w:val="18"/>
              </w:rPr>
              <w:t>机构</w:t>
            </w:r>
            <w:r>
              <w:rPr>
                <w:rFonts w:ascii="仿宋" w:hAnsi="仿宋" w:eastAsia="仿宋" w:cs="宋体"/>
                <w:kern w:val="0"/>
                <w:sz w:val="18"/>
                <w:szCs w:val="18"/>
              </w:rPr>
              <w:t>事务</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w:t>
            </w:r>
            <w:r>
              <w:rPr>
                <w:rFonts w:ascii="仿宋" w:hAnsi="仿宋" w:eastAsia="仿宋" w:cs="宋体"/>
                <w:kern w:val="0"/>
                <w:sz w:val="18"/>
                <w:szCs w:val="18"/>
              </w:rPr>
              <w:t>3105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专项业务</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20137</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网</w:t>
            </w:r>
            <w:r>
              <w:rPr>
                <w:rFonts w:ascii="仿宋" w:hAnsi="仿宋" w:eastAsia="仿宋" w:cs="宋体"/>
                <w:kern w:val="0"/>
                <w:sz w:val="18"/>
                <w:szCs w:val="18"/>
              </w:rPr>
              <w:t>信事务</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2013701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w:t>
            </w:r>
            <w:r>
              <w:rPr>
                <w:rFonts w:ascii="仿宋" w:hAnsi="仿宋" w:eastAsia="仿宋" w:cs="宋体"/>
                <w:kern w:val="0"/>
                <w:sz w:val="18"/>
                <w:szCs w:val="18"/>
              </w:rPr>
              <w:t>运行</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208</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社会保障和就业支出</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行政事业单位养老支出</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5.61</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机关事业单位基本养老保险缴费支出</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3.74</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.74</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2080506</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机关事业单位职业年金缴费支出</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1.87</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.87</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住房保障支出</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1.77</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住房改革支出</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1.77</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97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85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bl>
    <w:p>
      <w:pPr>
        <w:rPr>
          <w:rFonts w:ascii="仿宋" w:hAnsi="仿宋" w:eastAsia="仿宋" w:cs="仿宋_GB2312"/>
          <w:sz w:val="30"/>
          <w:szCs w:val="30"/>
        </w:rPr>
      </w:pPr>
    </w:p>
    <w:p>
      <w:pPr>
        <w:rPr>
          <w:rFonts w:ascii="仿宋" w:hAnsi="仿宋" w:eastAsia="仿宋" w:cs="仿宋_GB2312"/>
          <w:sz w:val="30"/>
          <w:szCs w:val="30"/>
        </w:rPr>
      </w:pPr>
    </w:p>
    <w:tbl>
      <w:tblPr>
        <w:tblStyle w:val="6"/>
        <w:tblW w:w="13705" w:type="dxa"/>
        <w:jc w:val="center"/>
        <w:tblLayout w:type="autofit"/>
        <w:tblCellMar>
          <w:top w:w="0" w:type="dxa"/>
          <w:left w:w="108" w:type="dxa"/>
          <w:bottom w:w="0" w:type="dxa"/>
          <w:right w:w="108" w:type="dxa"/>
        </w:tblCellMar>
      </w:tblPr>
      <w:tblGrid>
        <w:gridCol w:w="760"/>
        <w:gridCol w:w="1720"/>
        <w:gridCol w:w="1960"/>
        <w:gridCol w:w="1245"/>
        <w:gridCol w:w="1115"/>
        <w:gridCol w:w="1000"/>
        <w:gridCol w:w="1105"/>
        <w:gridCol w:w="182"/>
        <w:gridCol w:w="918"/>
        <w:gridCol w:w="358"/>
        <w:gridCol w:w="882"/>
        <w:gridCol w:w="252"/>
        <w:gridCol w:w="928"/>
        <w:gridCol w:w="915"/>
        <w:gridCol w:w="365"/>
      </w:tblGrid>
      <w:tr>
        <w:tblPrEx>
          <w:tblCellMar>
            <w:top w:w="0" w:type="dxa"/>
            <w:left w:w="108" w:type="dxa"/>
            <w:bottom w:w="0" w:type="dxa"/>
            <w:right w:w="108" w:type="dxa"/>
          </w:tblCellMar>
        </w:tblPrEx>
        <w:trPr>
          <w:gridAfter w:val="1"/>
          <w:wAfter w:w="365" w:type="dxa"/>
          <w:trHeight w:val="705" w:hRule="atLeast"/>
          <w:jc w:val="center"/>
        </w:trPr>
        <w:tc>
          <w:tcPr>
            <w:tcW w:w="13340" w:type="dxa"/>
            <w:gridSpan w:val="14"/>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部门预算支出总表</w:t>
            </w:r>
          </w:p>
        </w:tc>
      </w:tr>
      <w:tr>
        <w:tblPrEx>
          <w:tblCellMar>
            <w:top w:w="0" w:type="dxa"/>
            <w:left w:w="108" w:type="dxa"/>
            <w:bottom w:w="0" w:type="dxa"/>
            <w:right w:w="108" w:type="dxa"/>
          </w:tblCellMar>
        </w:tblPrEx>
        <w:trPr>
          <w:gridAfter w:val="1"/>
          <w:wAfter w:w="365" w:type="dxa"/>
          <w:trHeight w:val="495" w:hRule="atLeast"/>
          <w:jc w:val="center"/>
        </w:trPr>
        <w:tc>
          <w:tcPr>
            <w:tcW w:w="7800" w:type="dxa"/>
            <w:gridSpan w:val="6"/>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部门编码及名称：[897]中共涞源县委网络安全和信息化委员会办公室</w:t>
            </w:r>
          </w:p>
        </w:tc>
        <w:tc>
          <w:tcPr>
            <w:tcW w:w="2563" w:type="dxa"/>
            <w:gridSpan w:val="4"/>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2977" w:type="dxa"/>
            <w:gridSpan w:val="4"/>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gridAfter w:val="1"/>
          <w:wAfter w:w="365" w:type="dxa"/>
          <w:trHeight w:val="495"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9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w:t>
            </w:r>
          </w:p>
        </w:tc>
        <w:tc>
          <w:tcPr>
            <w:tcW w:w="11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12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上缴上级支出</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经营支出</w:t>
            </w:r>
          </w:p>
        </w:tc>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对附属单位补助支出</w:t>
            </w:r>
          </w:p>
        </w:tc>
      </w:tr>
      <w:tr>
        <w:tblPrEx>
          <w:tblCellMar>
            <w:top w:w="0" w:type="dxa"/>
            <w:left w:w="108" w:type="dxa"/>
            <w:bottom w:w="0" w:type="dxa"/>
            <w:right w:w="108" w:type="dxa"/>
          </w:tblCellMar>
        </w:tblPrEx>
        <w:trPr>
          <w:gridAfter w:val="1"/>
          <w:wAfter w:w="365" w:type="dxa"/>
          <w:trHeight w:val="495"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功能分类科目编码</w:t>
            </w:r>
          </w:p>
        </w:tc>
        <w:tc>
          <w:tcPr>
            <w:tcW w:w="32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2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82</w:t>
            </w:r>
            <w:r>
              <w:rPr>
                <w:rFonts w:ascii="Times New Roman" w:hAnsi="Times New Roman" w:eastAsia="宋体" w:cs="Times New Roman"/>
                <w:kern w:val="0"/>
                <w:sz w:val="18"/>
                <w:szCs w:val="18"/>
              </w:rPr>
              <w:t>.12</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82</w:t>
            </w:r>
            <w:r>
              <w:rPr>
                <w:rFonts w:ascii="Times New Roman" w:hAnsi="Times New Roman" w:eastAsia="宋体" w:cs="Times New Roman"/>
                <w:sz w:val="18"/>
                <w:szCs w:val="18"/>
              </w:rPr>
              <w:t>.12</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一般公共服务支出</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74</w:t>
            </w:r>
            <w:r>
              <w:rPr>
                <w:rFonts w:ascii="Times New Roman" w:hAnsi="Times New Roman" w:eastAsia="宋体" w:cs="Times New Roman"/>
                <w:sz w:val="18"/>
                <w:szCs w:val="18"/>
              </w:rPr>
              <w:t>.74</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74</w:t>
            </w:r>
            <w:r>
              <w:rPr>
                <w:rFonts w:ascii="Times New Roman" w:hAnsi="Times New Roman" w:eastAsia="宋体" w:cs="Times New Roman"/>
                <w:sz w:val="18"/>
                <w:szCs w:val="18"/>
              </w:rPr>
              <w:t>.74</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2010</w:t>
            </w:r>
            <w:r>
              <w:rPr>
                <w:rFonts w:ascii="仿宋" w:hAnsi="仿宋" w:eastAsia="仿宋" w:cs="宋体"/>
                <w:kern w:val="0"/>
                <w:sz w:val="18"/>
                <w:szCs w:val="18"/>
              </w:rPr>
              <w:t>4</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发展与</w:t>
            </w:r>
            <w:r>
              <w:rPr>
                <w:rFonts w:ascii="仿宋" w:hAnsi="仿宋" w:eastAsia="仿宋" w:cs="宋体"/>
                <w:kern w:val="0"/>
                <w:sz w:val="18"/>
                <w:szCs w:val="18"/>
              </w:rPr>
              <w:t>改革事务</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2010</w:t>
            </w:r>
            <w:r>
              <w:rPr>
                <w:rFonts w:ascii="仿宋" w:hAnsi="仿宋" w:eastAsia="仿宋" w:cs="宋体"/>
                <w:kern w:val="0"/>
                <w:sz w:val="18"/>
                <w:szCs w:val="18"/>
              </w:rPr>
              <w:t>4</w:t>
            </w:r>
            <w:r>
              <w:rPr>
                <w:rFonts w:hint="eastAsia" w:ascii="仿宋" w:hAnsi="仿宋" w:eastAsia="仿宋" w:cs="宋体"/>
                <w:kern w:val="0"/>
                <w:sz w:val="18"/>
                <w:szCs w:val="18"/>
              </w:rPr>
              <w:t>01</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行政运行</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20131</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党委</w:t>
            </w:r>
            <w:r>
              <w:rPr>
                <w:rFonts w:ascii="仿宋" w:hAnsi="仿宋" w:eastAsia="仿宋" w:cs="宋体"/>
                <w:kern w:val="0"/>
                <w:sz w:val="18"/>
                <w:szCs w:val="18"/>
              </w:rPr>
              <w:t>办公厅（</w:t>
            </w:r>
            <w:r>
              <w:rPr>
                <w:rFonts w:hint="eastAsia" w:ascii="仿宋" w:hAnsi="仿宋" w:eastAsia="仿宋" w:cs="宋体"/>
                <w:kern w:val="0"/>
                <w:sz w:val="18"/>
                <w:szCs w:val="18"/>
              </w:rPr>
              <w:t>室</w:t>
            </w:r>
            <w:r>
              <w:rPr>
                <w:rFonts w:ascii="仿宋" w:hAnsi="仿宋" w:eastAsia="仿宋" w:cs="宋体"/>
                <w:kern w:val="0"/>
                <w:sz w:val="18"/>
                <w:szCs w:val="18"/>
              </w:rPr>
              <w:t>）</w:t>
            </w:r>
            <w:r>
              <w:rPr>
                <w:rFonts w:hint="eastAsia" w:ascii="仿宋" w:hAnsi="仿宋" w:eastAsia="仿宋" w:cs="宋体"/>
                <w:kern w:val="0"/>
                <w:sz w:val="18"/>
                <w:szCs w:val="18"/>
              </w:rPr>
              <w:t>及</w:t>
            </w:r>
            <w:r>
              <w:rPr>
                <w:rFonts w:ascii="仿宋" w:hAnsi="仿宋" w:eastAsia="仿宋" w:cs="宋体"/>
                <w:kern w:val="0"/>
                <w:sz w:val="18"/>
                <w:szCs w:val="18"/>
              </w:rPr>
              <w:t>相关</w:t>
            </w:r>
            <w:r>
              <w:rPr>
                <w:rFonts w:hint="eastAsia" w:ascii="仿宋" w:hAnsi="仿宋" w:eastAsia="仿宋" w:cs="宋体"/>
                <w:kern w:val="0"/>
                <w:sz w:val="18"/>
                <w:szCs w:val="18"/>
              </w:rPr>
              <w:t>机构</w:t>
            </w:r>
            <w:r>
              <w:rPr>
                <w:rFonts w:ascii="仿宋" w:hAnsi="仿宋" w:eastAsia="仿宋" w:cs="宋体"/>
                <w:kern w:val="0"/>
                <w:sz w:val="18"/>
                <w:szCs w:val="18"/>
              </w:rPr>
              <w:t>事务</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w:t>
            </w:r>
            <w:r>
              <w:rPr>
                <w:rFonts w:ascii="仿宋" w:hAnsi="仿宋" w:eastAsia="仿宋" w:cs="宋体"/>
                <w:kern w:val="0"/>
                <w:sz w:val="18"/>
                <w:szCs w:val="18"/>
              </w:rPr>
              <w:t>3105</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专项业务</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20137</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网</w:t>
            </w:r>
            <w:r>
              <w:rPr>
                <w:rFonts w:ascii="仿宋" w:hAnsi="仿宋" w:eastAsia="仿宋" w:cs="宋体"/>
                <w:kern w:val="0"/>
                <w:sz w:val="18"/>
                <w:szCs w:val="18"/>
              </w:rPr>
              <w:t>信事务</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2013701</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w:t>
            </w:r>
            <w:r>
              <w:rPr>
                <w:rFonts w:ascii="仿宋" w:hAnsi="仿宋" w:eastAsia="仿宋" w:cs="宋体"/>
                <w:kern w:val="0"/>
                <w:sz w:val="18"/>
                <w:szCs w:val="18"/>
              </w:rPr>
              <w:t>运行</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208</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社会保障和就业支出</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行政事业单位养老支出</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5.61</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2080505</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机关事业单位基本养老保险缴费支出</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3.74</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.74</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2080506</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机关事业单位职业年金缴费支出</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1.87</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.87</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住房保障支出</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1.77</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住房改革支出</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1.77</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365"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2210201</w:t>
            </w:r>
          </w:p>
        </w:tc>
        <w:tc>
          <w:tcPr>
            <w:tcW w:w="3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111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287"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843"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750" w:hRule="atLeast"/>
          <w:jc w:val="center"/>
        </w:trPr>
        <w:tc>
          <w:tcPr>
            <w:tcW w:w="13705" w:type="dxa"/>
            <w:gridSpan w:val="15"/>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部门预算财政拨款收支总表</w:t>
            </w:r>
          </w:p>
        </w:tc>
      </w:tr>
      <w:tr>
        <w:tblPrEx>
          <w:tblCellMar>
            <w:top w:w="0" w:type="dxa"/>
            <w:left w:w="108" w:type="dxa"/>
            <w:bottom w:w="0" w:type="dxa"/>
            <w:right w:w="108" w:type="dxa"/>
          </w:tblCellMar>
        </w:tblPrEx>
        <w:trPr>
          <w:trHeight w:val="300" w:hRule="atLeast"/>
          <w:jc w:val="center"/>
        </w:trPr>
        <w:tc>
          <w:tcPr>
            <w:tcW w:w="8905" w:type="dxa"/>
            <w:gridSpan w:val="7"/>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部门编码及名称：[897]中共涞源县委网络安全和信息化委员会办公室</w:t>
            </w:r>
          </w:p>
        </w:tc>
        <w:tc>
          <w:tcPr>
            <w:tcW w:w="2340" w:type="dxa"/>
            <w:gridSpan w:val="4"/>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2460" w:type="dxa"/>
            <w:gridSpan w:val="4"/>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9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收入</w:t>
            </w:r>
          </w:p>
        </w:tc>
        <w:tc>
          <w:tcPr>
            <w:tcW w:w="802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支出</w:t>
            </w:r>
          </w:p>
        </w:tc>
      </w:tr>
      <w:tr>
        <w:tblPrEx>
          <w:tblCellMar>
            <w:top w:w="0" w:type="dxa"/>
            <w:left w:w="108" w:type="dxa"/>
            <w:bottom w:w="0" w:type="dxa"/>
            <w:right w:w="108" w:type="dxa"/>
          </w:tblCellMar>
        </w:tblPrEx>
        <w:trPr>
          <w:trHeight w:val="6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金额</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1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一般公共预算财政拨款</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政府性基金预算财政拨款</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国有资本经营预算财政拨款</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3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1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一、一般公共预算财政拨款</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18"/>
                <w:szCs w:val="18"/>
              </w:rPr>
            </w:pPr>
            <w:r>
              <w:rPr>
                <w:rFonts w:ascii="Times New Roman" w:hAnsi="Times New Roman" w:eastAsia="宋体" w:cs="Times New Roman"/>
                <w:sz w:val="18"/>
                <w:szCs w:val="18"/>
              </w:rPr>
              <w:t>82.12</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一、一般公共服务支出</w:t>
            </w:r>
          </w:p>
        </w:tc>
        <w:tc>
          <w:tcPr>
            <w:tcW w:w="11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74</w:t>
            </w:r>
            <w:r>
              <w:rPr>
                <w:rFonts w:ascii="Times New Roman" w:hAnsi="Times New Roman" w:eastAsia="宋体" w:cs="Times New Roman"/>
                <w:kern w:val="0"/>
                <w:sz w:val="18"/>
                <w:szCs w:val="18"/>
              </w:rPr>
              <w:t>.74</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74</w:t>
            </w:r>
            <w:r>
              <w:rPr>
                <w:rFonts w:ascii="Times New Roman" w:hAnsi="Times New Roman" w:eastAsia="宋体" w:cs="Times New Roman"/>
                <w:sz w:val="18"/>
                <w:szCs w:val="18"/>
              </w:rPr>
              <w:t>.74</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二、政府性基金预算财政拨款</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二、外交支出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三、国有资本经营预算财政拨款</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三、国防支出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四、公共安全支出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五、教育支出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六、科学技术支出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七、文化旅游体育与传媒支出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八、社会保障和就业支出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九、社会保险基金支出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十、卫生健康支出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十一、节能环保支出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十二、城乡社区支出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十三、农林水支出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十四、交通运输支出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十五、资源勘探信息等支出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十六、商业服务业等支出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十七、金融支出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十八、援助其他地区支出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十九、自然资源海洋气象等支出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二十、住房保障支出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二十一、粮油物资储备支出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二十二、国有资本经营预算支出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二十三、灾害防治及应急管理支出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二十四、预备费</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二十五、其他支出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二十六、转移性支出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二十七、债务还本支出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二十八、债务付息支出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　</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二十九、债务发行费用支出</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本年收入合计</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82.12</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本年支出合计</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82.12</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82.12</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年初财政拨款结转和结余</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年末结转和结余</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3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24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82.12</w:t>
            </w:r>
          </w:p>
        </w:tc>
        <w:tc>
          <w:tcPr>
            <w:tcW w:w="32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10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82</w:t>
            </w:r>
            <w:r>
              <w:rPr>
                <w:rFonts w:ascii="Times New Roman" w:hAnsi="Times New Roman" w:eastAsia="宋体" w:cs="Times New Roman"/>
                <w:sz w:val="18"/>
                <w:szCs w:val="18"/>
              </w:rPr>
              <w:t>.12</w:t>
            </w:r>
          </w:p>
        </w:tc>
        <w:tc>
          <w:tcPr>
            <w:tcW w:w="124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82</w:t>
            </w:r>
            <w:r>
              <w:rPr>
                <w:rFonts w:ascii="Times New Roman" w:hAnsi="Times New Roman" w:eastAsia="宋体" w:cs="Times New Roman"/>
                <w:sz w:val="18"/>
                <w:szCs w:val="18"/>
              </w:rPr>
              <w:t>.12</w:t>
            </w:r>
          </w:p>
        </w:tc>
        <w:tc>
          <w:tcPr>
            <w:tcW w:w="11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c>
          <w:tcPr>
            <w:tcW w:w="1280"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bl>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tbl>
      <w:tblPr>
        <w:tblStyle w:val="6"/>
        <w:tblW w:w="14480" w:type="dxa"/>
        <w:jc w:val="center"/>
        <w:tblLayout w:type="autofit"/>
        <w:tblCellMar>
          <w:top w:w="0" w:type="dxa"/>
          <w:left w:w="108" w:type="dxa"/>
          <w:bottom w:w="0" w:type="dxa"/>
          <w:right w:w="108" w:type="dxa"/>
        </w:tblCellMar>
      </w:tblPr>
      <w:tblGrid>
        <w:gridCol w:w="760"/>
        <w:gridCol w:w="1720"/>
        <w:gridCol w:w="370"/>
        <w:gridCol w:w="2630"/>
        <w:gridCol w:w="205"/>
        <w:gridCol w:w="284"/>
        <w:gridCol w:w="1711"/>
        <w:gridCol w:w="415"/>
        <w:gridCol w:w="385"/>
        <w:gridCol w:w="1460"/>
        <w:gridCol w:w="140"/>
        <w:gridCol w:w="283"/>
        <w:gridCol w:w="1117"/>
        <w:gridCol w:w="584"/>
        <w:gridCol w:w="992"/>
        <w:gridCol w:w="1424"/>
      </w:tblGrid>
      <w:tr>
        <w:tblPrEx>
          <w:tblCellMar>
            <w:top w:w="0" w:type="dxa"/>
            <w:left w:w="108" w:type="dxa"/>
            <w:bottom w:w="0" w:type="dxa"/>
            <w:right w:w="108" w:type="dxa"/>
          </w:tblCellMar>
        </w:tblPrEx>
        <w:trPr>
          <w:gridAfter w:val="2"/>
          <w:wAfter w:w="2416" w:type="dxa"/>
          <w:trHeight w:val="690" w:hRule="atLeast"/>
          <w:jc w:val="center"/>
        </w:trPr>
        <w:tc>
          <w:tcPr>
            <w:tcW w:w="12064" w:type="dxa"/>
            <w:gridSpan w:val="14"/>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部门预算一般公共预算财政拨款支出表</w:t>
            </w:r>
          </w:p>
        </w:tc>
      </w:tr>
      <w:tr>
        <w:tblPrEx>
          <w:tblCellMar>
            <w:top w:w="0" w:type="dxa"/>
            <w:left w:w="108" w:type="dxa"/>
            <w:bottom w:w="0" w:type="dxa"/>
            <w:right w:w="108" w:type="dxa"/>
          </w:tblCellMar>
        </w:tblPrEx>
        <w:trPr>
          <w:gridAfter w:val="2"/>
          <w:wAfter w:w="2416" w:type="dxa"/>
          <w:trHeight w:val="225" w:hRule="atLeast"/>
          <w:jc w:val="center"/>
        </w:trPr>
        <w:tc>
          <w:tcPr>
            <w:tcW w:w="8095" w:type="dxa"/>
            <w:gridSpan w:val="8"/>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部门编码及名称：[897]中共涞源县委网络安全和信息化委员会办公室</w:t>
            </w:r>
          </w:p>
        </w:tc>
        <w:tc>
          <w:tcPr>
            <w:tcW w:w="1985" w:type="dxa"/>
            <w:gridSpan w:val="3"/>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1984" w:type="dxa"/>
            <w:gridSpan w:val="3"/>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gridAfter w:val="2"/>
          <w:wAfter w:w="2416" w:type="dxa"/>
          <w:trHeight w:val="225"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92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241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98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198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gridAfter w:val="2"/>
          <w:wAfter w:w="2416" w:type="dxa"/>
          <w:trHeight w:val="225"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209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9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98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209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41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98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241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82</w:t>
            </w:r>
            <w:r>
              <w:rPr>
                <w:rFonts w:ascii="Times New Roman" w:hAnsi="Times New Roman" w:eastAsia="宋体" w:cs="Times New Roman"/>
                <w:kern w:val="0"/>
                <w:sz w:val="18"/>
                <w:szCs w:val="18"/>
              </w:rPr>
              <w:t>.12</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82</w:t>
            </w:r>
            <w:r>
              <w:rPr>
                <w:rFonts w:ascii="Times New Roman" w:hAnsi="Times New Roman" w:eastAsia="宋体" w:cs="Times New Roman"/>
                <w:sz w:val="18"/>
                <w:szCs w:val="18"/>
              </w:rPr>
              <w:t>.12</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一般公共服务支出</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74</w:t>
            </w:r>
            <w:r>
              <w:rPr>
                <w:rFonts w:ascii="Times New Roman" w:hAnsi="Times New Roman" w:eastAsia="宋体" w:cs="Times New Roman"/>
                <w:sz w:val="18"/>
                <w:szCs w:val="18"/>
              </w:rPr>
              <w:t>.74</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74</w:t>
            </w:r>
            <w:r>
              <w:rPr>
                <w:rFonts w:ascii="Times New Roman" w:hAnsi="Times New Roman" w:eastAsia="宋体" w:cs="Times New Roman"/>
                <w:sz w:val="18"/>
                <w:szCs w:val="18"/>
              </w:rPr>
              <w:t>.74</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2010</w:t>
            </w:r>
            <w:r>
              <w:rPr>
                <w:rFonts w:ascii="仿宋" w:hAnsi="仿宋" w:eastAsia="仿宋" w:cs="宋体"/>
                <w:kern w:val="0"/>
                <w:sz w:val="18"/>
                <w:szCs w:val="18"/>
              </w:rPr>
              <w:t>4</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发展与</w:t>
            </w:r>
            <w:r>
              <w:rPr>
                <w:rFonts w:ascii="仿宋" w:hAnsi="仿宋" w:eastAsia="仿宋" w:cs="宋体"/>
                <w:kern w:val="0"/>
                <w:sz w:val="18"/>
                <w:szCs w:val="18"/>
              </w:rPr>
              <w:t>改革事务</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2010</w:t>
            </w:r>
            <w:r>
              <w:rPr>
                <w:rFonts w:ascii="仿宋" w:hAnsi="仿宋" w:eastAsia="仿宋" w:cs="宋体"/>
                <w:kern w:val="0"/>
                <w:sz w:val="18"/>
                <w:szCs w:val="18"/>
              </w:rPr>
              <w:t>4</w:t>
            </w:r>
            <w:r>
              <w:rPr>
                <w:rFonts w:hint="eastAsia" w:ascii="仿宋" w:hAnsi="仿宋" w:eastAsia="仿宋" w:cs="宋体"/>
                <w:kern w:val="0"/>
                <w:sz w:val="18"/>
                <w:szCs w:val="18"/>
              </w:rPr>
              <w:t>01</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行政运行</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20131</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党委</w:t>
            </w:r>
            <w:r>
              <w:rPr>
                <w:rFonts w:ascii="仿宋" w:hAnsi="仿宋" w:eastAsia="仿宋" w:cs="宋体"/>
                <w:kern w:val="0"/>
                <w:sz w:val="18"/>
                <w:szCs w:val="18"/>
              </w:rPr>
              <w:t>办公厅（</w:t>
            </w:r>
            <w:r>
              <w:rPr>
                <w:rFonts w:hint="eastAsia" w:ascii="仿宋" w:hAnsi="仿宋" w:eastAsia="仿宋" w:cs="宋体"/>
                <w:kern w:val="0"/>
                <w:sz w:val="18"/>
                <w:szCs w:val="18"/>
              </w:rPr>
              <w:t>室</w:t>
            </w:r>
            <w:r>
              <w:rPr>
                <w:rFonts w:ascii="仿宋" w:hAnsi="仿宋" w:eastAsia="仿宋" w:cs="宋体"/>
                <w:kern w:val="0"/>
                <w:sz w:val="18"/>
                <w:szCs w:val="18"/>
              </w:rPr>
              <w:t>）</w:t>
            </w:r>
            <w:r>
              <w:rPr>
                <w:rFonts w:hint="eastAsia" w:ascii="仿宋" w:hAnsi="仿宋" w:eastAsia="仿宋" w:cs="宋体"/>
                <w:kern w:val="0"/>
                <w:sz w:val="18"/>
                <w:szCs w:val="18"/>
              </w:rPr>
              <w:t>及</w:t>
            </w:r>
            <w:r>
              <w:rPr>
                <w:rFonts w:ascii="仿宋" w:hAnsi="仿宋" w:eastAsia="仿宋" w:cs="宋体"/>
                <w:kern w:val="0"/>
                <w:sz w:val="18"/>
                <w:szCs w:val="18"/>
              </w:rPr>
              <w:t>相关</w:t>
            </w:r>
            <w:r>
              <w:rPr>
                <w:rFonts w:hint="eastAsia" w:ascii="仿宋" w:hAnsi="仿宋" w:eastAsia="仿宋" w:cs="宋体"/>
                <w:kern w:val="0"/>
                <w:sz w:val="18"/>
                <w:szCs w:val="18"/>
              </w:rPr>
              <w:t>机构</w:t>
            </w:r>
            <w:r>
              <w:rPr>
                <w:rFonts w:ascii="仿宋" w:hAnsi="仿宋" w:eastAsia="仿宋" w:cs="宋体"/>
                <w:kern w:val="0"/>
                <w:sz w:val="18"/>
                <w:szCs w:val="18"/>
              </w:rPr>
              <w:t>事务</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w:t>
            </w:r>
            <w:r>
              <w:rPr>
                <w:rFonts w:ascii="仿宋" w:hAnsi="仿宋" w:eastAsia="仿宋" w:cs="宋体"/>
                <w:kern w:val="0"/>
                <w:sz w:val="18"/>
                <w:szCs w:val="18"/>
              </w:rPr>
              <w:t>3105</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专项业务</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40</w:t>
            </w:r>
            <w:r>
              <w:rPr>
                <w:rFonts w:ascii="Times New Roman" w:hAnsi="Times New Roman" w:eastAsia="宋体" w:cs="Times New Roman"/>
                <w:sz w:val="18"/>
                <w:szCs w:val="18"/>
              </w:rPr>
              <w:t>.84</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20137</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网</w:t>
            </w:r>
            <w:r>
              <w:rPr>
                <w:rFonts w:ascii="仿宋" w:hAnsi="仿宋" w:eastAsia="仿宋" w:cs="宋体"/>
                <w:kern w:val="0"/>
                <w:sz w:val="18"/>
                <w:szCs w:val="18"/>
              </w:rPr>
              <w:t>信事务</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2013701</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w:t>
            </w:r>
            <w:r>
              <w:rPr>
                <w:rFonts w:ascii="仿宋" w:hAnsi="仿宋" w:eastAsia="仿宋" w:cs="宋体"/>
                <w:kern w:val="0"/>
                <w:sz w:val="18"/>
                <w:szCs w:val="18"/>
              </w:rPr>
              <w:t>运行</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28</w:t>
            </w:r>
            <w:r>
              <w:rPr>
                <w:rFonts w:ascii="Times New Roman" w:hAnsi="Times New Roman" w:eastAsia="宋体" w:cs="Times New Roman"/>
                <w:sz w:val="18"/>
                <w:szCs w:val="18"/>
              </w:rPr>
              <w:t>.22</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208</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社会保障和就业支出</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行政事业单位养老支出</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5.61</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.61</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2080505</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机关事业单位基本养老保险缴费支出</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3.74</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.74</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2080506</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机关事业单位职业年金缴费支出</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1.87</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.87</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住房保障支出</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1.77</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住房改革支出</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ascii="Times New Roman" w:hAnsi="Times New Roman" w:eastAsia="宋体" w:cs="Times New Roman"/>
                <w:sz w:val="18"/>
                <w:szCs w:val="18"/>
              </w:rPr>
              <w:t>1.77</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2"/>
          <w:wAfter w:w="2416" w:type="dxa"/>
          <w:trHeight w:val="402"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2210201</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2410"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98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1984"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0.00</w:t>
            </w:r>
          </w:p>
        </w:tc>
      </w:tr>
      <w:tr>
        <w:tblPrEx>
          <w:tblCellMar>
            <w:top w:w="0" w:type="dxa"/>
            <w:left w:w="108" w:type="dxa"/>
            <w:bottom w:w="0" w:type="dxa"/>
            <w:right w:w="108" w:type="dxa"/>
          </w:tblCellMar>
        </w:tblPrEx>
        <w:trPr>
          <w:gridAfter w:val="1"/>
          <w:wAfter w:w="1424" w:type="dxa"/>
          <w:trHeight w:val="735" w:hRule="atLeast"/>
          <w:jc w:val="center"/>
        </w:trPr>
        <w:tc>
          <w:tcPr>
            <w:tcW w:w="13056" w:type="dxa"/>
            <w:gridSpan w:val="15"/>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部门预算一般公共预算财政拨款基本支出表</w:t>
            </w:r>
          </w:p>
        </w:tc>
      </w:tr>
      <w:tr>
        <w:tblPrEx>
          <w:tblCellMar>
            <w:top w:w="0" w:type="dxa"/>
            <w:left w:w="108" w:type="dxa"/>
            <w:bottom w:w="0" w:type="dxa"/>
            <w:right w:w="108" w:type="dxa"/>
          </w:tblCellMar>
        </w:tblPrEx>
        <w:trPr>
          <w:gridAfter w:val="1"/>
          <w:wAfter w:w="1424" w:type="dxa"/>
          <w:trHeight w:val="225" w:hRule="atLeast"/>
          <w:jc w:val="center"/>
        </w:trPr>
        <w:tc>
          <w:tcPr>
            <w:tcW w:w="7680" w:type="dxa"/>
            <w:gridSpan w:val="7"/>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部门编码及名称：[897]</w:t>
            </w:r>
            <w:r>
              <w:rPr>
                <w:rFonts w:hint="eastAsia" w:ascii="仿宋" w:hAnsi="仿宋" w:eastAsia="仿宋" w:cs="宋体"/>
                <w:kern w:val="0"/>
                <w:szCs w:val="21"/>
              </w:rPr>
              <w:t>中共涞源县委网络安全和信息化委员会办公室</w:t>
            </w:r>
          </w:p>
        </w:tc>
        <w:tc>
          <w:tcPr>
            <w:tcW w:w="2260" w:type="dxa"/>
            <w:gridSpan w:val="3"/>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3116" w:type="dxa"/>
            <w:gridSpan w:val="5"/>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gridAfter w:val="1"/>
          <w:wAfter w:w="1424" w:type="dxa"/>
          <w:trHeight w:val="225"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520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708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r>
      <w:tr>
        <w:tblPrEx>
          <w:tblCellMar>
            <w:top w:w="0" w:type="dxa"/>
            <w:left w:w="108" w:type="dxa"/>
            <w:bottom w:w="0" w:type="dxa"/>
            <w:right w:w="108" w:type="dxa"/>
          </w:tblCellMar>
        </w:tblPrEx>
        <w:trPr>
          <w:gridAfter w:val="1"/>
          <w:wAfter w:w="1424" w:type="dxa"/>
          <w:trHeight w:val="225"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经济分类科目编码</w:t>
            </w:r>
          </w:p>
        </w:tc>
        <w:tc>
          <w:tcPr>
            <w:tcW w:w="3489"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226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人员经费</w:t>
            </w: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公用经费</w:t>
            </w:r>
          </w:p>
        </w:tc>
      </w:tr>
      <w:tr>
        <w:tblPrEx>
          <w:tblCellMar>
            <w:top w:w="0" w:type="dxa"/>
            <w:left w:w="108" w:type="dxa"/>
            <w:bottom w:w="0" w:type="dxa"/>
            <w:right w:w="108" w:type="dxa"/>
          </w:tblCellMar>
        </w:tblPrEx>
        <w:trPr>
          <w:gridAfter w:val="1"/>
          <w:wAfter w:w="1424" w:type="dxa"/>
          <w:trHeight w:val="225"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489"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26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41</w:t>
            </w:r>
            <w:r>
              <w:rPr>
                <w:rFonts w:ascii="Times New Roman" w:hAnsi="Times New Roman" w:eastAsia="宋体" w:cs="Times New Roman"/>
                <w:kern w:val="0"/>
                <w:sz w:val="18"/>
                <w:szCs w:val="18"/>
              </w:rPr>
              <w:t>.28</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35</w:t>
            </w:r>
            <w:r>
              <w:rPr>
                <w:rFonts w:ascii="Times New Roman" w:hAnsi="Times New Roman" w:eastAsia="宋体" w:cs="Times New Roman"/>
                <w:sz w:val="18"/>
                <w:szCs w:val="18"/>
              </w:rPr>
              <w:t>.60</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工资福利支出</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33</w:t>
            </w:r>
            <w:r>
              <w:rPr>
                <w:rFonts w:ascii="Times New Roman" w:hAnsi="Times New Roman" w:eastAsia="宋体" w:cs="Times New Roman"/>
                <w:sz w:val="18"/>
                <w:szCs w:val="18"/>
              </w:rPr>
              <w:t>.44</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33</w:t>
            </w:r>
            <w:r>
              <w:rPr>
                <w:rFonts w:ascii="Times New Roman" w:hAnsi="Times New Roman" w:eastAsia="宋体" w:cs="Times New Roman"/>
                <w:sz w:val="18"/>
                <w:szCs w:val="18"/>
              </w:rPr>
              <w:t>.44</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30101</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基本工资</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14</w:t>
            </w:r>
            <w:r>
              <w:rPr>
                <w:rFonts w:ascii="Times New Roman" w:hAnsi="Times New Roman" w:eastAsia="宋体" w:cs="Times New Roman"/>
                <w:sz w:val="18"/>
                <w:szCs w:val="18"/>
              </w:rPr>
              <w:t>.07</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14</w:t>
            </w:r>
            <w:r>
              <w:rPr>
                <w:rFonts w:ascii="Times New Roman" w:hAnsi="Times New Roman" w:eastAsia="宋体" w:cs="Times New Roman"/>
                <w:sz w:val="18"/>
                <w:szCs w:val="18"/>
              </w:rPr>
              <w:t>.07</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30102</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津贴补贴</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8</w:t>
            </w:r>
            <w:r>
              <w:rPr>
                <w:rFonts w:ascii="Times New Roman" w:hAnsi="Times New Roman" w:eastAsia="宋体" w:cs="Times New Roman"/>
                <w:sz w:val="18"/>
                <w:szCs w:val="18"/>
              </w:rPr>
              <w:t>.54</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8</w:t>
            </w:r>
            <w:r>
              <w:rPr>
                <w:rFonts w:ascii="Times New Roman" w:hAnsi="Times New Roman" w:eastAsia="宋体" w:cs="Times New Roman"/>
                <w:sz w:val="18"/>
                <w:szCs w:val="18"/>
              </w:rPr>
              <w:t>.54</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30103</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奖金</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.89</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.89</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30108</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.74</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.74</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30109</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职业年金缴费</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.87</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.87</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30110</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城镇职工基本医疗保险缴费</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.35</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.35</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30112</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其他社会保障缴费</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.21</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.21</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30113</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.77</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商品和服务支出</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7</w:t>
            </w:r>
            <w:r>
              <w:rPr>
                <w:rFonts w:ascii="Times New Roman" w:hAnsi="Times New Roman" w:eastAsia="宋体" w:cs="Times New Roman"/>
                <w:sz w:val="18"/>
                <w:szCs w:val="18"/>
              </w:rPr>
              <w:t>.84</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.16</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.68</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30201</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办公费</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.92</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.92</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30206</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电费</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.80</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.80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30207</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邮电费</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.36</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.36</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30211</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差旅费</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.60</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.60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w:t>
            </w:r>
            <w:r>
              <w:rPr>
                <w:rFonts w:ascii="仿宋" w:hAnsi="仿宋" w:eastAsia="仿宋" w:cs="宋体"/>
                <w:kern w:val="0"/>
                <w:sz w:val="18"/>
                <w:szCs w:val="18"/>
              </w:rPr>
              <w:t>17</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公务接待费</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.00</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gridAfter w:val="1"/>
          <w:wAfter w:w="1424" w:type="dxa"/>
          <w:trHeight w:val="36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30239</w:t>
            </w:r>
          </w:p>
        </w:tc>
        <w:tc>
          <w:tcPr>
            <w:tcW w:w="34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其他交通费用</w:t>
            </w:r>
          </w:p>
        </w:tc>
        <w:tc>
          <w:tcPr>
            <w:tcW w:w="2126" w:type="dxa"/>
            <w:gridSpan w:val="2"/>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.16</w:t>
            </w:r>
          </w:p>
        </w:tc>
        <w:tc>
          <w:tcPr>
            <w:tcW w:w="2268" w:type="dxa"/>
            <w:gridSpan w:val="4"/>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.16</w:t>
            </w:r>
          </w:p>
        </w:tc>
        <w:tc>
          <w:tcPr>
            <w:tcW w:w="2693"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r>
      <w:tr>
        <w:tblPrEx>
          <w:tblCellMar>
            <w:top w:w="0" w:type="dxa"/>
            <w:left w:w="108" w:type="dxa"/>
            <w:bottom w:w="0" w:type="dxa"/>
            <w:right w:w="108" w:type="dxa"/>
          </w:tblCellMar>
        </w:tblPrEx>
        <w:trPr>
          <w:trHeight w:val="780" w:hRule="atLeast"/>
          <w:jc w:val="center"/>
        </w:trPr>
        <w:tc>
          <w:tcPr>
            <w:tcW w:w="14480" w:type="dxa"/>
            <w:gridSpan w:val="16"/>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部门预算政府基金预算财政拨款支出表</w:t>
            </w:r>
          </w:p>
        </w:tc>
      </w:tr>
      <w:tr>
        <w:tblPrEx>
          <w:tblCellMar>
            <w:top w:w="0" w:type="dxa"/>
            <w:left w:w="108" w:type="dxa"/>
            <w:bottom w:w="0" w:type="dxa"/>
            <w:right w:w="108" w:type="dxa"/>
          </w:tblCellMar>
        </w:tblPrEx>
        <w:trPr>
          <w:trHeight w:val="780" w:hRule="atLeast"/>
          <w:jc w:val="center"/>
        </w:trPr>
        <w:tc>
          <w:tcPr>
            <w:tcW w:w="8480" w:type="dxa"/>
            <w:gridSpan w:val="9"/>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部门编码及名称：[897]中共涞源县委网络安全和信息化委员会办公室</w:t>
            </w:r>
          </w:p>
        </w:tc>
        <w:tc>
          <w:tcPr>
            <w:tcW w:w="3000" w:type="dxa"/>
            <w:gridSpan w:val="4"/>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3000" w:type="dxa"/>
            <w:gridSpan w:val="3"/>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78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7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300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300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30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trHeight w:val="78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3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300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0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0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78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00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00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00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trHeight w:val="78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3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300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c>
          <w:tcPr>
            <w:tcW w:w="300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c>
          <w:tcPr>
            <w:tcW w:w="30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r>
      <w:tr>
        <w:tblPrEx>
          <w:tblCellMar>
            <w:top w:w="0" w:type="dxa"/>
            <w:left w:w="108" w:type="dxa"/>
            <w:bottom w:w="0" w:type="dxa"/>
            <w:right w:w="108" w:type="dxa"/>
          </w:tblCellMar>
        </w:tblPrEx>
        <w:trPr>
          <w:trHeight w:val="78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3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300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c>
          <w:tcPr>
            <w:tcW w:w="300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c>
          <w:tcPr>
            <w:tcW w:w="30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r>
      <w:tr>
        <w:tblPrEx>
          <w:tblCellMar>
            <w:top w:w="0" w:type="dxa"/>
            <w:left w:w="108" w:type="dxa"/>
            <w:bottom w:w="0" w:type="dxa"/>
            <w:right w:w="108" w:type="dxa"/>
          </w:tblCellMar>
        </w:tblPrEx>
        <w:trPr>
          <w:trHeight w:val="78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300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300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30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rPr>
          <w:rFonts w:ascii="仿宋" w:hAnsi="仿宋" w:eastAsia="仿宋" w:cs="宋体"/>
          <w:kern w:val="0"/>
          <w:sz w:val="18"/>
          <w:szCs w:val="18"/>
        </w:rPr>
      </w:pPr>
      <w:r>
        <w:rPr>
          <w:rFonts w:hint="eastAsia" w:ascii="仿宋" w:hAnsi="仿宋" w:eastAsia="仿宋" w:cs="宋体"/>
          <w:kern w:val="0"/>
          <w:sz w:val="18"/>
          <w:szCs w:val="18"/>
        </w:rPr>
        <w:t>注：无政府基金预算，空表列示。</w:t>
      </w:r>
    </w:p>
    <w:p>
      <w:pPr>
        <w:rPr>
          <w:rFonts w:ascii="仿宋" w:hAnsi="仿宋" w:eastAsia="仿宋" w:cs="宋体"/>
          <w:kern w:val="0"/>
          <w:sz w:val="18"/>
          <w:szCs w:val="18"/>
        </w:rPr>
      </w:pPr>
    </w:p>
    <w:p>
      <w:pPr>
        <w:rPr>
          <w:rFonts w:ascii="仿宋" w:hAnsi="仿宋" w:eastAsia="仿宋" w:cs="宋体"/>
          <w:kern w:val="0"/>
          <w:sz w:val="18"/>
          <w:szCs w:val="18"/>
        </w:rPr>
      </w:pPr>
    </w:p>
    <w:p>
      <w:pPr>
        <w:rPr>
          <w:rFonts w:ascii="仿宋" w:hAnsi="仿宋" w:eastAsia="仿宋" w:cs="仿宋_GB2312"/>
          <w:sz w:val="30"/>
          <w:szCs w:val="30"/>
        </w:rPr>
      </w:pPr>
    </w:p>
    <w:p>
      <w:pPr>
        <w:rPr>
          <w:rFonts w:ascii="仿宋" w:hAnsi="仿宋" w:eastAsia="仿宋" w:cs="仿宋_GB2312"/>
          <w:sz w:val="30"/>
          <w:szCs w:val="30"/>
        </w:rPr>
      </w:pPr>
    </w:p>
    <w:tbl>
      <w:tblPr>
        <w:tblStyle w:val="6"/>
        <w:tblW w:w="14480" w:type="dxa"/>
        <w:jc w:val="center"/>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80" w:hRule="atLeast"/>
          <w:jc w:val="center"/>
        </w:trPr>
        <w:tc>
          <w:tcPr>
            <w:tcW w:w="14480" w:type="dxa"/>
            <w:gridSpan w:val="6"/>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部门预算国有资本经营预算财政拨款支出表</w:t>
            </w:r>
          </w:p>
        </w:tc>
      </w:tr>
      <w:tr>
        <w:tblPrEx>
          <w:tblCellMar>
            <w:top w:w="0" w:type="dxa"/>
            <w:left w:w="108" w:type="dxa"/>
            <w:bottom w:w="0" w:type="dxa"/>
            <w:right w:w="108" w:type="dxa"/>
          </w:tblCellMar>
        </w:tblPrEx>
        <w:trPr>
          <w:trHeight w:val="225" w:hRule="atLeast"/>
          <w:jc w:val="center"/>
        </w:trPr>
        <w:tc>
          <w:tcPr>
            <w:tcW w:w="8480"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部门编码及名称：[897]中共涞源县委网络安全和信息化委员会办公室</w:t>
            </w:r>
          </w:p>
        </w:tc>
        <w:tc>
          <w:tcPr>
            <w:tcW w:w="300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300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225"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trHeight w:val="225"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225"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jc w:val="center"/>
        </w:trPr>
        <w:tc>
          <w:tcPr>
            <w:tcW w:w="5480" w:type="dxa"/>
            <w:gridSpan w:val="3"/>
            <w:tcBorders>
              <w:top w:val="single" w:color="auto" w:sz="4" w:space="0"/>
              <w:left w:val="nil"/>
              <w:bottom w:val="nil"/>
              <w:right w:val="nil"/>
            </w:tcBorders>
            <w:shd w:val="clear" w:color="auto" w:fill="auto"/>
            <w:noWrap/>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注：无国有资本经营预算，空表列示。</w:t>
            </w:r>
          </w:p>
        </w:tc>
        <w:tc>
          <w:tcPr>
            <w:tcW w:w="3000" w:type="dxa"/>
            <w:tcBorders>
              <w:top w:val="nil"/>
              <w:left w:val="nil"/>
              <w:bottom w:val="nil"/>
              <w:right w:val="nil"/>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nil"/>
              <w:right w:val="nil"/>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nil"/>
              <w:right w:val="nil"/>
            </w:tcBorders>
            <w:shd w:val="clear" w:color="auto" w:fill="auto"/>
            <w:noWrap/>
          </w:tcPr>
          <w:p>
            <w:pPr>
              <w:widowControl/>
              <w:jc w:val="left"/>
              <w:rPr>
                <w:rFonts w:ascii="仿宋" w:hAnsi="仿宋" w:eastAsia="仿宋" w:cs="宋体"/>
                <w:kern w:val="0"/>
                <w:sz w:val="18"/>
                <w:szCs w:val="18"/>
              </w:rPr>
            </w:pPr>
          </w:p>
        </w:tc>
      </w:tr>
    </w:tbl>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tbl>
      <w:tblPr>
        <w:tblStyle w:val="6"/>
        <w:tblW w:w="14700" w:type="dxa"/>
        <w:jc w:val="center"/>
        <w:tblLayout w:type="autofit"/>
        <w:tblCellMar>
          <w:top w:w="0" w:type="dxa"/>
          <w:left w:w="108" w:type="dxa"/>
          <w:bottom w:w="0" w:type="dxa"/>
          <w:right w:w="108" w:type="dxa"/>
        </w:tblCellMar>
      </w:tblPr>
      <w:tblGrid>
        <w:gridCol w:w="760"/>
        <w:gridCol w:w="3680"/>
        <w:gridCol w:w="1780"/>
        <w:gridCol w:w="2140"/>
        <w:gridCol w:w="2000"/>
        <w:gridCol w:w="2360"/>
        <w:gridCol w:w="1980"/>
      </w:tblGrid>
      <w:tr>
        <w:tblPrEx>
          <w:tblCellMar>
            <w:top w:w="0" w:type="dxa"/>
            <w:left w:w="108" w:type="dxa"/>
            <w:bottom w:w="0" w:type="dxa"/>
            <w:right w:w="108" w:type="dxa"/>
          </w:tblCellMar>
        </w:tblPrEx>
        <w:trPr>
          <w:trHeight w:val="750" w:hRule="atLeast"/>
          <w:jc w:val="center"/>
        </w:trPr>
        <w:tc>
          <w:tcPr>
            <w:tcW w:w="14700" w:type="dxa"/>
            <w:gridSpan w:val="7"/>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部门预算财政拨款“三公”经费支出表</w:t>
            </w:r>
          </w:p>
        </w:tc>
      </w:tr>
      <w:tr>
        <w:tblPrEx>
          <w:tblCellMar>
            <w:top w:w="0" w:type="dxa"/>
            <w:left w:w="108" w:type="dxa"/>
            <w:bottom w:w="0" w:type="dxa"/>
            <w:right w:w="108" w:type="dxa"/>
          </w:tblCellMar>
        </w:tblPrEx>
        <w:trPr>
          <w:trHeight w:val="300" w:hRule="atLeast"/>
          <w:jc w:val="center"/>
        </w:trPr>
        <w:tc>
          <w:tcPr>
            <w:tcW w:w="10360" w:type="dxa"/>
            <w:gridSpan w:val="5"/>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部门编码及名称：[897]中共涞源县委网络安全和信息化委员会办公室</w:t>
            </w:r>
          </w:p>
        </w:tc>
        <w:tc>
          <w:tcPr>
            <w:tcW w:w="236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198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3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02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资金来源</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一般公共预算财政拨款</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政府性基金财政拨款</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国有资本经营预算财政拨款</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3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7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.00</w:t>
            </w:r>
          </w:p>
        </w:tc>
        <w:tc>
          <w:tcPr>
            <w:tcW w:w="214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.00</w:t>
            </w:r>
          </w:p>
        </w:tc>
        <w:tc>
          <w:tcPr>
            <w:tcW w:w="2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19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w:t>
            </w:r>
            <w:r>
              <w:rPr>
                <w:rFonts w:ascii="仿宋" w:hAnsi="仿宋" w:eastAsia="仿宋" w:cs="宋体"/>
                <w:kern w:val="0"/>
                <w:sz w:val="18"/>
                <w:szCs w:val="18"/>
              </w:rPr>
              <w:t>、因公出国（</w:t>
            </w:r>
            <w:r>
              <w:rPr>
                <w:rFonts w:hint="eastAsia" w:ascii="仿宋" w:hAnsi="仿宋" w:eastAsia="仿宋" w:cs="宋体"/>
                <w:kern w:val="0"/>
                <w:sz w:val="18"/>
                <w:szCs w:val="18"/>
              </w:rPr>
              <w:t>境</w:t>
            </w:r>
            <w:r>
              <w:rPr>
                <w:rFonts w:ascii="仿宋" w:hAnsi="仿宋" w:eastAsia="仿宋" w:cs="宋体"/>
                <w:kern w:val="0"/>
                <w:sz w:val="18"/>
                <w:szCs w:val="18"/>
              </w:rPr>
              <w:t>）</w:t>
            </w:r>
            <w:r>
              <w:rPr>
                <w:rFonts w:hint="eastAsia" w:ascii="仿宋" w:hAnsi="仿宋" w:eastAsia="仿宋" w:cs="宋体"/>
                <w:kern w:val="0"/>
                <w:sz w:val="18"/>
                <w:szCs w:val="18"/>
              </w:rPr>
              <w:t>费</w:t>
            </w:r>
          </w:p>
        </w:tc>
        <w:tc>
          <w:tcPr>
            <w:tcW w:w="17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14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19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w:t>
            </w:r>
            <w:r>
              <w:rPr>
                <w:rFonts w:ascii="仿宋" w:hAnsi="仿宋" w:eastAsia="仿宋" w:cs="宋体"/>
                <w:kern w:val="0"/>
                <w:sz w:val="18"/>
                <w:szCs w:val="18"/>
              </w:rPr>
              <w:t>、公务</w:t>
            </w:r>
            <w:r>
              <w:rPr>
                <w:rFonts w:hint="eastAsia" w:ascii="仿宋" w:hAnsi="仿宋" w:eastAsia="仿宋" w:cs="宋体"/>
                <w:kern w:val="0"/>
                <w:sz w:val="18"/>
                <w:szCs w:val="18"/>
              </w:rPr>
              <w:t>用车</w:t>
            </w:r>
            <w:r>
              <w:rPr>
                <w:rFonts w:ascii="仿宋" w:hAnsi="仿宋" w:eastAsia="仿宋" w:cs="宋体"/>
                <w:kern w:val="0"/>
                <w:sz w:val="18"/>
                <w:szCs w:val="18"/>
              </w:rPr>
              <w:t>购置及运维费</w:t>
            </w:r>
          </w:p>
        </w:tc>
        <w:tc>
          <w:tcPr>
            <w:tcW w:w="17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14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19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w:t>
            </w:r>
            <w:r>
              <w:rPr>
                <w:rFonts w:ascii="仿宋" w:hAnsi="仿宋" w:eastAsia="仿宋" w:cs="宋体"/>
                <w:kern w:val="0"/>
                <w:sz w:val="18"/>
                <w:szCs w:val="18"/>
              </w:rPr>
              <w:t>：公务</w:t>
            </w:r>
            <w:r>
              <w:rPr>
                <w:rFonts w:hint="eastAsia" w:ascii="仿宋" w:hAnsi="仿宋" w:eastAsia="仿宋" w:cs="宋体"/>
                <w:kern w:val="0"/>
                <w:sz w:val="18"/>
                <w:szCs w:val="18"/>
              </w:rPr>
              <w:t>用车</w:t>
            </w:r>
            <w:r>
              <w:rPr>
                <w:rFonts w:ascii="仿宋" w:hAnsi="仿宋" w:eastAsia="仿宋" w:cs="宋体"/>
                <w:kern w:val="0"/>
                <w:sz w:val="18"/>
                <w:szCs w:val="18"/>
              </w:rPr>
              <w:t>购置费</w:t>
            </w:r>
          </w:p>
        </w:tc>
        <w:tc>
          <w:tcPr>
            <w:tcW w:w="17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14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19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公务</w:t>
            </w:r>
            <w:r>
              <w:rPr>
                <w:rFonts w:ascii="仿宋" w:hAnsi="仿宋" w:eastAsia="仿宋" w:cs="宋体"/>
                <w:kern w:val="0"/>
                <w:sz w:val="18"/>
                <w:szCs w:val="18"/>
              </w:rPr>
              <w:t>用车运行费</w:t>
            </w:r>
          </w:p>
        </w:tc>
        <w:tc>
          <w:tcPr>
            <w:tcW w:w="17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14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19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w:t>
            </w:r>
            <w:r>
              <w:rPr>
                <w:rFonts w:ascii="仿宋" w:hAnsi="仿宋" w:eastAsia="仿宋" w:cs="宋体"/>
                <w:kern w:val="0"/>
                <w:sz w:val="18"/>
                <w:szCs w:val="18"/>
              </w:rPr>
              <w:t>、公务接待费</w:t>
            </w:r>
          </w:p>
        </w:tc>
        <w:tc>
          <w:tcPr>
            <w:tcW w:w="17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.00</w:t>
            </w:r>
          </w:p>
        </w:tc>
        <w:tc>
          <w:tcPr>
            <w:tcW w:w="214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.00</w:t>
            </w:r>
          </w:p>
        </w:tc>
        <w:tc>
          <w:tcPr>
            <w:tcW w:w="200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p>
        </w:tc>
        <w:tc>
          <w:tcPr>
            <w:tcW w:w="1980"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宋体" w:cs="Times New Roman"/>
                <w:sz w:val="18"/>
                <w:szCs w:val="18"/>
              </w:rPr>
            </w:pPr>
          </w:p>
        </w:tc>
      </w:tr>
    </w:tbl>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jc w:val="center"/>
        <w:rPr>
          <w:rFonts w:ascii="宋体" w:hAnsi="宋体" w:eastAsia="宋体" w:cs="Times New Roman"/>
          <w:b/>
          <w:sz w:val="44"/>
          <w:szCs w:val="24"/>
        </w:rPr>
      </w:pPr>
      <w:r>
        <w:rPr>
          <w:rFonts w:hint="eastAsia" w:ascii="宋体" w:hAnsi="宋体" w:eastAsia="宋体" w:cs="Times New Roman"/>
          <w:b/>
          <w:sz w:val="44"/>
          <w:szCs w:val="24"/>
        </w:rPr>
        <w:t xml:space="preserve"> 中共涞源县委网络安全和信息化委员会办公室</w:t>
      </w:r>
    </w:p>
    <w:p>
      <w:pPr>
        <w:jc w:val="center"/>
        <w:rPr>
          <w:rFonts w:hint="eastAsia" w:ascii="宋体" w:hAnsi="宋体" w:eastAsia="宋体" w:cs="Times New Roman"/>
          <w:b/>
          <w:sz w:val="44"/>
          <w:szCs w:val="24"/>
        </w:rPr>
      </w:pPr>
      <w:r>
        <w:rPr>
          <w:rFonts w:hint="eastAsia" w:ascii="宋体" w:hAnsi="宋体" w:eastAsia="宋体" w:cs="Times New Roman"/>
          <w:b/>
          <w:sz w:val="44"/>
          <w:szCs w:val="24"/>
        </w:rPr>
        <w:t>2020年部门预算信息公开情况说明</w:t>
      </w:r>
    </w:p>
    <w:p>
      <w:pPr>
        <w:spacing w:line="600" w:lineRule="exact"/>
        <w:jc w:val="center"/>
        <w:rPr>
          <w:rFonts w:ascii="仿宋" w:hAnsi="仿宋" w:eastAsia="仿宋" w:cs="Times New Roman"/>
          <w:b/>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按照</w:t>
      </w:r>
      <w:r>
        <w:rPr>
          <w:rFonts w:hint="eastAsia" w:ascii="仿宋" w:hAnsi="仿宋" w:eastAsia="仿宋"/>
          <w:color w:val="000000" w:themeColor="text1"/>
          <w:sz w:val="32"/>
          <w:szCs w:val="32"/>
          <w:lang w:eastAsia="zh-CN"/>
          <w14:textFill>
            <w14:solidFill>
              <w14:schemeClr w14:val="tx1"/>
            </w14:solidFill>
          </w14:textFill>
        </w:rPr>
        <w:t>《中华人民共和国预算法》</w:t>
      </w:r>
      <w:r>
        <w:rPr>
          <w:rFonts w:hint="eastAsia" w:ascii="仿宋" w:hAnsi="仿宋" w:eastAsia="仿宋"/>
          <w:color w:val="000000" w:themeColor="text1"/>
          <w:sz w:val="32"/>
          <w:szCs w:val="32"/>
          <w14:textFill>
            <w14:solidFill>
              <w14:schemeClr w14:val="tx1"/>
            </w14:solidFill>
          </w14:textFill>
        </w:rPr>
        <w:t>、《地方预决算公开操作规程》和《河北省省级预算公开办法》规定，</w:t>
      </w:r>
      <w:r>
        <w:rPr>
          <w:rFonts w:hint="eastAsia" w:ascii="仿宋" w:hAnsi="仿宋" w:eastAsia="仿宋"/>
          <w:sz w:val="32"/>
          <w:szCs w:val="32"/>
        </w:rPr>
        <w:t>现将</w:t>
      </w:r>
      <w:r>
        <w:rPr>
          <w:rFonts w:hint="eastAsia" w:ascii="仿宋" w:hAnsi="仿宋" w:eastAsia="仿宋" w:cs="Times New Roman"/>
          <w:sz w:val="32"/>
          <w:szCs w:val="32"/>
          <w:lang w:eastAsia="zh-CN"/>
        </w:rPr>
        <w:t>中共</w:t>
      </w:r>
      <w:r>
        <w:rPr>
          <w:rFonts w:hint="eastAsia" w:ascii="仿宋" w:hAnsi="仿宋" w:eastAsia="仿宋" w:cs="Times New Roman"/>
          <w:sz w:val="32"/>
          <w:szCs w:val="32"/>
        </w:rPr>
        <w:t>涞源县委网络安全和信息化委员会办公室</w:t>
      </w:r>
      <w:r>
        <w:rPr>
          <w:rFonts w:hint="eastAsia" w:ascii="仿宋" w:hAnsi="仿宋" w:eastAsia="仿宋"/>
          <w:sz w:val="32"/>
          <w:szCs w:val="32"/>
        </w:rPr>
        <w:t>2020年部门预算公开如下：</w:t>
      </w:r>
    </w:p>
    <w:p>
      <w:pPr>
        <w:widowControl/>
        <w:spacing w:line="600" w:lineRule="exact"/>
        <w:rPr>
          <w:rFonts w:ascii="仿宋" w:hAnsi="仿宋" w:eastAsia="仿宋" w:cs="宋体"/>
          <w:b/>
          <w:color w:val="111111"/>
          <w:kern w:val="0"/>
          <w:sz w:val="32"/>
          <w:szCs w:val="32"/>
        </w:rPr>
      </w:pPr>
      <w:r>
        <w:rPr>
          <w:rFonts w:hint="eastAsia" w:ascii="仿宋" w:hAnsi="仿宋" w:eastAsia="仿宋" w:cs="宋体"/>
          <w:b/>
          <w:color w:val="111111"/>
          <w:kern w:val="0"/>
          <w:sz w:val="32"/>
          <w:szCs w:val="32"/>
        </w:rPr>
        <w:t>一、部门职责及机构设置情况</w:t>
      </w:r>
    </w:p>
    <w:p>
      <w:pPr>
        <w:widowControl/>
        <w:spacing w:line="600" w:lineRule="exact"/>
        <w:rPr>
          <w:rFonts w:ascii="仿宋" w:hAnsi="仿宋" w:eastAsia="仿宋" w:cs="宋体"/>
          <w:b/>
          <w:color w:val="111111"/>
          <w:kern w:val="0"/>
          <w:sz w:val="32"/>
          <w:szCs w:val="32"/>
        </w:rPr>
      </w:pPr>
      <w:r>
        <w:rPr>
          <w:rFonts w:hint="eastAsia" w:ascii="仿宋" w:hAnsi="仿宋" w:eastAsia="仿宋" w:cs="宋体"/>
          <w:b/>
          <w:color w:val="111111"/>
          <w:kern w:val="0"/>
          <w:sz w:val="32"/>
          <w:szCs w:val="32"/>
        </w:rPr>
        <w:t>部门职责</w:t>
      </w:r>
    </w:p>
    <w:p>
      <w:pPr>
        <w:widowControl/>
        <w:spacing w:line="600" w:lineRule="exact"/>
        <w:rPr>
          <w:rFonts w:ascii="仿宋" w:hAnsi="仿宋" w:eastAsia="仿宋" w:cs="Times New Roman"/>
          <w:sz w:val="32"/>
          <w:szCs w:val="32"/>
        </w:rPr>
      </w:pPr>
      <w:r>
        <w:rPr>
          <w:rFonts w:hint="eastAsia" w:ascii="仿宋" w:hAnsi="仿宋" w:eastAsia="仿宋" w:cs="宋体"/>
          <w:color w:val="111111"/>
          <w:kern w:val="0"/>
          <w:sz w:val="32"/>
          <w:szCs w:val="32"/>
        </w:rPr>
        <w:t xml:space="preserve">   （一）</w:t>
      </w:r>
      <w:r>
        <w:rPr>
          <w:rFonts w:ascii="仿宋" w:hAnsi="仿宋" w:eastAsia="仿宋" w:cs="Times New Roman"/>
          <w:sz w:val="32"/>
          <w:szCs w:val="32"/>
        </w:rPr>
        <w:t>负责处理县委网络安全和信息化委员会目常事务工作。协调督促有关方面落实委员会的决定事项、工作部署和要求组织开展对涉及全县政治、经济、文化、社会、生态及军事等各个领域的网络安全和信息化重大问题研究，向委员会提出工作建议。</w:t>
      </w:r>
    </w:p>
    <w:p>
      <w:pPr>
        <w:widowControl/>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（二）</w:t>
      </w:r>
      <w:r>
        <w:rPr>
          <w:rFonts w:ascii="仿宋" w:hAnsi="仿宋" w:eastAsia="仿宋" w:cs="Times New Roman"/>
          <w:sz w:val="32"/>
          <w:szCs w:val="32"/>
        </w:rPr>
        <w:t>组织研究起草我县网络安全和信息化发展战略、宏观规划和重大政策。统筹推进全县网络安全和信息化法治、标准建设，根据职责权限负责相关法规、规章等的起草、实施和监督检查，根据职责权限推动落实网络安全和信息化领域国家标准并监督实施；依法完善与信息化相关的统计调查制度</w:t>
      </w:r>
      <w:r>
        <w:rPr>
          <w:rFonts w:ascii="仿宋" w:hAnsi="仿宋" w:eastAsia="仿宋" w:cs="Times New Roman"/>
          <w:b/>
          <w:sz w:val="32"/>
          <w:szCs w:val="32"/>
        </w:rPr>
        <w:t>。</w:t>
      </w:r>
    </w:p>
    <w:p>
      <w:pPr>
        <w:widowControl/>
        <w:spacing w:line="600" w:lineRule="exact"/>
        <w:rPr>
          <w:rFonts w:ascii="仿宋" w:hAnsi="仿宋" w:eastAsia="仿宋" w:cs="Times New Roman"/>
          <w:b/>
          <w:sz w:val="32"/>
          <w:szCs w:val="32"/>
        </w:rPr>
      </w:pPr>
      <w:r>
        <w:rPr>
          <w:rFonts w:hint="eastAsia" w:ascii="仿宋" w:hAnsi="仿宋" w:eastAsia="仿宋" w:cs="Times New Roman"/>
          <w:sz w:val="32"/>
          <w:szCs w:val="32"/>
        </w:rPr>
        <w:t xml:space="preserve">   （三）</w:t>
      </w:r>
      <w:r>
        <w:rPr>
          <w:rFonts w:ascii="仿宋" w:hAnsi="仿宋" w:eastAsia="仿宋" w:cs="Times New Roman"/>
          <w:sz w:val="32"/>
          <w:szCs w:val="32"/>
        </w:rPr>
        <w:t>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推进网络强县建设，协调推动全县公共服务和社会治理信息化；指导全县网络安全信息共享和通报。</w:t>
      </w:r>
    </w:p>
    <w:p>
      <w:pPr>
        <w:widowControl/>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（四）</w:t>
      </w:r>
      <w:r>
        <w:rPr>
          <w:rFonts w:ascii="仿宋" w:hAnsi="仿宋" w:eastAsia="仿宋" w:cs="Times New Roman"/>
          <w:sz w:val="32"/>
          <w:szCs w:val="32"/>
        </w:rPr>
        <w:t>督促落实我县涉及政治、经济、文化、社会、生态及军事等各领域网络安全和信息化重大事项；负责协调处理网络安全和信息化重大突发事件与有关应急工作。</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（五）</w:t>
      </w:r>
      <w:r>
        <w:rPr>
          <w:rFonts w:ascii="仿宋" w:hAnsi="仿宋" w:eastAsia="仿宋" w:cs="Times New Roman"/>
          <w:sz w:val="32"/>
          <w:szCs w:val="32"/>
        </w:rPr>
        <w:t>负责全县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全县落地网站及县内新媒体新应用，会同有关部门处置和封堵网上有害信息，依照相关法律和规定查处违法违规行为和网站。</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（六）</w:t>
      </w:r>
      <w:r>
        <w:rPr>
          <w:rFonts w:ascii="仿宋" w:hAnsi="仿宋" w:eastAsia="仿宋" w:cs="Times New Roman"/>
          <w:sz w:val="32"/>
          <w:szCs w:val="32"/>
        </w:rPr>
        <w:t>负责指导协调全县网络舆情工作。收集、分析、研判、报送和处置网络舆情信息，依法规范舆情服务市场。</w:t>
      </w:r>
    </w:p>
    <w:p>
      <w:pPr>
        <w:spacing w:line="600" w:lineRule="exact"/>
        <w:rPr>
          <w:rFonts w:ascii="仿宋" w:hAnsi="仿宋" w:eastAsia="仿宋" w:cs="Times New Roman"/>
          <w:b/>
          <w:sz w:val="32"/>
          <w:szCs w:val="32"/>
        </w:rPr>
      </w:pPr>
      <w:r>
        <w:rPr>
          <w:rFonts w:hint="eastAsia" w:ascii="仿宋" w:hAnsi="仿宋" w:eastAsia="仿宋" w:cs="Times New Roman"/>
          <w:sz w:val="32"/>
          <w:szCs w:val="32"/>
        </w:rPr>
        <w:t xml:space="preserve">  （七）</w:t>
      </w:r>
      <w:r>
        <w:rPr>
          <w:rFonts w:ascii="仿宋" w:hAnsi="仿宋" w:eastAsia="仿宋" w:cs="Times New Roman"/>
          <w:sz w:val="32"/>
          <w:szCs w:val="32"/>
        </w:rPr>
        <w:t>推动全县网络阵地建设和重点新闻网站规划建设。指导协调网络游戏、网络视听、网络出版等相关业务，推动移动互联网发展，会同有关部门推动传统媒体与新兴媒体融合发展；负责全县网站转载新闻稿源的管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（八）</w:t>
      </w:r>
      <w:r>
        <w:rPr>
          <w:rFonts w:ascii="仿宋" w:hAnsi="仿宋" w:eastAsia="仿宋" w:cs="Times New Roman"/>
          <w:sz w:val="32"/>
          <w:szCs w:val="32"/>
        </w:rPr>
        <w:t>推动全县网络社会工作和网络文化、网络文明建设；发展、联系、服务网络社会组织，指导互联网行业自律，推进网站党建工作。</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（九）</w:t>
      </w:r>
      <w:r>
        <w:rPr>
          <w:rFonts w:ascii="仿宋" w:hAnsi="仿宋" w:eastAsia="仿宋" w:cs="Times New Roman"/>
          <w:sz w:val="32"/>
          <w:szCs w:val="32"/>
        </w:rPr>
        <w:t>落实国家互联网信息服务资本准入和信息网络行业安全审查的有关政策。依法负责全县网络新闻业务和论坛、博客搜索引擎等具有新闻舆论及社会动员功能业务的审批及日常监管。指导全县有关部门督促电信运营企业、接入服务企业、域名注册管理和服务机构做好域名注册、互联网地址(P地址)分配网站登记备案、接入以及网络行为主体身份信息核对等基础管理工作；指导协调有关部门推进新技术新应用安全评估，统筹协调全县移动互联网管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（十）</w:t>
      </w:r>
      <w:r>
        <w:rPr>
          <w:rFonts w:ascii="仿宋" w:hAnsi="仿宋" w:eastAsia="仿宋" w:cs="Times New Roman"/>
          <w:sz w:val="32"/>
          <w:szCs w:val="32"/>
        </w:rPr>
        <w:t>协调推进全县信息网络行业自主创新和发展。协调开展全县互联网经济和发展态势研究，推动建立健全我县信息网络行业投融资支持服务体系、技术创新服务体系，统筹协调全县重要信息资源的开发利用与共享。</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（十一）</w:t>
      </w:r>
      <w:r>
        <w:rPr>
          <w:rFonts w:ascii="仿宋" w:hAnsi="仿宋" w:eastAsia="仿宋" w:cs="Times New Roman"/>
          <w:sz w:val="32"/>
          <w:szCs w:val="32"/>
        </w:rPr>
        <w:t>规划指导县内机构开展金融信息服务业务。组织开展全县金融信息服务市场监管；协调金融监管部门建立全县网络金融信息发布、传播监管制度及工作机制。</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（十二）</w:t>
      </w:r>
      <w:r>
        <w:rPr>
          <w:rFonts w:ascii="仿宋" w:hAnsi="仿宋" w:eastAsia="仿宋" w:cs="Times New Roman"/>
          <w:sz w:val="32"/>
          <w:szCs w:val="32"/>
        </w:rPr>
        <w:t>组织拟订网络安全和信息化干部人才队伍发展规划，组织开展网信系统干部教育培训和人才队伍建设，规划指导全县互联网新闻信息服务从业人员教育培训和考评工作，组织开展网络媒介素养教育。</w:t>
      </w:r>
    </w:p>
    <w:p>
      <w:pPr>
        <w:spacing w:line="600" w:lineRule="exact"/>
        <w:jc w:val="left"/>
        <w:rPr>
          <w:rFonts w:ascii="仿宋" w:hAnsi="仿宋" w:eastAsia="仿宋" w:cs="Times New Roman"/>
          <w:sz w:val="32"/>
          <w:szCs w:val="32"/>
        </w:rPr>
      </w:pPr>
      <w:r>
        <w:rPr>
          <w:rFonts w:hint="eastAsia" w:ascii="仿宋" w:hAnsi="仿宋" w:eastAsia="仿宋" w:cs="Times New Roman"/>
          <w:sz w:val="32"/>
          <w:szCs w:val="32"/>
        </w:rPr>
        <w:t xml:space="preserve">   （十三）</w:t>
      </w:r>
      <w:r>
        <w:rPr>
          <w:rFonts w:ascii="仿宋" w:hAnsi="仿宋" w:eastAsia="仿宋" w:cs="Times New Roman"/>
          <w:sz w:val="32"/>
          <w:szCs w:val="32"/>
        </w:rPr>
        <w:t>组织开展相关领域国内国际交流与合作。</w:t>
      </w:r>
    </w:p>
    <w:p>
      <w:pPr>
        <w:spacing w:line="600" w:lineRule="exact"/>
        <w:jc w:val="left"/>
        <w:rPr>
          <w:rFonts w:ascii="仿宋" w:hAnsi="仿宋" w:eastAsia="仿宋" w:cs="Times New Roman"/>
          <w:sz w:val="32"/>
          <w:szCs w:val="32"/>
        </w:rPr>
      </w:pPr>
      <w:r>
        <w:rPr>
          <w:rFonts w:hint="eastAsia" w:ascii="仿宋" w:hAnsi="仿宋" w:eastAsia="仿宋" w:cs="Times New Roman"/>
          <w:sz w:val="32"/>
          <w:szCs w:val="32"/>
        </w:rPr>
        <w:t xml:space="preserve">   （十四）</w:t>
      </w:r>
      <w:r>
        <w:rPr>
          <w:rFonts w:ascii="仿宋" w:hAnsi="仿宋" w:eastAsia="仿宋" w:cs="Times New Roman"/>
          <w:sz w:val="32"/>
          <w:szCs w:val="32"/>
        </w:rPr>
        <w:t>指导、检查、推动全县有关部门网络安全和信息化工作。</w:t>
      </w:r>
    </w:p>
    <w:p>
      <w:pPr>
        <w:spacing w:line="600" w:lineRule="exact"/>
        <w:jc w:val="left"/>
        <w:rPr>
          <w:rFonts w:ascii="仿宋" w:hAnsi="仿宋" w:eastAsia="仿宋" w:cs="Times New Roman"/>
          <w:sz w:val="32"/>
          <w:szCs w:val="32"/>
        </w:rPr>
      </w:pPr>
      <w:r>
        <w:rPr>
          <w:rFonts w:hint="eastAsia" w:ascii="仿宋" w:hAnsi="仿宋" w:eastAsia="仿宋" w:cs="Times New Roman"/>
          <w:sz w:val="32"/>
          <w:szCs w:val="32"/>
        </w:rPr>
        <w:t xml:space="preserve">   （十五）</w:t>
      </w:r>
      <w:r>
        <w:rPr>
          <w:rFonts w:ascii="仿宋" w:hAnsi="仿宋" w:eastAsia="仿宋" w:cs="Times New Roman"/>
          <w:sz w:val="32"/>
          <w:szCs w:val="32"/>
        </w:rPr>
        <w:t>完成市委网络安全和信息化委员会办公室(市互联网信息办公室)和县委，县政府及县委网络安全和信息化委员会县委宣传部交办的其他任务。</w:t>
      </w:r>
    </w:p>
    <w:p>
      <w:pPr>
        <w:spacing w:line="600" w:lineRule="exact"/>
        <w:rPr>
          <w:rFonts w:ascii="仿宋" w:hAnsi="仿宋" w:eastAsia="仿宋" w:cs="Times New Roman"/>
          <w:sz w:val="32"/>
          <w:szCs w:val="32"/>
        </w:rPr>
      </w:pPr>
    </w:p>
    <w:p>
      <w:pPr>
        <w:spacing w:line="600" w:lineRule="exact"/>
        <w:rPr>
          <w:rFonts w:ascii="仿宋" w:hAnsi="仿宋" w:eastAsia="仿宋" w:cs="Times New Roman"/>
          <w:sz w:val="32"/>
          <w:szCs w:val="32"/>
        </w:rPr>
      </w:pPr>
    </w:p>
    <w:p>
      <w:pPr>
        <w:rPr>
          <w:rFonts w:ascii="仿宋" w:hAnsi="仿宋" w:eastAsia="仿宋" w:cs="Times New Roman"/>
          <w:b/>
          <w:sz w:val="32"/>
          <w:szCs w:val="32"/>
        </w:rPr>
      </w:pPr>
      <w:r>
        <w:rPr>
          <w:rFonts w:hint="eastAsia" w:ascii="仿宋" w:hAnsi="仿宋" w:eastAsia="仿宋" w:cs="Times New Roman"/>
          <w:b/>
          <w:sz w:val="32"/>
          <w:szCs w:val="32"/>
        </w:rPr>
        <w:t>机构设置</w:t>
      </w:r>
    </w:p>
    <w:p>
      <w:pPr>
        <w:widowControl/>
        <w:jc w:val="center"/>
        <w:rPr>
          <w:rFonts w:ascii="仿宋" w:hAnsi="仿宋" w:eastAsia="仿宋" w:cs="宋体"/>
          <w:color w:val="111111"/>
          <w:kern w:val="0"/>
          <w:sz w:val="32"/>
          <w:szCs w:val="32"/>
        </w:rPr>
      </w:pPr>
      <w:r>
        <w:rPr>
          <w:rFonts w:hint="eastAsia" w:ascii="仿宋" w:hAnsi="仿宋" w:eastAsia="仿宋" w:cs="宋体"/>
          <w:color w:val="111111"/>
          <w:kern w:val="0"/>
          <w:sz w:val="32"/>
          <w:szCs w:val="32"/>
        </w:rPr>
        <w:t>部门机构设置情况</w:t>
      </w:r>
    </w:p>
    <w:tbl>
      <w:tblPr>
        <w:tblStyle w:val="6"/>
        <w:tblpPr w:leftFromText="180" w:rightFromText="180" w:vertAnchor="text" w:horzAnchor="margin" w:tblpXSpec="center" w:tblpY="2"/>
        <w:tblW w:w="124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86"/>
        <w:gridCol w:w="2268"/>
        <w:gridCol w:w="1985"/>
        <w:gridCol w:w="3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786" w:type="dxa"/>
            <w:vMerge w:val="restart"/>
            <w:shd w:val="clear" w:color="auto" w:fill="auto"/>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单位名称</w:t>
            </w:r>
          </w:p>
        </w:tc>
        <w:tc>
          <w:tcPr>
            <w:tcW w:w="2268" w:type="dxa"/>
            <w:vMerge w:val="restart"/>
            <w:shd w:val="clear" w:color="auto" w:fill="auto"/>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单位性质</w:t>
            </w:r>
          </w:p>
        </w:tc>
        <w:tc>
          <w:tcPr>
            <w:tcW w:w="1985" w:type="dxa"/>
            <w:vMerge w:val="restart"/>
            <w:shd w:val="clear" w:color="auto" w:fill="auto"/>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单位规格</w:t>
            </w:r>
          </w:p>
        </w:tc>
        <w:tc>
          <w:tcPr>
            <w:tcW w:w="3402" w:type="dxa"/>
            <w:vMerge w:val="restart"/>
            <w:shd w:val="clear" w:color="auto" w:fill="auto"/>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786" w:type="dxa"/>
            <w:vMerge w:val="continue"/>
            <w:shd w:val="clear" w:color="auto" w:fill="auto"/>
            <w:vAlign w:val="center"/>
          </w:tcPr>
          <w:p>
            <w:pPr>
              <w:spacing w:line="300" w:lineRule="exact"/>
              <w:jc w:val="center"/>
              <w:outlineLvl w:val="0"/>
              <w:rPr>
                <w:rFonts w:ascii="仿宋" w:hAnsi="仿宋" w:eastAsia="仿宋" w:cs="Times New Roman"/>
                <w:szCs w:val="24"/>
              </w:rPr>
            </w:pPr>
          </w:p>
        </w:tc>
        <w:tc>
          <w:tcPr>
            <w:tcW w:w="2268" w:type="dxa"/>
            <w:vMerge w:val="continue"/>
            <w:shd w:val="clear" w:color="auto" w:fill="auto"/>
            <w:vAlign w:val="center"/>
          </w:tcPr>
          <w:p>
            <w:pPr>
              <w:spacing w:line="300" w:lineRule="exact"/>
              <w:jc w:val="center"/>
              <w:outlineLvl w:val="0"/>
              <w:rPr>
                <w:rFonts w:ascii="仿宋" w:hAnsi="仿宋" w:eastAsia="仿宋" w:cs="Times New Roman"/>
                <w:szCs w:val="24"/>
              </w:rPr>
            </w:pPr>
          </w:p>
        </w:tc>
        <w:tc>
          <w:tcPr>
            <w:tcW w:w="1985" w:type="dxa"/>
            <w:vMerge w:val="continue"/>
            <w:shd w:val="clear" w:color="auto" w:fill="auto"/>
            <w:vAlign w:val="center"/>
          </w:tcPr>
          <w:p>
            <w:pPr>
              <w:spacing w:line="300" w:lineRule="exact"/>
              <w:jc w:val="center"/>
              <w:outlineLvl w:val="0"/>
              <w:rPr>
                <w:rFonts w:ascii="仿宋" w:hAnsi="仿宋" w:eastAsia="仿宋" w:cs="Times New Roman"/>
                <w:szCs w:val="24"/>
              </w:rPr>
            </w:pPr>
          </w:p>
        </w:tc>
        <w:tc>
          <w:tcPr>
            <w:tcW w:w="3402" w:type="dxa"/>
            <w:vMerge w:val="continue"/>
            <w:shd w:val="clear" w:color="auto" w:fill="auto"/>
            <w:vAlign w:val="center"/>
          </w:tcPr>
          <w:p>
            <w:pPr>
              <w:spacing w:line="300" w:lineRule="exact"/>
              <w:jc w:val="center"/>
              <w:outlineLvl w:val="0"/>
              <w:rPr>
                <w:rFonts w:ascii="仿宋" w:hAnsi="仿宋" w:eastAsia="仿宋"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786" w:type="dxa"/>
            <w:shd w:val="clear" w:color="auto" w:fill="auto"/>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中共涞源县委网络安全和信息化委员会办公室</w:t>
            </w:r>
          </w:p>
        </w:tc>
        <w:tc>
          <w:tcPr>
            <w:tcW w:w="2268" w:type="dxa"/>
            <w:shd w:val="clear" w:color="auto" w:fill="auto"/>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行政</w:t>
            </w:r>
          </w:p>
        </w:tc>
        <w:tc>
          <w:tcPr>
            <w:tcW w:w="1985" w:type="dxa"/>
            <w:shd w:val="clear" w:color="auto" w:fill="auto"/>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正科级</w:t>
            </w:r>
          </w:p>
        </w:tc>
        <w:tc>
          <w:tcPr>
            <w:tcW w:w="3402" w:type="dxa"/>
            <w:shd w:val="clear" w:color="auto" w:fill="auto"/>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财政拨款</w:t>
            </w:r>
          </w:p>
        </w:tc>
      </w:tr>
    </w:tbl>
    <w:p>
      <w:pPr>
        <w:rPr>
          <w:rFonts w:ascii="仿宋" w:hAnsi="仿宋" w:eastAsia="仿宋" w:cs="Times New Roman"/>
          <w:sz w:val="32"/>
          <w:szCs w:val="32"/>
        </w:rPr>
      </w:pPr>
    </w:p>
    <w:p>
      <w:pPr>
        <w:spacing w:line="600" w:lineRule="exact"/>
        <w:rPr>
          <w:rFonts w:ascii="宋体" w:hAnsi="宋体" w:eastAsia="宋体" w:cs="Times New Roman"/>
          <w:b/>
          <w:bCs/>
          <w:sz w:val="32"/>
          <w:szCs w:val="32"/>
        </w:rPr>
      </w:pPr>
    </w:p>
    <w:p>
      <w:pPr>
        <w:spacing w:line="600" w:lineRule="exact"/>
        <w:rPr>
          <w:rFonts w:ascii="宋体" w:hAnsi="宋体" w:eastAsia="宋体" w:cs="Times New Roman"/>
          <w:b/>
          <w:bCs/>
          <w:sz w:val="32"/>
          <w:szCs w:val="32"/>
        </w:rPr>
      </w:pPr>
      <w:r>
        <w:rPr>
          <w:rFonts w:hint="eastAsia" w:ascii="宋体" w:hAnsi="宋体" w:eastAsia="宋体" w:cs="Times New Roman"/>
          <w:b/>
          <w:bCs/>
          <w:sz w:val="32"/>
          <w:szCs w:val="32"/>
        </w:rPr>
        <w:t>二、部门预算安排的总体情况</w:t>
      </w:r>
    </w:p>
    <w:p>
      <w:pPr>
        <w:spacing w:line="600" w:lineRule="exact"/>
        <w:ind w:firstLine="640" w:firstLineChars="200"/>
        <w:rPr>
          <w:rFonts w:ascii="仿宋" w:hAnsi="仿宋" w:eastAsia="仿宋" w:cs="Times New Roman"/>
          <w:b/>
          <w:bCs/>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按照预算管理有关规定，目前我部门预算的编制实行综合预算制度，即全部收入和支出都反映</w:t>
      </w:r>
      <w:r>
        <w:rPr>
          <w:rFonts w:hint="eastAsia" w:ascii="仿宋" w:hAnsi="仿宋" w:eastAsia="仿宋" w:cs="Times New Roman"/>
          <w:color w:val="000000" w:themeColor="text1"/>
          <w:sz w:val="32"/>
          <w:szCs w:val="32"/>
          <w14:textFill>
            <w14:solidFill>
              <w14:schemeClr w14:val="tx1"/>
            </w14:solidFill>
          </w14:textFill>
        </w:rPr>
        <w:t>在</w:t>
      </w:r>
      <w:r>
        <w:rPr>
          <w:rFonts w:ascii="仿宋" w:hAnsi="仿宋" w:eastAsia="仿宋" w:cs="Times New Roman"/>
          <w:color w:val="000000" w:themeColor="text1"/>
          <w:sz w:val="32"/>
          <w:szCs w:val="32"/>
          <w14:textFill>
            <w14:solidFill>
              <w14:schemeClr w14:val="tx1"/>
            </w14:solidFill>
          </w14:textFill>
        </w:rPr>
        <w:t>预算中。</w:t>
      </w:r>
      <w:r>
        <w:rPr>
          <w:rFonts w:hint="eastAsia" w:ascii="仿宋" w:hAnsi="仿宋" w:eastAsia="仿宋" w:cs="Times New Roman"/>
          <w:color w:val="000000" w:themeColor="text1"/>
          <w:sz w:val="32"/>
          <w:szCs w:val="32"/>
          <w14:textFill>
            <w14:solidFill>
              <w14:schemeClr w14:val="tx1"/>
            </w14:solidFill>
          </w14:textFill>
        </w:rPr>
        <w:t>中共涞源县委网络安全和信息化委员会办公室</w:t>
      </w:r>
      <w:r>
        <w:rPr>
          <w:rFonts w:ascii="仿宋" w:hAnsi="仿宋" w:eastAsia="仿宋" w:cs="Times New Roman"/>
          <w:color w:val="000000" w:themeColor="text1"/>
          <w:sz w:val="32"/>
          <w:szCs w:val="32"/>
          <w14:textFill>
            <w14:solidFill>
              <w14:schemeClr w14:val="tx1"/>
            </w14:solidFill>
          </w14:textFill>
        </w:rPr>
        <w:t>收支包含在部门预算中。</w:t>
      </w:r>
    </w:p>
    <w:p>
      <w:pPr>
        <w:spacing w:line="600" w:lineRule="exact"/>
        <w:rPr>
          <w:rFonts w:ascii="仿宋" w:hAnsi="仿宋" w:eastAsia="仿宋" w:cs="宋体"/>
          <w:b/>
          <w:bCs/>
          <w:color w:val="000000" w:themeColor="text1"/>
          <w:kern w:val="0"/>
          <w:sz w:val="32"/>
          <w:szCs w:val="32"/>
          <w14:textFill>
            <w14:solidFill>
              <w14:schemeClr w14:val="tx1"/>
            </w14:solidFill>
          </w14:textFill>
        </w:rPr>
      </w:pPr>
      <w:r>
        <w:rPr>
          <w:rFonts w:ascii="仿宋" w:hAnsi="仿宋" w:eastAsia="仿宋" w:cs="宋体"/>
          <w:b/>
          <w:bCs/>
          <w:color w:val="000000" w:themeColor="text1"/>
          <w:kern w:val="0"/>
          <w:sz w:val="32"/>
          <w:szCs w:val="32"/>
          <w14:textFill>
            <w14:solidFill>
              <w14:schemeClr w14:val="tx1"/>
            </w14:solidFill>
          </w14:textFill>
        </w:rPr>
        <w:t>1</w:t>
      </w:r>
      <w:r>
        <w:rPr>
          <w:rFonts w:hint="eastAsia" w:ascii="仿宋" w:hAnsi="仿宋" w:eastAsia="仿宋" w:cs="宋体"/>
          <w:b/>
          <w:bCs/>
          <w:color w:val="000000" w:themeColor="text1"/>
          <w:kern w:val="0"/>
          <w:sz w:val="32"/>
          <w:szCs w:val="32"/>
          <w14:textFill>
            <w14:solidFill>
              <w14:schemeClr w14:val="tx1"/>
            </w14:solidFill>
          </w14:textFill>
        </w:rPr>
        <w:t>、收入说明</w:t>
      </w:r>
    </w:p>
    <w:p>
      <w:pPr>
        <w:spacing w:line="600" w:lineRule="exact"/>
        <w:ind w:firstLine="640" w:firstLineChars="200"/>
        <w:rPr>
          <w:rFonts w:ascii="仿宋" w:hAnsi="仿宋" w:eastAsia="仿宋" w:cs="宋体"/>
          <w:bCs/>
          <w:color w:val="000000"/>
          <w:kern w:val="0"/>
          <w:sz w:val="32"/>
          <w:szCs w:val="32"/>
        </w:rPr>
      </w:pPr>
      <w:r>
        <w:rPr>
          <w:rFonts w:ascii="仿宋" w:hAnsi="仿宋" w:eastAsia="仿宋" w:cs="Times New Roman"/>
          <w:color w:val="000000" w:themeColor="text1"/>
          <w:sz w:val="32"/>
          <w:szCs w:val="32"/>
          <w14:textFill>
            <w14:solidFill>
              <w14:schemeClr w14:val="tx1"/>
            </w14:solidFill>
          </w14:textFill>
        </w:rPr>
        <w:t>反映</w:t>
      </w:r>
      <w:r>
        <w:rPr>
          <w:rFonts w:hint="eastAsia" w:ascii="仿宋" w:hAnsi="仿宋" w:eastAsia="仿宋" w:cs="Times New Roman"/>
          <w:color w:val="000000" w:themeColor="text1"/>
          <w:sz w:val="32"/>
          <w:szCs w:val="32"/>
          <w14:textFill>
            <w14:solidFill>
              <w14:schemeClr w14:val="tx1"/>
            </w14:solidFill>
          </w14:textFill>
        </w:rPr>
        <w:t>中共涞源县委网络安全和信息化委员会办公室</w:t>
      </w:r>
      <w:r>
        <w:rPr>
          <w:rFonts w:ascii="仿宋" w:hAnsi="仿宋" w:eastAsia="仿宋" w:cs="Times New Roman"/>
          <w:color w:val="000000" w:themeColor="text1"/>
          <w:sz w:val="32"/>
          <w:szCs w:val="32"/>
          <w14:textFill>
            <w14:solidFill>
              <w14:schemeClr w14:val="tx1"/>
            </w14:solidFill>
          </w14:textFill>
        </w:rPr>
        <w:t>当年全部收入。</w:t>
      </w:r>
      <w:r>
        <w:rPr>
          <w:rFonts w:hint="eastAsia" w:ascii="仿宋" w:hAnsi="仿宋" w:eastAsia="仿宋" w:cs="宋体"/>
          <w:bCs/>
          <w:color w:val="000000" w:themeColor="text1"/>
          <w:kern w:val="0"/>
          <w:sz w:val="32"/>
          <w:szCs w:val="32"/>
          <w14:textFill>
            <w14:solidFill>
              <w14:schemeClr w14:val="tx1"/>
            </w14:solidFill>
          </w14:textFill>
        </w:rPr>
        <w:t>2020年中共涞源县委网络安全和</w:t>
      </w:r>
      <w:r>
        <w:rPr>
          <w:rFonts w:hint="eastAsia" w:ascii="仿宋" w:hAnsi="仿宋" w:eastAsia="仿宋" w:cs="宋体"/>
          <w:bCs/>
          <w:color w:val="000000"/>
          <w:kern w:val="0"/>
          <w:sz w:val="32"/>
          <w:szCs w:val="32"/>
        </w:rPr>
        <w:t>信息化委员会办公室年初部门收入预算总额为</w:t>
      </w:r>
      <w:r>
        <w:rPr>
          <w:rFonts w:ascii="仿宋" w:hAnsi="仿宋" w:eastAsia="仿宋" w:cs="宋体"/>
          <w:bCs/>
          <w:color w:val="000000"/>
          <w:kern w:val="0"/>
          <w:sz w:val="32"/>
          <w:szCs w:val="32"/>
        </w:rPr>
        <w:t>82.12</w:t>
      </w:r>
      <w:r>
        <w:rPr>
          <w:rFonts w:hint="eastAsia" w:ascii="仿宋" w:hAnsi="仿宋" w:eastAsia="仿宋" w:cs="宋体"/>
          <w:bCs/>
          <w:color w:val="000000"/>
          <w:kern w:val="0"/>
          <w:sz w:val="32"/>
          <w:szCs w:val="32"/>
        </w:rPr>
        <w:t>万元。其中：</w:t>
      </w:r>
      <w:r>
        <w:rPr>
          <w:rFonts w:hint="eastAsia" w:ascii="仿宋" w:hAnsi="仿宋" w:eastAsia="仿宋" w:cs="Times New Roman"/>
          <w:sz w:val="32"/>
          <w:szCs w:val="32"/>
        </w:rPr>
        <w:t>一般公共预算收入</w:t>
      </w:r>
      <w:r>
        <w:rPr>
          <w:rFonts w:ascii="仿宋" w:hAnsi="仿宋" w:eastAsia="仿宋" w:cs="宋体"/>
          <w:bCs/>
          <w:color w:val="000000"/>
          <w:kern w:val="0"/>
          <w:sz w:val="32"/>
          <w:szCs w:val="32"/>
        </w:rPr>
        <w:t>82.12</w:t>
      </w:r>
      <w:r>
        <w:rPr>
          <w:rFonts w:hint="eastAsia" w:ascii="仿宋" w:hAnsi="仿宋" w:eastAsia="仿宋" w:cs="宋体"/>
          <w:bCs/>
          <w:color w:val="000000"/>
          <w:kern w:val="0"/>
          <w:sz w:val="32"/>
          <w:szCs w:val="32"/>
        </w:rPr>
        <w:t>万元</w:t>
      </w:r>
    </w:p>
    <w:p>
      <w:pPr>
        <w:spacing w:line="600" w:lineRule="exac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2、</w:t>
      </w:r>
      <w:r>
        <w:rPr>
          <w:rFonts w:hint="eastAsia" w:ascii="仿宋" w:hAnsi="仿宋" w:eastAsia="仿宋" w:cs="Times New Roman"/>
          <w:b/>
          <w:sz w:val="32"/>
          <w:szCs w:val="32"/>
        </w:rPr>
        <w:t>支出说明</w:t>
      </w:r>
    </w:p>
    <w:p>
      <w:pPr>
        <w:spacing w:line="600" w:lineRule="exact"/>
        <w:ind w:firstLine="640" w:firstLineChars="200"/>
        <w:rPr>
          <w:rFonts w:ascii="仿宋" w:hAnsi="仿宋" w:eastAsia="仿宋" w:cs="宋体"/>
          <w:bCs/>
          <w:color w:val="000000"/>
          <w:kern w:val="0"/>
          <w:sz w:val="32"/>
          <w:szCs w:val="32"/>
        </w:rPr>
      </w:pPr>
      <w:r>
        <w:rPr>
          <w:rFonts w:ascii="仿宋" w:hAnsi="仿宋" w:eastAsia="仿宋" w:cs="Times New Roman"/>
          <w:color w:val="000000" w:themeColor="text1"/>
          <w:sz w:val="32"/>
          <w:szCs w:val="32"/>
          <w14:textFill>
            <w14:solidFill>
              <w14:schemeClr w14:val="tx1"/>
            </w14:solidFill>
          </w14:textFill>
        </w:rPr>
        <w:t>收支预算总表支出栏、基本支出表、项目支出表按经济分类和支出功能分类科目编制，反映</w:t>
      </w:r>
      <w:r>
        <w:rPr>
          <w:rFonts w:hint="eastAsia" w:ascii="仿宋" w:hAnsi="仿宋" w:eastAsia="仿宋" w:cs="Times New Roman"/>
          <w:color w:val="000000" w:themeColor="text1"/>
          <w:sz w:val="32"/>
          <w:szCs w:val="32"/>
          <w14:textFill>
            <w14:solidFill>
              <w14:schemeClr w14:val="tx1"/>
            </w14:solidFill>
          </w14:textFill>
        </w:rPr>
        <w:t>中共涞源县委网络安全和信息化委员会办公室</w:t>
      </w:r>
      <w:r>
        <w:rPr>
          <w:rFonts w:ascii="仿宋" w:hAnsi="仿宋" w:eastAsia="仿宋" w:cs="Times New Roman"/>
          <w:color w:val="000000" w:themeColor="text1"/>
          <w:sz w:val="32"/>
          <w:szCs w:val="32"/>
          <w14:textFill>
            <w14:solidFill>
              <w14:schemeClr w14:val="tx1"/>
            </w14:solidFill>
          </w14:textFill>
        </w:rPr>
        <w:t>年度部门预算中支出预算的总体情况。</w:t>
      </w:r>
      <w:r>
        <w:rPr>
          <w:rFonts w:hint="eastAsia" w:ascii="仿宋" w:hAnsi="仿宋" w:eastAsia="仿宋" w:cs="宋体"/>
          <w:bCs/>
          <w:color w:val="000000"/>
          <w:kern w:val="0"/>
          <w:sz w:val="32"/>
          <w:szCs w:val="32"/>
        </w:rPr>
        <w:t>2020年部门支出安排预算总额</w:t>
      </w:r>
      <w:r>
        <w:rPr>
          <w:rFonts w:ascii="仿宋" w:hAnsi="仿宋" w:eastAsia="仿宋" w:cs="宋体"/>
          <w:bCs/>
          <w:color w:val="000000"/>
          <w:kern w:val="0"/>
          <w:sz w:val="32"/>
          <w:szCs w:val="32"/>
        </w:rPr>
        <w:t>82.12</w:t>
      </w:r>
      <w:r>
        <w:rPr>
          <w:rFonts w:hint="eastAsia" w:ascii="仿宋" w:hAnsi="仿宋" w:eastAsia="仿宋" w:cs="宋体"/>
          <w:bCs/>
          <w:color w:val="000000"/>
          <w:kern w:val="0"/>
          <w:sz w:val="32"/>
          <w:szCs w:val="32"/>
        </w:rPr>
        <w:t xml:space="preserve">万元。其中基本支出 </w:t>
      </w:r>
      <w:r>
        <w:rPr>
          <w:rFonts w:ascii="仿宋" w:hAnsi="仿宋" w:eastAsia="仿宋" w:cs="宋体"/>
          <w:bCs/>
          <w:color w:val="000000"/>
          <w:kern w:val="0"/>
          <w:sz w:val="32"/>
          <w:szCs w:val="32"/>
        </w:rPr>
        <w:t>41.28</w:t>
      </w:r>
      <w:r>
        <w:rPr>
          <w:rFonts w:hint="eastAsia" w:ascii="仿宋" w:hAnsi="仿宋" w:eastAsia="仿宋" w:cs="宋体"/>
          <w:bCs/>
          <w:color w:val="000000"/>
          <w:kern w:val="0"/>
          <w:sz w:val="32"/>
          <w:szCs w:val="32"/>
        </w:rPr>
        <w:t>万元，包括人员经费</w:t>
      </w:r>
      <w:r>
        <w:rPr>
          <w:rFonts w:ascii="仿宋" w:hAnsi="仿宋" w:eastAsia="仿宋" w:cs="宋体"/>
          <w:bCs/>
          <w:color w:val="000000"/>
          <w:kern w:val="0"/>
          <w:sz w:val="32"/>
          <w:szCs w:val="32"/>
        </w:rPr>
        <w:t>35.6</w:t>
      </w:r>
      <w:r>
        <w:rPr>
          <w:rFonts w:hint="eastAsia" w:ascii="仿宋" w:hAnsi="仿宋" w:eastAsia="仿宋" w:cs="宋体"/>
          <w:bCs/>
          <w:color w:val="000000"/>
          <w:kern w:val="0"/>
          <w:sz w:val="32"/>
          <w:szCs w:val="32"/>
        </w:rPr>
        <w:t>万元和日常公用经费</w:t>
      </w:r>
      <w:r>
        <w:rPr>
          <w:rFonts w:ascii="仿宋" w:hAnsi="仿宋" w:eastAsia="仿宋" w:cs="宋体"/>
          <w:bCs/>
          <w:color w:val="000000"/>
          <w:kern w:val="0"/>
          <w:sz w:val="32"/>
          <w:szCs w:val="32"/>
        </w:rPr>
        <w:t>5.68</w:t>
      </w:r>
      <w:r>
        <w:rPr>
          <w:rFonts w:hint="eastAsia" w:ascii="仿宋" w:hAnsi="仿宋" w:eastAsia="仿宋" w:cs="宋体"/>
          <w:bCs/>
          <w:color w:val="000000"/>
          <w:kern w:val="0"/>
          <w:sz w:val="32"/>
          <w:szCs w:val="32"/>
        </w:rPr>
        <w:t>万元；项目支出</w:t>
      </w:r>
      <w:r>
        <w:rPr>
          <w:rFonts w:ascii="仿宋" w:hAnsi="仿宋" w:eastAsia="仿宋" w:cs="宋体"/>
          <w:bCs/>
          <w:color w:val="000000"/>
          <w:kern w:val="0"/>
          <w:sz w:val="32"/>
          <w:szCs w:val="32"/>
        </w:rPr>
        <w:t>40.84</w:t>
      </w:r>
      <w:r>
        <w:rPr>
          <w:rFonts w:hint="eastAsia" w:ascii="仿宋" w:hAnsi="仿宋" w:eastAsia="仿宋" w:cs="宋体"/>
          <w:bCs/>
          <w:color w:val="000000"/>
          <w:kern w:val="0"/>
          <w:sz w:val="32"/>
          <w:szCs w:val="32"/>
        </w:rPr>
        <w:t>万元，包括本级支出</w:t>
      </w:r>
      <w:r>
        <w:rPr>
          <w:rFonts w:ascii="仿宋" w:hAnsi="仿宋" w:eastAsia="仿宋" w:cs="宋体"/>
          <w:bCs/>
          <w:color w:val="000000"/>
          <w:kern w:val="0"/>
          <w:sz w:val="32"/>
          <w:szCs w:val="32"/>
        </w:rPr>
        <w:t>40.84</w:t>
      </w:r>
      <w:r>
        <w:rPr>
          <w:rFonts w:hint="eastAsia" w:ascii="仿宋" w:hAnsi="仿宋" w:eastAsia="仿宋" w:cs="宋体"/>
          <w:bCs/>
          <w:color w:val="000000"/>
          <w:kern w:val="0"/>
          <w:sz w:val="32"/>
          <w:szCs w:val="32"/>
        </w:rPr>
        <w:t>万元。</w:t>
      </w:r>
    </w:p>
    <w:p>
      <w:pPr>
        <w:spacing w:line="600" w:lineRule="exac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3、与上年增减情况</w:t>
      </w:r>
    </w:p>
    <w:p>
      <w:pPr>
        <w:spacing w:line="600" w:lineRule="exac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本年度预算收支安排</w:t>
      </w:r>
      <w:r>
        <w:rPr>
          <w:rFonts w:ascii="仿宋" w:hAnsi="仿宋" w:eastAsia="仿宋" w:cs="宋体"/>
          <w:bCs/>
          <w:color w:val="000000"/>
          <w:kern w:val="0"/>
          <w:sz w:val="32"/>
          <w:szCs w:val="32"/>
        </w:rPr>
        <w:t>82.12</w:t>
      </w:r>
      <w:r>
        <w:rPr>
          <w:rFonts w:hint="eastAsia" w:ascii="仿宋" w:hAnsi="仿宋" w:eastAsia="仿宋" w:cs="宋体"/>
          <w:bCs/>
          <w:color w:val="000000"/>
          <w:kern w:val="0"/>
          <w:sz w:val="32"/>
          <w:szCs w:val="32"/>
        </w:rPr>
        <w:t>万元,本单位为</w:t>
      </w:r>
      <w:r>
        <w:rPr>
          <w:rFonts w:ascii="仿宋" w:hAnsi="仿宋" w:eastAsia="仿宋" w:cs="宋体"/>
          <w:bCs/>
          <w:color w:val="000000"/>
          <w:kern w:val="0"/>
          <w:sz w:val="32"/>
          <w:szCs w:val="32"/>
        </w:rPr>
        <w:t>新成立党政机关，无上年度对比情况</w:t>
      </w:r>
      <w:r>
        <w:rPr>
          <w:rFonts w:hint="eastAsia" w:ascii="仿宋" w:hAnsi="仿宋" w:eastAsia="仿宋" w:cs="宋体"/>
          <w:bCs/>
          <w:color w:val="000000"/>
          <w:kern w:val="0"/>
          <w:sz w:val="32"/>
          <w:szCs w:val="32"/>
        </w:rPr>
        <w:t>。本年度我单位合理安排项目支出。</w:t>
      </w:r>
    </w:p>
    <w:p>
      <w:pPr>
        <w:spacing w:line="600" w:lineRule="exact"/>
        <w:jc w:val="left"/>
        <w:outlineLvl w:val="0"/>
        <w:rPr>
          <w:rFonts w:ascii="宋体" w:hAnsi="宋体" w:eastAsia="宋体" w:cs="Times New Roman"/>
          <w:b/>
          <w:sz w:val="32"/>
          <w:szCs w:val="32"/>
        </w:rPr>
      </w:pPr>
      <w:r>
        <w:rPr>
          <w:rFonts w:hint="eastAsia" w:ascii="宋体" w:hAnsi="宋体" w:eastAsia="宋体" w:cs="Times New Roman"/>
          <w:b/>
          <w:sz w:val="32"/>
          <w:szCs w:val="32"/>
        </w:rPr>
        <w:t>三、机关运行经费安排情况</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涞源县</w:t>
      </w:r>
      <w:r>
        <w:rPr>
          <w:rFonts w:hint="eastAsia" w:ascii="仿宋" w:hAnsi="仿宋" w:eastAsia="仿宋" w:cs="Times New Roman"/>
          <w:sz w:val="32"/>
          <w:szCs w:val="32"/>
          <w:lang w:val="en-US" w:eastAsia="zh-CN"/>
        </w:rPr>
        <w:t>委</w:t>
      </w:r>
      <w:r>
        <w:rPr>
          <w:rFonts w:hint="eastAsia" w:ascii="仿宋" w:hAnsi="仿宋" w:eastAsia="仿宋" w:cs="Times New Roman"/>
          <w:sz w:val="32"/>
          <w:szCs w:val="32"/>
        </w:rPr>
        <w:t>网络</w:t>
      </w:r>
      <w:r>
        <w:rPr>
          <w:rFonts w:ascii="仿宋" w:hAnsi="仿宋" w:eastAsia="仿宋" w:cs="Times New Roman"/>
          <w:sz w:val="32"/>
          <w:szCs w:val="32"/>
        </w:rPr>
        <w:t>安全和信息化</w:t>
      </w:r>
      <w:r>
        <w:rPr>
          <w:rFonts w:hint="eastAsia" w:ascii="仿宋" w:hAnsi="仿宋" w:eastAsia="仿宋" w:cs="Times New Roman"/>
          <w:sz w:val="32"/>
          <w:szCs w:val="32"/>
        </w:rPr>
        <w:t>委员会办公室机关运行经费安排</w:t>
      </w:r>
      <w:r>
        <w:rPr>
          <w:rFonts w:ascii="仿宋" w:hAnsi="仿宋" w:eastAsia="仿宋" w:cs="Times New Roman"/>
          <w:sz w:val="32"/>
          <w:szCs w:val="32"/>
        </w:rPr>
        <w:t>5.68</w:t>
      </w:r>
      <w:r>
        <w:rPr>
          <w:rFonts w:hint="eastAsia" w:ascii="仿宋" w:hAnsi="仿宋" w:eastAsia="仿宋" w:cs="Times New Roman"/>
          <w:sz w:val="32"/>
          <w:szCs w:val="32"/>
        </w:rPr>
        <w:t>万元，其中办公费</w:t>
      </w:r>
      <w:r>
        <w:rPr>
          <w:rFonts w:ascii="仿宋" w:hAnsi="仿宋" w:eastAsia="仿宋" w:cs="Times New Roman"/>
          <w:sz w:val="32"/>
          <w:szCs w:val="32"/>
        </w:rPr>
        <w:t>0.92</w:t>
      </w:r>
      <w:r>
        <w:rPr>
          <w:rFonts w:hint="eastAsia" w:ascii="仿宋" w:hAnsi="仿宋" w:eastAsia="仿宋" w:cs="Times New Roman"/>
          <w:sz w:val="32"/>
          <w:szCs w:val="32"/>
        </w:rPr>
        <w:t>万元，电费费0.8万元，邮电费0.36万元，差旅费</w:t>
      </w:r>
      <w:r>
        <w:rPr>
          <w:rFonts w:ascii="仿宋" w:hAnsi="仿宋" w:eastAsia="仿宋" w:cs="Times New Roman"/>
          <w:sz w:val="32"/>
          <w:szCs w:val="32"/>
        </w:rPr>
        <w:t>1.6</w:t>
      </w:r>
      <w:r>
        <w:rPr>
          <w:rFonts w:hint="eastAsia" w:ascii="仿宋" w:hAnsi="仿宋" w:eastAsia="仿宋" w:cs="Times New Roman"/>
          <w:sz w:val="32"/>
          <w:szCs w:val="32"/>
        </w:rPr>
        <w:t>万元，公务接待费</w:t>
      </w:r>
      <w:r>
        <w:rPr>
          <w:rFonts w:ascii="仿宋" w:hAnsi="仿宋" w:eastAsia="仿宋" w:cs="Times New Roman"/>
          <w:sz w:val="32"/>
          <w:szCs w:val="32"/>
        </w:rPr>
        <w:t>2</w:t>
      </w:r>
      <w:r>
        <w:rPr>
          <w:rFonts w:hint="eastAsia" w:ascii="仿宋" w:hAnsi="仿宋" w:eastAsia="仿宋" w:cs="Times New Roman"/>
          <w:sz w:val="32"/>
          <w:szCs w:val="32"/>
        </w:rPr>
        <w:t>万。</w:t>
      </w:r>
    </w:p>
    <w:p>
      <w:pPr>
        <w:spacing w:line="600" w:lineRule="exact"/>
        <w:jc w:val="left"/>
        <w:outlineLvl w:val="0"/>
        <w:rPr>
          <w:rFonts w:ascii="宋体" w:hAnsi="宋体" w:eastAsia="宋体" w:cs="Times New Roman"/>
          <w:b/>
          <w:sz w:val="32"/>
          <w:szCs w:val="32"/>
        </w:rPr>
      </w:pPr>
      <w:r>
        <w:rPr>
          <w:rFonts w:hint="eastAsia" w:ascii="宋体" w:hAnsi="宋体" w:eastAsia="宋体" w:cs="Times New Roman"/>
          <w:b/>
          <w:sz w:val="32"/>
          <w:szCs w:val="32"/>
        </w:rPr>
        <w:t>四、财政拨款“三公”经费预算情况</w:t>
      </w:r>
    </w:p>
    <w:tbl>
      <w:tblPr>
        <w:tblStyle w:val="6"/>
        <w:tblpPr w:leftFromText="180" w:rightFromText="180" w:vertAnchor="text" w:horzAnchor="page" w:tblpXSpec="center" w:tblpY="1076"/>
        <w:tblOverlap w:val="never"/>
        <w:tblW w:w="0" w:type="auto"/>
        <w:tblInd w:w="0" w:type="dxa"/>
        <w:tblLayout w:type="fixed"/>
        <w:tblCellMar>
          <w:top w:w="0" w:type="dxa"/>
          <w:left w:w="108" w:type="dxa"/>
          <w:bottom w:w="0" w:type="dxa"/>
          <w:right w:w="108" w:type="dxa"/>
        </w:tblCellMar>
      </w:tblPr>
      <w:tblGrid>
        <w:gridCol w:w="2280"/>
        <w:gridCol w:w="1716"/>
        <w:gridCol w:w="1848"/>
        <w:gridCol w:w="1320"/>
        <w:gridCol w:w="3248"/>
      </w:tblGrid>
      <w:tr>
        <w:tblPrEx>
          <w:tblCellMar>
            <w:top w:w="0" w:type="dxa"/>
            <w:left w:w="108" w:type="dxa"/>
            <w:bottom w:w="0" w:type="dxa"/>
            <w:right w:w="108" w:type="dxa"/>
          </w:tblCellMar>
        </w:tblPrEx>
        <w:trPr>
          <w:trHeight w:val="489" w:hRule="atLeast"/>
        </w:trPr>
        <w:tc>
          <w:tcPr>
            <w:tcW w:w="10412"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cs="Times New Roman"/>
                <w:sz w:val="32"/>
                <w:szCs w:val="32"/>
              </w:rPr>
              <w:t>“三公”经费预算情况及增减变化原因</w:t>
            </w:r>
          </w:p>
        </w:tc>
      </w:tr>
      <w:tr>
        <w:tblPrEx>
          <w:tblCellMar>
            <w:top w:w="0" w:type="dxa"/>
            <w:left w:w="108" w:type="dxa"/>
            <w:bottom w:w="0" w:type="dxa"/>
            <w:right w:w="108" w:type="dxa"/>
          </w:tblCellMar>
        </w:tblPrEx>
        <w:trPr>
          <w:trHeight w:val="293" w:hRule="atLeast"/>
        </w:trPr>
        <w:tc>
          <w:tcPr>
            <w:tcW w:w="228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71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848"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32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3248" w:type="dxa"/>
            <w:tcBorders>
              <w:top w:val="nil"/>
              <w:left w:val="nil"/>
              <w:bottom w:val="nil"/>
              <w:right w:val="nil"/>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单位：万元</w:t>
            </w:r>
          </w:p>
        </w:tc>
      </w:tr>
      <w:tr>
        <w:tblPrEx>
          <w:tblCellMar>
            <w:top w:w="0" w:type="dxa"/>
            <w:left w:w="108" w:type="dxa"/>
            <w:bottom w:w="0" w:type="dxa"/>
            <w:right w:w="108" w:type="dxa"/>
          </w:tblCellMar>
        </w:tblPrEx>
        <w:trPr>
          <w:trHeight w:val="303" w:hRule="atLeast"/>
        </w:trPr>
        <w:tc>
          <w:tcPr>
            <w:tcW w:w="2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2019年度预算</w:t>
            </w:r>
          </w:p>
        </w:tc>
        <w:tc>
          <w:tcPr>
            <w:tcW w:w="18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2020年度预算</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增减金额</w:t>
            </w:r>
          </w:p>
        </w:tc>
        <w:tc>
          <w:tcPr>
            <w:tcW w:w="32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变化原因</w:t>
            </w:r>
          </w:p>
        </w:tc>
      </w:tr>
      <w:tr>
        <w:tblPrEx>
          <w:tblCellMar>
            <w:top w:w="0" w:type="dxa"/>
            <w:left w:w="108" w:type="dxa"/>
            <w:bottom w:w="0" w:type="dxa"/>
            <w:right w:w="108" w:type="dxa"/>
          </w:tblCellMar>
        </w:tblPrEx>
        <w:trPr>
          <w:trHeight w:val="303" w:hRule="atLeast"/>
        </w:trPr>
        <w:tc>
          <w:tcPr>
            <w:tcW w:w="22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8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3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324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新成立</w:t>
            </w:r>
            <w:r>
              <w:rPr>
                <w:rFonts w:ascii="仿宋_GB2312" w:hAnsi="宋体" w:eastAsia="仿宋_GB2312" w:cs="宋体"/>
                <w:kern w:val="0"/>
                <w:sz w:val="24"/>
                <w:szCs w:val="24"/>
              </w:rPr>
              <w:t>单位</w:t>
            </w: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67" w:hRule="atLeast"/>
        </w:trPr>
        <w:tc>
          <w:tcPr>
            <w:tcW w:w="228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8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324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新成立</w:t>
            </w:r>
            <w:r>
              <w:rPr>
                <w:rFonts w:ascii="仿宋_GB2312" w:hAnsi="宋体" w:eastAsia="仿宋_GB2312" w:cs="宋体"/>
                <w:kern w:val="0"/>
                <w:sz w:val="24"/>
                <w:szCs w:val="24"/>
              </w:rPr>
              <w:t>单位</w:t>
            </w: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67" w:hRule="atLeast"/>
        </w:trPr>
        <w:tc>
          <w:tcPr>
            <w:tcW w:w="228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8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3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324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新成立</w:t>
            </w:r>
            <w:r>
              <w:rPr>
                <w:rFonts w:ascii="仿宋_GB2312" w:hAnsi="宋体" w:eastAsia="仿宋_GB2312" w:cs="宋体"/>
                <w:kern w:val="0"/>
                <w:sz w:val="24"/>
                <w:szCs w:val="24"/>
              </w:rPr>
              <w:t>单位</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67" w:hRule="atLeast"/>
        </w:trPr>
        <w:tc>
          <w:tcPr>
            <w:tcW w:w="22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8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w:t>
            </w:r>
          </w:p>
        </w:tc>
        <w:tc>
          <w:tcPr>
            <w:tcW w:w="13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324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新成立</w:t>
            </w:r>
            <w:r>
              <w:rPr>
                <w:rFonts w:ascii="仿宋_GB2312" w:hAnsi="宋体" w:eastAsia="仿宋_GB2312" w:cs="宋体"/>
                <w:kern w:val="0"/>
                <w:sz w:val="24"/>
                <w:szCs w:val="24"/>
              </w:rPr>
              <w:t>单位</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393" w:hRule="atLeast"/>
        </w:trPr>
        <w:tc>
          <w:tcPr>
            <w:tcW w:w="22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8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w:t>
            </w:r>
          </w:p>
        </w:tc>
        <w:tc>
          <w:tcPr>
            <w:tcW w:w="13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324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bl>
    <w:p>
      <w:pPr>
        <w:jc w:val="center"/>
        <w:rPr>
          <w:rFonts w:ascii="黑体" w:hAnsi="黑体" w:eastAsia="黑体" w:cs="宋体"/>
          <w:b/>
          <w:bCs/>
          <w:color w:val="000000"/>
          <w:kern w:val="0"/>
          <w:sz w:val="32"/>
          <w:szCs w:val="32"/>
        </w:rPr>
      </w:pPr>
    </w:p>
    <w:p>
      <w:pPr>
        <w:jc w:val="center"/>
        <w:rPr>
          <w:rFonts w:ascii="黑体" w:hAnsi="黑体" w:eastAsia="黑体" w:cs="Times New Roman"/>
          <w:b/>
          <w:sz w:val="32"/>
          <w:szCs w:val="32"/>
        </w:rPr>
      </w:pPr>
    </w:p>
    <w:p>
      <w:pPr>
        <w:jc w:val="center"/>
        <w:rPr>
          <w:rFonts w:ascii="黑体" w:hAnsi="黑体" w:eastAsia="黑体" w:cs="Times New Roman"/>
          <w:b/>
          <w:sz w:val="32"/>
          <w:szCs w:val="32"/>
        </w:rPr>
      </w:pPr>
    </w:p>
    <w:p>
      <w:pPr>
        <w:jc w:val="center"/>
        <w:rPr>
          <w:rFonts w:ascii="黑体" w:hAnsi="黑体" w:eastAsia="黑体" w:cs="Times New Roman"/>
          <w:b/>
          <w:sz w:val="32"/>
          <w:szCs w:val="32"/>
        </w:rPr>
      </w:pPr>
    </w:p>
    <w:p>
      <w:pPr>
        <w:widowControl/>
        <w:tabs>
          <w:tab w:val="center" w:pos="5139"/>
        </w:tabs>
        <w:spacing w:line="600" w:lineRule="exact"/>
        <w:jc w:val="left"/>
        <w:rPr>
          <w:rFonts w:hint="eastAsia" w:ascii="宋体" w:hAnsi="宋体" w:eastAsia="宋体" w:cs="宋体"/>
          <w:b/>
          <w:color w:val="111111"/>
          <w:kern w:val="0"/>
          <w:sz w:val="32"/>
          <w:szCs w:val="32"/>
        </w:rPr>
      </w:pPr>
    </w:p>
    <w:p>
      <w:pPr>
        <w:widowControl/>
        <w:tabs>
          <w:tab w:val="center" w:pos="5139"/>
        </w:tabs>
        <w:spacing w:line="600" w:lineRule="exact"/>
        <w:jc w:val="left"/>
        <w:rPr>
          <w:rFonts w:hint="eastAsia" w:ascii="宋体" w:hAnsi="宋体" w:eastAsia="宋体" w:cs="宋体"/>
          <w:b/>
          <w:color w:val="111111"/>
          <w:kern w:val="0"/>
          <w:sz w:val="32"/>
          <w:szCs w:val="32"/>
        </w:rPr>
      </w:pPr>
    </w:p>
    <w:p>
      <w:pPr>
        <w:widowControl/>
        <w:tabs>
          <w:tab w:val="center" w:pos="5139"/>
        </w:tabs>
        <w:spacing w:line="600" w:lineRule="exact"/>
        <w:jc w:val="left"/>
        <w:rPr>
          <w:rFonts w:hint="eastAsia" w:ascii="宋体" w:hAnsi="宋体" w:eastAsia="宋体" w:cs="宋体"/>
          <w:b/>
          <w:color w:val="111111"/>
          <w:kern w:val="0"/>
          <w:sz w:val="32"/>
          <w:szCs w:val="32"/>
        </w:rPr>
      </w:pPr>
    </w:p>
    <w:p>
      <w:pPr>
        <w:widowControl/>
        <w:tabs>
          <w:tab w:val="center" w:pos="5139"/>
        </w:tabs>
        <w:spacing w:line="600" w:lineRule="exact"/>
        <w:jc w:val="left"/>
        <w:rPr>
          <w:rFonts w:hint="eastAsia" w:ascii="宋体" w:hAnsi="宋体" w:eastAsia="宋体" w:cs="宋体"/>
          <w:b/>
          <w:color w:val="111111"/>
          <w:kern w:val="0"/>
          <w:sz w:val="32"/>
          <w:szCs w:val="32"/>
        </w:rPr>
      </w:pPr>
    </w:p>
    <w:p>
      <w:pPr>
        <w:widowControl/>
        <w:tabs>
          <w:tab w:val="center" w:pos="5139"/>
        </w:tabs>
        <w:spacing w:line="600" w:lineRule="exact"/>
        <w:jc w:val="left"/>
        <w:rPr>
          <w:rFonts w:hint="eastAsia" w:ascii="宋体" w:hAnsi="宋体" w:eastAsia="宋体" w:cs="宋体"/>
          <w:b/>
          <w:color w:val="111111"/>
          <w:kern w:val="0"/>
          <w:sz w:val="32"/>
          <w:szCs w:val="32"/>
        </w:rPr>
      </w:pPr>
    </w:p>
    <w:p>
      <w:pPr>
        <w:widowControl/>
        <w:tabs>
          <w:tab w:val="center" w:pos="5139"/>
        </w:tabs>
        <w:spacing w:line="600" w:lineRule="exact"/>
        <w:jc w:val="left"/>
        <w:rPr>
          <w:rFonts w:hint="eastAsia" w:ascii="宋体" w:hAnsi="宋体" w:eastAsia="宋体" w:cs="宋体"/>
          <w:b/>
          <w:color w:val="111111"/>
          <w:kern w:val="0"/>
          <w:sz w:val="32"/>
          <w:szCs w:val="32"/>
        </w:rPr>
      </w:pPr>
    </w:p>
    <w:p>
      <w:pPr>
        <w:widowControl/>
        <w:tabs>
          <w:tab w:val="center" w:pos="5139"/>
        </w:tabs>
        <w:spacing w:line="600" w:lineRule="exact"/>
        <w:jc w:val="left"/>
        <w:rPr>
          <w:rFonts w:ascii="宋体" w:hAnsi="宋体" w:eastAsia="宋体" w:cs="宋体"/>
          <w:b/>
          <w:color w:val="111111"/>
          <w:kern w:val="0"/>
          <w:sz w:val="32"/>
          <w:szCs w:val="32"/>
        </w:rPr>
      </w:pPr>
      <w:r>
        <w:rPr>
          <w:rFonts w:hint="eastAsia" w:ascii="宋体" w:hAnsi="宋体" w:eastAsia="宋体" w:cs="宋体"/>
          <w:b/>
          <w:color w:val="111111"/>
          <w:kern w:val="0"/>
          <w:sz w:val="32"/>
          <w:szCs w:val="32"/>
        </w:rPr>
        <w:t>五、预算绩效信息</w:t>
      </w:r>
    </w:p>
    <w:p>
      <w:pP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 (一)总体绩效目标</w:t>
      </w:r>
    </w:p>
    <w:p>
      <w:pPr>
        <w:rPr>
          <w:rFonts w:ascii="仿宋" w:hAnsi="仿宋" w:eastAsia="仿宋" w:cs="Times New Roman"/>
          <w:sz w:val="32"/>
          <w:szCs w:val="32"/>
        </w:rPr>
      </w:pPr>
      <w:r>
        <w:rPr>
          <w:rFonts w:ascii="仿宋" w:hAnsi="仿宋" w:eastAsia="仿宋" w:cs="Times New Roman"/>
          <w:sz w:val="32"/>
          <w:szCs w:val="32"/>
        </w:rPr>
        <w:t xml:space="preserve">1.提高站位，深化学习，切实履行网络意识形态工作主体责任。慈利县网信办以习近平新时代中国特色社会主义思想为指导，深化学习习近平总书记关于网络安全和信息化工作的系列讲话精神，深化学习2018年全国宣传思想工作会议上的讲话精神，牢记杜家毫书记关于网信工作“统筹协调、参谋服务、舆情监控”的十二字职能定位和“事事有回音、件件有着落”的要求，认真落实省、市网信工作部署，牢固树立“四个意识”，不断增强“四个自信”，抓住信息化发展的历史机遇，加强网络主体责任，推进网络强国建设的战略思想的学习，维护网络安全，加强网上正面宣传和舆论管控，主动参与网络空间治理，净化网络环境。 </w:t>
      </w:r>
    </w:p>
    <w:p>
      <w:pPr>
        <w:rPr>
          <w:rFonts w:ascii="仿宋" w:hAnsi="仿宋" w:eastAsia="仿宋" w:cs="Times New Roman"/>
          <w:sz w:val="32"/>
          <w:szCs w:val="32"/>
        </w:rPr>
      </w:pPr>
      <w:r>
        <w:rPr>
          <w:rFonts w:ascii="仿宋" w:hAnsi="仿宋" w:eastAsia="仿宋" w:cs="Times New Roman"/>
          <w:sz w:val="32"/>
          <w:szCs w:val="32"/>
        </w:rPr>
        <w:t>2.加强监测，强化处置，认真践行我县网上群众工作思想路线。我办用好“千里眼”，监测研判把握舆情发生动态，一是安排财政专项资金购买监测软年，准确把握舆情走势，对网络舆情进行24小时不间断监测，做到及时掌握舆情动向，准确捕捉敏感信息并提供预警，对其中有较重大影响的事件能快速发现。二是选用政治素质高、立场坚定、责任心强的工作人员担任重要岗位，监测网络涉慈舆情动态，做好舆情分级和上报工作。</w:t>
      </w:r>
    </w:p>
    <w:p>
      <w:pPr>
        <w:rPr>
          <w:rFonts w:ascii="仿宋" w:hAnsi="仿宋" w:eastAsia="仿宋" w:cs="Times New Roman"/>
          <w:b/>
          <w:sz w:val="32"/>
          <w:szCs w:val="32"/>
        </w:rPr>
      </w:pPr>
      <w:r>
        <w:rPr>
          <w:rFonts w:hint="eastAsia" w:ascii="仿宋" w:hAnsi="仿宋" w:eastAsia="仿宋" w:cs="Times New Roman"/>
          <w:b/>
          <w:sz w:val="32"/>
          <w:szCs w:val="32"/>
        </w:rPr>
        <w:t xml:space="preserve"> (二)分类绩效目标</w:t>
      </w:r>
    </w:p>
    <w:p>
      <w:pPr>
        <w:rPr>
          <w:rFonts w:ascii="仿宋" w:hAnsi="仿宋" w:eastAsia="仿宋" w:cs="Times New Roman"/>
          <w:sz w:val="32"/>
          <w:szCs w:val="32"/>
        </w:rPr>
      </w:pPr>
      <w:r>
        <w:rPr>
          <w:rFonts w:ascii="仿宋" w:hAnsi="仿宋" w:eastAsia="仿宋" w:cs="Times New Roman"/>
          <w:sz w:val="32"/>
          <w:szCs w:val="32"/>
        </w:rPr>
        <w:t>我办认真贯彻落实党中央和省委、市委关于意识形态和网络安全工作的决策部署,严守政治纪律、组织纪律和宣传纪律,在思想上、政治上、行动上同以习近平同志为核心的党中央保持高度一致，认真贯彻落实中央、省委省政府、市委市政府的决策部署，及时解读中央、省、市出台的重大政策。着力加强网络内容建设，不断夯实网络主阵地、唱响网上主旋律，将工作责任落细落小落实；着力加强网信队伍建设，不断提升舆情应对处置能力；着力推进网络安全和信息化工作，不断提升网络安全保障能力水平和信息化创新驱动能力，基层基础工作不断加强，体制机制逐步健全，全市网信工作稳中有进、向上向好。</w:t>
      </w:r>
    </w:p>
    <w:p>
      <w:pPr>
        <w:rPr>
          <w:rFonts w:ascii="仿宋" w:hAnsi="仿宋" w:eastAsia="仿宋" w:cs="Times New Roman"/>
          <w:b/>
          <w:sz w:val="32"/>
          <w:szCs w:val="32"/>
        </w:rPr>
      </w:pPr>
      <w:r>
        <w:rPr>
          <w:rFonts w:hint="eastAsia" w:ascii="仿宋" w:hAnsi="仿宋" w:eastAsia="仿宋" w:cs="Times New Roman"/>
          <w:b/>
          <w:sz w:val="32"/>
          <w:szCs w:val="32"/>
        </w:rPr>
        <w:t>（三）、工作保障措施</w:t>
      </w:r>
    </w:p>
    <w:p>
      <w:pPr>
        <w:rPr>
          <w:rFonts w:ascii="仿宋" w:hAnsi="仿宋" w:eastAsia="仿宋" w:cs="Times New Roman"/>
          <w:sz w:val="32"/>
          <w:szCs w:val="32"/>
        </w:rPr>
      </w:pPr>
      <w:r>
        <w:rPr>
          <w:rFonts w:ascii="仿宋" w:hAnsi="仿宋" w:eastAsia="仿宋" w:cs="Times New Roman"/>
          <w:sz w:val="32"/>
          <w:szCs w:val="32"/>
        </w:rPr>
        <w:t>一科学合理编制预算，严格执行预算</w:t>
      </w:r>
    </w:p>
    <w:p>
      <w:pPr>
        <w:rPr>
          <w:rFonts w:ascii="仿宋" w:hAnsi="仿宋" w:eastAsia="仿宋" w:cs="Times New Roman"/>
          <w:sz w:val="32"/>
          <w:szCs w:val="32"/>
        </w:rPr>
      </w:pPr>
      <w:r>
        <w:rPr>
          <w:rFonts w:ascii="仿宋" w:hAnsi="仿宋" w:eastAsia="仿宋" w:cs="Times New Roman"/>
          <w:sz w:val="32"/>
          <w:szCs w:val="32"/>
        </w:rPr>
        <w:t>加强预算编制的前瞻性，按照新</w:t>
      </w:r>
      <w:r>
        <w:rPr>
          <w:rFonts w:hint="eastAsia" w:ascii="仿宋" w:hAnsi="仿宋" w:eastAsia="仿宋" w:cs="Times New Roman"/>
          <w:sz w:val="32"/>
          <w:szCs w:val="32"/>
          <w:lang w:eastAsia="zh-CN"/>
        </w:rPr>
        <w:t>《中华人民共和国预算法》</w:t>
      </w:r>
      <w:r>
        <w:rPr>
          <w:rFonts w:ascii="仿宋" w:hAnsi="仿宋" w:eastAsia="仿宋" w:cs="Times New Roman"/>
          <w:sz w:val="32"/>
          <w:szCs w:val="32"/>
        </w:rPr>
        <w:t>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rPr>
          <w:rFonts w:ascii="仿宋" w:hAnsi="仿宋" w:eastAsia="仿宋" w:cs="Times New Roman"/>
          <w:sz w:val="32"/>
          <w:szCs w:val="32"/>
        </w:rPr>
      </w:pPr>
      <w:r>
        <w:rPr>
          <w:rFonts w:ascii="仿宋" w:hAnsi="仿宋" w:eastAsia="仿宋" w:cs="Times New Roman"/>
          <w:sz w:val="32"/>
          <w:szCs w:val="32"/>
        </w:rPr>
        <w:t>二完善管理制度，进一步加强资产管理</w:t>
      </w:r>
    </w:p>
    <w:p>
      <w:pPr>
        <w:rPr>
          <w:rFonts w:ascii="仿宋" w:hAnsi="仿宋" w:eastAsia="仿宋" w:cs="Times New Roman"/>
          <w:sz w:val="32"/>
          <w:szCs w:val="32"/>
        </w:rPr>
      </w:pPr>
      <w:r>
        <w:rPr>
          <w:rFonts w:ascii="仿宋" w:hAnsi="仿宋" w:eastAsia="仿宋" w:cs="Times New Roman"/>
          <w:sz w:val="32"/>
          <w:szCs w:val="32"/>
        </w:rPr>
        <w:t>进一步贯彻落实中央八项规定、湖南省委“九条规定”和市委“十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rPr>
          <w:rFonts w:ascii="仿宋" w:hAnsi="仿宋" w:eastAsia="仿宋" w:cs="Times New Roman"/>
          <w:sz w:val="32"/>
          <w:szCs w:val="32"/>
        </w:rPr>
      </w:pPr>
      <w:r>
        <w:rPr>
          <w:rFonts w:ascii="仿宋" w:hAnsi="仿宋" w:eastAsia="仿宋" w:cs="Times New Roman"/>
          <w:sz w:val="32"/>
          <w:szCs w:val="32"/>
        </w:rPr>
        <w:t>三加强行政单位政府会计制度和预算法学习培训</w:t>
      </w:r>
    </w:p>
    <w:p>
      <w:pPr>
        <w:rPr>
          <w:rFonts w:ascii="仿宋" w:hAnsi="仿宋" w:eastAsia="仿宋" w:cs="Times New Roman"/>
          <w:sz w:val="32"/>
          <w:szCs w:val="32"/>
        </w:rPr>
      </w:pPr>
      <w:r>
        <w:rPr>
          <w:rFonts w:ascii="仿宋" w:hAnsi="仿宋" w:eastAsia="仿宋" w:cs="Times New Roman"/>
          <w:sz w:val="32"/>
          <w:szCs w:val="32"/>
        </w:rPr>
        <w:t>加强新</w:t>
      </w:r>
      <w:r>
        <w:rPr>
          <w:rFonts w:hint="eastAsia" w:ascii="仿宋" w:hAnsi="仿宋" w:eastAsia="仿宋" w:cs="Times New Roman"/>
          <w:sz w:val="32"/>
          <w:szCs w:val="32"/>
          <w:lang w:eastAsia="zh-CN"/>
        </w:rPr>
        <w:t>《中华人民共和国预算法》</w:t>
      </w:r>
      <w:r>
        <w:rPr>
          <w:rFonts w:ascii="仿宋" w:hAnsi="仿宋" w:eastAsia="仿宋" w:cs="Times New Roman"/>
          <w:sz w:val="32"/>
          <w:szCs w:val="32"/>
        </w:rPr>
        <w:t>、《行政单位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rPr>
          <w:rFonts w:ascii="仿宋" w:hAnsi="仿宋" w:eastAsia="仿宋" w:cs="Times New Roman"/>
          <w:b/>
          <w:sz w:val="32"/>
          <w:szCs w:val="32"/>
        </w:rPr>
        <w:sectPr>
          <w:headerReference r:id="rId3" w:type="default"/>
          <w:footerReference r:id="rId4" w:type="default"/>
          <w:pgSz w:w="16839" w:h="11907" w:orient="landscape"/>
          <w:pgMar w:top="1797" w:right="1440" w:bottom="1797" w:left="1440" w:header="851" w:footer="992" w:gutter="0"/>
          <w:cols w:space="720" w:num="1"/>
          <w:docGrid w:linePitch="312" w:charSpace="0"/>
        </w:sectPr>
      </w:pPr>
      <w:r>
        <w:rPr>
          <w:rFonts w:hint="eastAsia" w:ascii="仿宋" w:hAnsi="仿宋" w:eastAsia="仿宋" w:cs="Times New Roman"/>
          <w:b/>
          <w:sz w:val="32"/>
          <w:szCs w:val="32"/>
        </w:rPr>
        <w:t>（四）预算项目绩效目标</w:t>
      </w:r>
    </w:p>
    <w:p>
      <w:pPr>
        <w:spacing w:line="300" w:lineRule="exact"/>
        <w:jc w:val="left"/>
        <w:rPr>
          <w:rFonts w:ascii="仿宋" w:hAnsi="仿宋" w:eastAsia="仿宋" w:cs="Times New Roman"/>
          <w:b/>
          <w:sz w:val="28"/>
          <w:szCs w:val="24"/>
        </w:rPr>
      </w:pPr>
      <w:r>
        <w:rPr>
          <w:rFonts w:hint="eastAsia" w:ascii="仿宋" w:hAnsi="仿宋" w:eastAsia="仿宋" w:cs="Times New Roman"/>
          <w:b/>
          <w:sz w:val="28"/>
          <w:szCs w:val="24"/>
        </w:rPr>
        <w:t>1、网信办网络舆情检测设备专项经费绩效目标表</w:t>
      </w:r>
      <w:r>
        <w:rPr>
          <w:rFonts w:ascii="仿宋" w:hAnsi="仿宋" w:eastAsia="仿宋" w:cs="Times New Roman"/>
          <w:b/>
          <w:sz w:val="28"/>
          <w:szCs w:val="24"/>
        </w:rPr>
        <w:fldChar w:fldCharType="begin"/>
      </w:r>
      <w:r>
        <w:rPr>
          <w:rFonts w:hint="eastAsia" w:ascii="仿宋" w:hAnsi="仿宋" w:eastAsia="仿宋" w:cs="Times New Roman"/>
          <w:b/>
          <w:sz w:val="28"/>
          <w:szCs w:val="24"/>
        </w:rPr>
        <w:instrText xml:space="preserve">TC </w:instrText>
      </w:r>
      <w:bookmarkStart w:id="0" w:name="_Toc31739201"/>
      <w:r>
        <w:rPr>
          <w:rFonts w:hint="eastAsia" w:ascii="仿宋" w:hAnsi="仿宋" w:eastAsia="仿宋" w:cs="Times New Roman"/>
          <w:b/>
          <w:sz w:val="28"/>
          <w:szCs w:val="24"/>
        </w:rPr>
        <w:instrText xml:space="preserve">2、网信办网络舆情检测设备专项经费绩效目标表</w:instrText>
      </w:r>
      <w:bookmarkEnd w:id="0"/>
      <w:r>
        <w:rPr>
          <w:rFonts w:hint="eastAsia" w:ascii="仿宋" w:hAnsi="仿宋" w:eastAsia="仿宋" w:cs="Times New Roman"/>
          <w:b/>
          <w:sz w:val="28"/>
          <w:szCs w:val="24"/>
        </w:rPr>
        <w:instrText xml:space="preserve"> \f B \l 1</w:instrText>
      </w:r>
      <w:r>
        <w:rPr>
          <w:rFonts w:ascii="仿宋" w:hAnsi="仿宋" w:eastAsia="仿宋" w:cs="Times New Roman"/>
          <w:b/>
          <w:sz w:val="28"/>
          <w:szCs w:val="24"/>
        </w:rPr>
        <w:fldChar w:fldCharType="end"/>
      </w:r>
    </w:p>
    <w:p>
      <w:pPr>
        <w:jc w:val="left"/>
        <w:outlineLvl w:val="1"/>
        <w:rPr>
          <w:rFonts w:ascii="仿宋" w:hAnsi="仿宋" w:eastAsia="仿宋" w:cs="Times New Roman"/>
          <w:b/>
          <w:sz w:val="28"/>
          <w:szCs w:val="24"/>
        </w:rPr>
      </w:pPr>
      <w:r>
        <w:rPr>
          <w:rFonts w:ascii="仿宋" w:hAnsi="仿宋" w:eastAsia="仿宋" w:cs="Times New Roman"/>
          <w:szCs w:val="24"/>
        </w:rPr>
        <w:fldChar w:fldCharType="begin"/>
      </w:r>
      <w:r>
        <w:rPr>
          <w:rFonts w:hint="eastAsia" w:ascii="仿宋" w:hAnsi="仿宋" w:eastAsia="仿宋" w:cs="Times New Roman"/>
          <w:b/>
          <w:sz w:val="28"/>
          <w:szCs w:val="24"/>
        </w:rPr>
        <w:instrText xml:space="preserve">TC </w:instrText>
      </w:r>
      <w:bookmarkStart w:id="1" w:name="_Toc31708980"/>
      <w:r>
        <w:rPr>
          <w:rFonts w:hint="eastAsia" w:ascii="仿宋" w:hAnsi="仿宋" w:eastAsia="仿宋" w:cs="Times New Roman"/>
          <w:b/>
          <w:sz w:val="28"/>
          <w:szCs w:val="24"/>
        </w:rPr>
        <w:instrText xml:space="preserve">2、常委会会议绩效目标表</w:instrText>
      </w:r>
      <w:bookmarkEnd w:id="1"/>
      <w:r>
        <w:rPr>
          <w:rFonts w:hint="eastAsia" w:ascii="仿宋" w:hAnsi="仿宋" w:eastAsia="仿宋" w:cs="Times New Roman"/>
          <w:b/>
          <w:sz w:val="28"/>
          <w:szCs w:val="24"/>
        </w:rPr>
        <w:instrText xml:space="preserve"> \f B \l 1</w:instrText>
      </w:r>
      <w:r>
        <w:rPr>
          <w:rFonts w:ascii="仿宋" w:hAnsi="仿宋" w:eastAsia="仿宋" w:cs="Times New Roman"/>
          <w:b/>
          <w:sz w:val="28"/>
          <w:szCs w:val="24"/>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Times New Roman"/>
                <w:b/>
                <w:szCs w:val="24"/>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Cs w:val="24"/>
              </w:rPr>
            </w:pPr>
            <w:r>
              <w:rPr>
                <w:rFonts w:hint="eastAsia" w:ascii="仿宋" w:hAnsi="仿宋" w:eastAsia="仿宋" w:cs="Times New Roman"/>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项目编码</w:t>
            </w:r>
          </w:p>
        </w:tc>
        <w:tc>
          <w:tcPr>
            <w:tcW w:w="2410" w:type="dxa"/>
            <w:gridSpan w:val="2"/>
            <w:vAlign w:val="center"/>
          </w:tcPr>
          <w:p>
            <w:pPr>
              <w:spacing w:line="300" w:lineRule="exact"/>
              <w:jc w:val="left"/>
              <w:rPr>
                <w:rFonts w:ascii="仿宋" w:hAnsi="仿宋" w:eastAsia="仿宋" w:cs="Times New Roman"/>
                <w:szCs w:val="24"/>
              </w:rPr>
            </w:pPr>
            <w:r>
              <w:rPr>
                <w:rFonts w:ascii="仿宋" w:hAnsi="仿宋" w:eastAsia="仿宋" w:cs="Times New Roman"/>
                <w:szCs w:val="24"/>
              </w:rPr>
              <w:t>000-9999-JSN-2NJ2</w:t>
            </w:r>
          </w:p>
        </w:tc>
        <w:tc>
          <w:tcPr>
            <w:tcW w:w="158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专项资金名称</w:t>
            </w:r>
          </w:p>
        </w:tc>
        <w:tc>
          <w:tcPr>
            <w:tcW w:w="4281" w:type="dxa"/>
            <w:gridSpan w:val="3"/>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网信办网络舆情检测设备专项经费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预算规模及资金用途</w:t>
            </w:r>
          </w:p>
        </w:tc>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预算数</w:t>
            </w:r>
          </w:p>
        </w:tc>
        <w:tc>
          <w:tcPr>
            <w:tcW w:w="1276" w:type="dxa"/>
            <w:vAlign w:val="center"/>
          </w:tcPr>
          <w:p>
            <w:pPr>
              <w:spacing w:line="300" w:lineRule="exact"/>
              <w:jc w:val="left"/>
              <w:rPr>
                <w:rFonts w:ascii="仿宋" w:hAnsi="仿宋" w:eastAsia="仿宋" w:cs="Times New Roman"/>
                <w:szCs w:val="24"/>
              </w:rPr>
            </w:pPr>
            <w:r>
              <w:rPr>
                <w:rFonts w:ascii="仿宋" w:hAnsi="仿宋" w:eastAsia="仿宋" w:cs="Times New Roman"/>
                <w:szCs w:val="24"/>
              </w:rPr>
              <w:t>27.84</w:t>
            </w:r>
          </w:p>
        </w:tc>
        <w:tc>
          <w:tcPr>
            <w:tcW w:w="158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其中：财政资金</w:t>
            </w:r>
          </w:p>
        </w:tc>
        <w:tc>
          <w:tcPr>
            <w:tcW w:w="1304"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27</w:t>
            </w:r>
            <w:r>
              <w:rPr>
                <w:rFonts w:ascii="仿宋" w:hAnsi="仿宋" w:eastAsia="仿宋" w:cs="Times New Roman"/>
                <w:szCs w:val="24"/>
              </w:rPr>
              <w:t>.84</w:t>
            </w:r>
          </w:p>
        </w:tc>
        <w:tc>
          <w:tcPr>
            <w:tcW w:w="1276"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其他资金</w:t>
            </w:r>
          </w:p>
        </w:tc>
        <w:tc>
          <w:tcPr>
            <w:tcW w:w="1701" w:type="dxa"/>
            <w:vAlign w:val="center"/>
          </w:tcPr>
          <w:p>
            <w:pPr>
              <w:spacing w:line="300" w:lineRule="exact"/>
              <w:jc w:val="left"/>
              <w:rPr>
                <w:rFonts w:ascii="仿宋" w:hAnsi="仿宋" w:eastAsia="仿宋"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rFonts w:ascii="仿宋" w:hAnsi="仿宋" w:eastAsia="仿宋" w:cs="Times New Roman"/>
                <w:szCs w:val="24"/>
              </w:rPr>
            </w:pPr>
          </w:p>
        </w:tc>
        <w:tc>
          <w:tcPr>
            <w:tcW w:w="8278" w:type="dxa"/>
            <w:gridSpan w:val="6"/>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网络舆情检测设备日常使用及维护。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资金支出计划（</w:t>
            </w:r>
            <w:r>
              <w:rPr>
                <w:rFonts w:ascii="仿宋" w:hAnsi="仿宋" w:eastAsia="仿宋" w:cs="Times New Roman"/>
                <w:b/>
                <w:szCs w:val="24"/>
              </w:rPr>
              <w:t>%</w:t>
            </w:r>
            <w:r>
              <w:rPr>
                <w:rFonts w:hint="eastAsia" w:ascii="仿宋" w:hAnsi="仿宋" w:eastAsia="仿宋" w:cs="Times New Roman"/>
                <w:b/>
                <w:szCs w:val="24"/>
              </w:rPr>
              <w:t>）</w:t>
            </w:r>
          </w:p>
        </w:tc>
        <w:tc>
          <w:tcPr>
            <w:tcW w:w="2410" w:type="dxa"/>
            <w:gridSpan w:val="2"/>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3</w:t>
            </w:r>
            <w:r>
              <w:rPr>
                <w:rFonts w:hint="eastAsia" w:ascii="仿宋" w:hAnsi="仿宋" w:eastAsia="仿宋" w:cs="Times New Roman"/>
                <w:b/>
                <w:szCs w:val="24"/>
              </w:rPr>
              <w:t>月底</w:t>
            </w:r>
          </w:p>
        </w:tc>
        <w:tc>
          <w:tcPr>
            <w:tcW w:w="1587" w:type="dxa"/>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6</w:t>
            </w:r>
            <w:r>
              <w:rPr>
                <w:rFonts w:hint="eastAsia" w:ascii="仿宋" w:hAnsi="仿宋" w:eastAsia="仿宋" w:cs="Times New Roman"/>
                <w:b/>
                <w:szCs w:val="24"/>
              </w:rPr>
              <w:t>月底</w:t>
            </w:r>
          </w:p>
        </w:tc>
        <w:tc>
          <w:tcPr>
            <w:tcW w:w="1304" w:type="dxa"/>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10</w:t>
            </w:r>
            <w:r>
              <w:rPr>
                <w:rFonts w:hint="eastAsia" w:ascii="仿宋" w:hAnsi="仿宋" w:eastAsia="仿宋" w:cs="Times New Roman"/>
                <w:b/>
                <w:szCs w:val="24"/>
              </w:rPr>
              <w:t>月底</w:t>
            </w:r>
          </w:p>
        </w:tc>
        <w:tc>
          <w:tcPr>
            <w:tcW w:w="2977" w:type="dxa"/>
            <w:gridSpan w:val="2"/>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12</w:t>
            </w:r>
            <w:r>
              <w:rPr>
                <w:rFonts w:hint="eastAsia" w:ascii="仿宋" w:hAnsi="仿宋" w:eastAsia="仿宋" w:cs="Times New Roman"/>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rPr>
                <w:rFonts w:ascii="仿宋" w:hAnsi="仿宋" w:eastAsia="仿宋" w:cs="Times New Roman"/>
                <w:szCs w:val="24"/>
              </w:rPr>
            </w:pPr>
          </w:p>
        </w:tc>
        <w:tc>
          <w:tcPr>
            <w:tcW w:w="2410" w:type="dxa"/>
            <w:gridSpan w:val="2"/>
            <w:tcBorders>
              <w:bottom w:val="single" w:color="000000" w:sz="6" w:space="0"/>
            </w:tcBorders>
            <w:vAlign w:val="center"/>
          </w:tcPr>
          <w:p>
            <w:pPr>
              <w:spacing w:line="300" w:lineRule="exact"/>
              <w:jc w:val="center"/>
              <w:rPr>
                <w:rFonts w:ascii="仿宋" w:hAnsi="仿宋" w:eastAsia="仿宋" w:cs="Times New Roman"/>
                <w:szCs w:val="24"/>
              </w:rPr>
            </w:pPr>
          </w:p>
        </w:tc>
        <w:tc>
          <w:tcPr>
            <w:tcW w:w="1587" w:type="dxa"/>
            <w:tcBorders>
              <w:bottom w:val="single" w:color="000000" w:sz="6" w:space="0"/>
            </w:tcBorders>
            <w:vAlign w:val="center"/>
          </w:tcPr>
          <w:p>
            <w:pPr>
              <w:spacing w:line="300" w:lineRule="exact"/>
              <w:jc w:val="center"/>
              <w:rPr>
                <w:rFonts w:ascii="仿宋" w:hAnsi="仿宋" w:eastAsia="仿宋" w:cs="Times New Roman"/>
                <w:szCs w:val="24"/>
              </w:rPr>
            </w:pPr>
            <w:r>
              <w:rPr>
                <w:rFonts w:ascii="仿宋" w:hAnsi="仿宋" w:eastAsia="仿宋" w:cs="Times New Roman"/>
                <w:szCs w:val="24"/>
              </w:rPr>
              <w:t>50.00</w:t>
            </w:r>
          </w:p>
        </w:tc>
        <w:tc>
          <w:tcPr>
            <w:tcW w:w="1304" w:type="dxa"/>
            <w:tcBorders>
              <w:bottom w:val="single" w:color="000000" w:sz="6" w:space="0"/>
            </w:tcBorders>
            <w:vAlign w:val="center"/>
          </w:tcPr>
          <w:p>
            <w:pPr>
              <w:spacing w:line="300" w:lineRule="exact"/>
              <w:jc w:val="center"/>
              <w:rPr>
                <w:rFonts w:ascii="仿宋" w:hAnsi="仿宋" w:eastAsia="仿宋" w:cs="Times New Roman"/>
                <w:szCs w:val="24"/>
              </w:rPr>
            </w:pPr>
          </w:p>
        </w:tc>
        <w:tc>
          <w:tcPr>
            <w:tcW w:w="2977" w:type="dxa"/>
            <w:gridSpan w:val="2"/>
            <w:tcBorders>
              <w:bottom w:val="single" w:color="000000" w:sz="6" w:space="0"/>
            </w:tcBorders>
            <w:vAlign w:val="center"/>
          </w:tcPr>
          <w:p>
            <w:pPr>
              <w:spacing w:line="300" w:lineRule="exact"/>
              <w:jc w:val="center"/>
              <w:rPr>
                <w:rFonts w:ascii="仿宋" w:hAnsi="仿宋" w:eastAsia="仿宋" w:cs="Times New Roman"/>
                <w:szCs w:val="24"/>
              </w:rPr>
            </w:pPr>
            <w:r>
              <w:rPr>
                <w:rFonts w:ascii="仿宋" w:hAnsi="仿宋" w:eastAsia="仿宋" w:cs="Times New Roman"/>
                <w:szCs w:val="24"/>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绩效目标</w:t>
            </w:r>
          </w:p>
        </w:tc>
        <w:tc>
          <w:tcPr>
            <w:tcW w:w="8278" w:type="dxa"/>
            <w:gridSpan w:val="6"/>
            <w:tcBorders>
              <w:bottom w:val="nil"/>
            </w:tcBorders>
            <w:vAlign w:val="center"/>
          </w:tcPr>
          <w:p>
            <w:pPr>
              <w:spacing w:line="300" w:lineRule="exact"/>
              <w:jc w:val="left"/>
              <w:rPr>
                <w:rFonts w:ascii="仿宋" w:hAnsi="仿宋" w:eastAsia="仿宋" w:cs="Times New Roman"/>
                <w:szCs w:val="24"/>
              </w:rPr>
            </w:pPr>
            <w:r>
              <w:rPr>
                <w:rFonts w:ascii="仿宋" w:hAnsi="仿宋" w:eastAsia="仿宋" w:cs="Times New Roman"/>
                <w:szCs w:val="24"/>
              </w:rPr>
              <w:t>1</w:t>
            </w:r>
            <w:r>
              <w:rPr>
                <w:rFonts w:hint="eastAsia" w:ascii="仿宋" w:hAnsi="仿宋" w:eastAsia="仿宋" w:cs="Times New Roman"/>
                <w:szCs w:val="24"/>
              </w:rPr>
              <w:t>、舆情检测设备日常使用</w:t>
            </w:r>
          </w:p>
          <w:p>
            <w:pPr>
              <w:spacing w:line="300" w:lineRule="exact"/>
              <w:jc w:val="left"/>
              <w:rPr>
                <w:rFonts w:ascii="仿宋" w:hAnsi="仿宋" w:eastAsia="仿宋" w:cs="Times New Roman"/>
                <w:szCs w:val="24"/>
              </w:rPr>
            </w:pPr>
            <w:r>
              <w:rPr>
                <w:rFonts w:ascii="仿宋" w:hAnsi="仿宋" w:eastAsia="仿宋" w:cs="Times New Roman"/>
                <w:szCs w:val="24"/>
              </w:rPr>
              <w:t>2</w:t>
            </w:r>
            <w:r>
              <w:rPr>
                <w:rFonts w:hint="eastAsia" w:ascii="仿宋" w:hAnsi="仿宋" w:eastAsia="仿宋" w:cs="Times New Roman"/>
                <w:szCs w:val="24"/>
              </w:rPr>
              <w:t>、日常维修</w:t>
            </w:r>
          </w:p>
        </w:tc>
      </w:tr>
    </w:tbl>
    <w:p>
      <w:pPr>
        <w:spacing w:line="14" w:lineRule="exact"/>
        <w:jc w:val="center"/>
        <w:rPr>
          <w:rFonts w:ascii="仿宋" w:hAnsi="仿宋" w:eastAsia="仿宋" w:cs="Times New Roman"/>
          <w:szCs w:val="24"/>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一级指标</w:t>
            </w:r>
          </w:p>
        </w:tc>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二级指标</w:t>
            </w:r>
          </w:p>
        </w:tc>
        <w:tc>
          <w:tcPr>
            <w:tcW w:w="1276"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三级指标</w:t>
            </w:r>
          </w:p>
        </w:tc>
        <w:tc>
          <w:tcPr>
            <w:tcW w:w="2891"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绩效指标描述</w:t>
            </w:r>
          </w:p>
        </w:tc>
        <w:tc>
          <w:tcPr>
            <w:tcW w:w="1276"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指标值</w:t>
            </w:r>
          </w:p>
        </w:tc>
        <w:tc>
          <w:tcPr>
            <w:tcW w:w="1701"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产出指标</w:t>
            </w:r>
          </w:p>
        </w:tc>
        <w:tc>
          <w:tcPr>
            <w:tcW w:w="1134"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时效指标</w:t>
            </w:r>
          </w:p>
        </w:tc>
        <w:tc>
          <w:tcPr>
            <w:tcW w:w="1276"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完成率（</w:t>
            </w:r>
            <w:r>
              <w:rPr>
                <w:rFonts w:ascii="仿宋" w:hAnsi="仿宋" w:eastAsia="仿宋" w:cs="Times New Roman"/>
                <w:szCs w:val="24"/>
              </w:rPr>
              <w:t>%</w:t>
            </w:r>
            <w:r>
              <w:rPr>
                <w:rFonts w:hint="eastAsia" w:ascii="仿宋" w:hAnsi="仿宋" w:eastAsia="仿宋" w:cs="Times New Roman"/>
                <w:szCs w:val="24"/>
              </w:rPr>
              <w:t>）</w:t>
            </w:r>
          </w:p>
        </w:tc>
        <w:tc>
          <w:tcPr>
            <w:tcW w:w="2891"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按照要求和计划完成研究任务的项目在所有立项项目中的比例（百分比）</w:t>
            </w:r>
          </w:p>
        </w:tc>
        <w:tc>
          <w:tcPr>
            <w:tcW w:w="1276"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w:t>
            </w:r>
            <w:r>
              <w:rPr>
                <w:rFonts w:ascii="仿宋" w:hAnsi="仿宋" w:eastAsia="仿宋" w:cs="Times New Roman"/>
                <w:szCs w:val="24"/>
              </w:rPr>
              <w:t>90</w:t>
            </w:r>
            <w:r>
              <w:rPr>
                <w:rFonts w:hint="eastAsia" w:ascii="仿宋" w:hAnsi="仿宋" w:eastAsia="仿宋" w:cs="Times New Roman"/>
                <w:szCs w:val="24"/>
              </w:rPr>
              <w:t>按时完成</w:t>
            </w:r>
            <w:r>
              <w:rPr>
                <w:rFonts w:ascii="仿宋" w:hAnsi="仿宋" w:eastAsia="仿宋" w:cs="Times New Roman"/>
                <w:szCs w:val="24"/>
              </w:rPr>
              <w:t>维修</w:t>
            </w:r>
            <w:r>
              <w:rPr>
                <w:rFonts w:hint="eastAsia" w:ascii="仿宋" w:hAnsi="仿宋" w:eastAsia="仿宋" w:cs="Times New Roman"/>
                <w:szCs w:val="24"/>
              </w:rPr>
              <w:t>设备</w:t>
            </w:r>
            <w:r>
              <w:rPr>
                <w:rFonts w:ascii="仿宋" w:hAnsi="仿宋" w:eastAsia="仿宋" w:cs="Times New Roman"/>
                <w:szCs w:val="24"/>
              </w:rPr>
              <w:t>正常运转</w:t>
            </w:r>
          </w:p>
        </w:tc>
        <w:tc>
          <w:tcPr>
            <w:tcW w:w="1701"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效果指标</w:t>
            </w:r>
          </w:p>
        </w:tc>
        <w:tc>
          <w:tcPr>
            <w:tcW w:w="1134"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社会效益指标</w:t>
            </w:r>
          </w:p>
        </w:tc>
        <w:tc>
          <w:tcPr>
            <w:tcW w:w="1276"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突发事件新闻处置完成率</w:t>
            </w:r>
          </w:p>
        </w:tc>
        <w:tc>
          <w:tcPr>
            <w:tcW w:w="2891"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处置完成突发事件新闻数量占突发事件新闻数量的比例（％）</w:t>
            </w:r>
          </w:p>
        </w:tc>
        <w:tc>
          <w:tcPr>
            <w:tcW w:w="1276"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w:t>
            </w:r>
            <w:r>
              <w:rPr>
                <w:rFonts w:ascii="仿宋" w:hAnsi="仿宋" w:eastAsia="仿宋" w:cs="Times New Roman"/>
                <w:szCs w:val="24"/>
              </w:rPr>
              <w:t>90</w:t>
            </w:r>
            <w:r>
              <w:rPr>
                <w:rFonts w:hint="eastAsia" w:ascii="仿宋" w:hAnsi="仿宋" w:eastAsia="仿宋" w:cs="Times New Roman"/>
                <w:szCs w:val="24"/>
              </w:rPr>
              <w:t>完成舆情</w:t>
            </w:r>
            <w:r>
              <w:rPr>
                <w:rFonts w:ascii="仿宋" w:hAnsi="仿宋" w:eastAsia="仿宋" w:cs="Times New Roman"/>
                <w:szCs w:val="24"/>
              </w:rPr>
              <w:t>监控任务</w:t>
            </w:r>
            <w:r>
              <w:rPr>
                <w:rFonts w:hint="eastAsia" w:ascii="仿宋" w:hAnsi="仿宋" w:eastAsia="仿宋" w:cs="Times New Roman"/>
                <w:szCs w:val="24"/>
              </w:rPr>
              <w:t>（</w:t>
            </w:r>
            <w:r>
              <w:rPr>
                <w:rFonts w:ascii="仿宋" w:hAnsi="仿宋" w:eastAsia="仿宋" w:cs="Times New Roman"/>
                <w:szCs w:val="24"/>
              </w:rPr>
              <w:t>%</w:t>
            </w:r>
            <w:r>
              <w:rPr>
                <w:rFonts w:hint="eastAsia" w:ascii="仿宋" w:hAnsi="仿宋" w:eastAsia="仿宋" w:cs="Times New Roman"/>
                <w:szCs w:val="24"/>
              </w:rPr>
              <w:t>）</w:t>
            </w:r>
          </w:p>
        </w:tc>
        <w:tc>
          <w:tcPr>
            <w:tcW w:w="1701"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0" w:hRule="atLeast"/>
          <w:jc w:val="center"/>
        </w:trPr>
        <w:tc>
          <w:tcPr>
            <w:tcW w:w="1134" w:type="dxa"/>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满意度指标</w:t>
            </w:r>
          </w:p>
        </w:tc>
        <w:tc>
          <w:tcPr>
            <w:tcW w:w="1134"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服务</w:t>
            </w:r>
            <w:r>
              <w:rPr>
                <w:rFonts w:ascii="仿宋" w:hAnsi="仿宋" w:eastAsia="仿宋" w:cs="Times New Roman"/>
                <w:szCs w:val="24"/>
              </w:rPr>
              <w:t>对象满意度指标</w:t>
            </w:r>
          </w:p>
        </w:tc>
        <w:tc>
          <w:tcPr>
            <w:tcW w:w="1276"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群众满意度</w:t>
            </w:r>
          </w:p>
        </w:tc>
        <w:tc>
          <w:tcPr>
            <w:tcW w:w="2891"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群众满意数量</w:t>
            </w:r>
            <w:r>
              <w:rPr>
                <w:rFonts w:ascii="仿宋" w:hAnsi="仿宋" w:eastAsia="仿宋" w:cs="Times New Roman"/>
                <w:szCs w:val="24"/>
              </w:rPr>
              <w:t>占总数的比例</w:t>
            </w:r>
          </w:p>
        </w:tc>
        <w:tc>
          <w:tcPr>
            <w:tcW w:w="1276"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w:t>
            </w:r>
            <w:r>
              <w:rPr>
                <w:rFonts w:ascii="仿宋" w:hAnsi="仿宋" w:eastAsia="仿宋" w:cs="Times New Roman"/>
                <w:szCs w:val="24"/>
              </w:rPr>
              <w:t>90</w:t>
            </w:r>
            <w:r>
              <w:rPr>
                <w:rFonts w:hint="eastAsia" w:ascii="仿宋" w:hAnsi="仿宋" w:eastAsia="仿宋" w:cs="Times New Roman"/>
                <w:szCs w:val="24"/>
              </w:rPr>
              <w:t>让群众</w:t>
            </w:r>
            <w:r>
              <w:rPr>
                <w:rFonts w:ascii="仿宋" w:hAnsi="仿宋" w:eastAsia="仿宋" w:cs="Times New Roman"/>
                <w:szCs w:val="24"/>
              </w:rPr>
              <w:t>满意</w:t>
            </w:r>
            <w:r>
              <w:rPr>
                <w:rFonts w:hint="eastAsia" w:ascii="仿宋" w:hAnsi="仿宋" w:eastAsia="仿宋" w:cs="Times New Roman"/>
                <w:szCs w:val="24"/>
              </w:rPr>
              <w:t>（</w:t>
            </w:r>
            <w:r>
              <w:rPr>
                <w:rFonts w:ascii="仿宋" w:hAnsi="仿宋" w:eastAsia="仿宋" w:cs="Times New Roman"/>
                <w:szCs w:val="24"/>
              </w:rPr>
              <w:t>%</w:t>
            </w:r>
            <w:r>
              <w:rPr>
                <w:rFonts w:hint="eastAsia" w:ascii="仿宋" w:hAnsi="仿宋" w:eastAsia="仿宋" w:cs="Times New Roman"/>
                <w:szCs w:val="24"/>
              </w:rPr>
              <w:t>）</w:t>
            </w:r>
          </w:p>
        </w:tc>
        <w:tc>
          <w:tcPr>
            <w:tcW w:w="1701"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工作方案</w:t>
            </w:r>
          </w:p>
        </w:tc>
      </w:tr>
    </w:tbl>
    <w:p>
      <w:pPr>
        <w:spacing w:line="300" w:lineRule="exact"/>
        <w:jc w:val="left"/>
        <w:rPr>
          <w:rFonts w:ascii="仿宋" w:hAnsi="仿宋" w:eastAsia="仿宋" w:cs="Times New Roman"/>
          <w:szCs w:val="24"/>
        </w:rPr>
        <w:sectPr>
          <w:pgSz w:w="11907" w:h="16839"/>
          <w:pgMar w:top="1440" w:right="1797" w:bottom="1440" w:left="1797" w:header="851" w:footer="992" w:gutter="0"/>
          <w:cols w:space="720" w:num="1"/>
          <w:docGrid w:linePitch="312" w:charSpace="0"/>
        </w:sectPr>
      </w:pPr>
    </w:p>
    <w:p>
      <w:pPr>
        <w:spacing w:line="300" w:lineRule="exact"/>
        <w:jc w:val="left"/>
        <w:rPr>
          <w:rFonts w:ascii="仿宋" w:hAnsi="仿宋" w:eastAsia="仿宋" w:cs="Times New Roman"/>
          <w:szCs w:val="24"/>
        </w:rPr>
      </w:pPr>
    </w:p>
    <w:p>
      <w:pPr>
        <w:jc w:val="left"/>
        <w:outlineLvl w:val="1"/>
        <w:rPr>
          <w:rFonts w:ascii="仿宋" w:hAnsi="仿宋" w:eastAsia="仿宋" w:cs="Times New Roman"/>
          <w:b/>
          <w:sz w:val="28"/>
          <w:szCs w:val="24"/>
        </w:rPr>
      </w:pPr>
      <w:r>
        <w:rPr>
          <w:rFonts w:hint="eastAsia" w:ascii="仿宋" w:hAnsi="仿宋" w:eastAsia="仿宋" w:cs="Times New Roman"/>
          <w:b/>
          <w:sz w:val="28"/>
          <w:szCs w:val="24"/>
        </w:rPr>
        <w:t>2、网信办信息化安全检查专项经费绩效目标表</w:t>
      </w:r>
      <w:r>
        <w:rPr>
          <w:rFonts w:ascii="仿宋" w:hAnsi="仿宋" w:eastAsia="仿宋" w:cs="Times New Roman"/>
          <w:b/>
          <w:sz w:val="28"/>
          <w:szCs w:val="24"/>
        </w:rPr>
        <w:fldChar w:fldCharType="begin"/>
      </w:r>
      <w:r>
        <w:rPr>
          <w:rFonts w:hint="eastAsia" w:ascii="仿宋" w:hAnsi="仿宋" w:eastAsia="仿宋" w:cs="Times New Roman"/>
          <w:b/>
          <w:sz w:val="28"/>
          <w:szCs w:val="24"/>
        </w:rPr>
        <w:instrText xml:space="preserve">TC </w:instrText>
      </w:r>
      <w:bookmarkStart w:id="2" w:name="_Toc31739202"/>
      <w:r>
        <w:rPr>
          <w:rFonts w:hint="eastAsia" w:ascii="仿宋" w:hAnsi="仿宋" w:eastAsia="仿宋" w:cs="Times New Roman"/>
          <w:b/>
          <w:sz w:val="28"/>
          <w:szCs w:val="24"/>
        </w:rPr>
        <w:instrText xml:space="preserve">3、网信办信息化安全检查专项经费绩效目标表</w:instrText>
      </w:r>
      <w:bookmarkEnd w:id="2"/>
      <w:r>
        <w:rPr>
          <w:rFonts w:hint="eastAsia" w:ascii="仿宋" w:hAnsi="仿宋" w:eastAsia="仿宋" w:cs="Times New Roman"/>
          <w:b/>
          <w:sz w:val="28"/>
          <w:szCs w:val="24"/>
        </w:rPr>
        <w:instrText xml:space="preserve"> \f B \l 1</w:instrText>
      </w:r>
      <w:r>
        <w:rPr>
          <w:rFonts w:ascii="仿宋" w:hAnsi="仿宋" w:eastAsia="仿宋" w:cs="Times New Roman"/>
          <w:b/>
          <w:sz w:val="28"/>
          <w:szCs w:val="24"/>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Times New Roman"/>
                <w:b/>
                <w:szCs w:val="24"/>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Cs w:val="24"/>
              </w:rPr>
            </w:pPr>
            <w:r>
              <w:rPr>
                <w:rFonts w:hint="eastAsia" w:ascii="仿宋" w:hAnsi="仿宋" w:eastAsia="仿宋" w:cs="Times New Roman"/>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项目编码</w:t>
            </w:r>
          </w:p>
        </w:tc>
        <w:tc>
          <w:tcPr>
            <w:tcW w:w="2410" w:type="dxa"/>
            <w:gridSpan w:val="2"/>
            <w:vAlign w:val="center"/>
          </w:tcPr>
          <w:p>
            <w:pPr>
              <w:spacing w:line="300" w:lineRule="exact"/>
              <w:jc w:val="left"/>
              <w:rPr>
                <w:rFonts w:ascii="仿宋" w:hAnsi="仿宋" w:eastAsia="仿宋" w:cs="Times New Roman"/>
                <w:szCs w:val="24"/>
              </w:rPr>
            </w:pPr>
            <w:r>
              <w:rPr>
                <w:rFonts w:ascii="仿宋" w:hAnsi="仿宋" w:eastAsia="仿宋" w:cs="Times New Roman"/>
                <w:szCs w:val="24"/>
              </w:rPr>
              <w:t>000-9999-JSN-46LP</w:t>
            </w:r>
          </w:p>
        </w:tc>
        <w:tc>
          <w:tcPr>
            <w:tcW w:w="158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专项资金名称</w:t>
            </w:r>
          </w:p>
        </w:tc>
        <w:tc>
          <w:tcPr>
            <w:tcW w:w="4281" w:type="dxa"/>
            <w:gridSpan w:val="3"/>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网信办信息化安全检查专项经费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预算规模及资金用途</w:t>
            </w:r>
          </w:p>
        </w:tc>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预算数</w:t>
            </w:r>
          </w:p>
        </w:tc>
        <w:tc>
          <w:tcPr>
            <w:tcW w:w="1276" w:type="dxa"/>
            <w:vAlign w:val="center"/>
          </w:tcPr>
          <w:p>
            <w:pPr>
              <w:spacing w:line="300" w:lineRule="exact"/>
              <w:jc w:val="left"/>
              <w:rPr>
                <w:rFonts w:ascii="仿宋" w:hAnsi="仿宋" w:eastAsia="仿宋" w:cs="Times New Roman"/>
                <w:szCs w:val="24"/>
              </w:rPr>
            </w:pPr>
            <w:r>
              <w:rPr>
                <w:rFonts w:ascii="仿宋" w:hAnsi="仿宋" w:eastAsia="仿宋" w:cs="Times New Roman"/>
                <w:szCs w:val="24"/>
              </w:rPr>
              <w:t>3.00</w:t>
            </w:r>
          </w:p>
        </w:tc>
        <w:tc>
          <w:tcPr>
            <w:tcW w:w="158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其中：财政资金</w:t>
            </w:r>
          </w:p>
        </w:tc>
        <w:tc>
          <w:tcPr>
            <w:tcW w:w="1304" w:type="dxa"/>
            <w:vAlign w:val="center"/>
          </w:tcPr>
          <w:p>
            <w:pPr>
              <w:spacing w:line="300" w:lineRule="exact"/>
              <w:jc w:val="left"/>
              <w:rPr>
                <w:rFonts w:ascii="仿宋" w:hAnsi="仿宋" w:eastAsia="仿宋" w:cs="Times New Roman"/>
                <w:szCs w:val="24"/>
              </w:rPr>
            </w:pPr>
            <w:r>
              <w:rPr>
                <w:rFonts w:ascii="仿宋" w:hAnsi="仿宋" w:eastAsia="仿宋" w:cs="Times New Roman"/>
                <w:szCs w:val="24"/>
              </w:rPr>
              <w:t>3.00</w:t>
            </w:r>
          </w:p>
        </w:tc>
        <w:tc>
          <w:tcPr>
            <w:tcW w:w="1276"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其他资金</w:t>
            </w:r>
          </w:p>
        </w:tc>
        <w:tc>
          <w:tcPr>
            <w:tcW w:w="1701" w:type="dxa"/>
            <w:vAlign w:val="center"/>
          </w:tcPr>
          <w:p>
            <w:pPr>
              <w:spacing w:line="300" w:lineRule="exact"/>
              <w:jc w:val="left"/>
              <w:rPr>
                <w:rFonts w:ascii="仿宋" w:hAnsi="仿宋" w:eastAsia="仿宋"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rFonts w:ascii="仿宋" w:hAnsi="仿宋" w:eastAsia="仿宋" w:cs="Times New Roman"/>
                <w:szCs w:val="24"/>
              </w:rPr>
            </w:pPr>
          </w:p>
        </w:tc>
        <w:tc>
          <w:tcPr>
            <w:tcW w:w="8278" w:type="dxa"/>
            <w:gridSpan w:val="6"/>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组织信息化安全检查及宣传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资金支出计划（</w:t>
            </w:r>
            <w:r>
              <w:rPr>
                <w:rFonts w:ascii="仿宋" w:hAnsi="仿宋" w:eastAsia="仿宋" w:cs="Times New Roman"/>
                <w:b/>
                <w:szCs w:val="24"/>
              </w:rPr>
              <w:t>%</w:t>
            </w:r>
            <w:r>
              <w:rPr>
                <w:rFonts w:hint="eastAsia" w:ascii="仿宋" w:hAnsi="仿宋" w:eastAsia="仿宋" w:cs="Times New Roman"/>
                <w:b/>
                <w:szCs w:val="24"/>
              </w:rPr>
              <w:t>）</w:t>
            </w:r>
          </w:p>
        </w:tc>
        <w:tc>
          <w:tcPr>
            <w:tcW w:w="2410" w:type="dxa"/>
            <w:gridSpan w:val="2"/>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3</w:t>
            </w:r>
            <w:r>
              <w:rPr>
                <w:rFonts w:hint="eastAsia" w:ascii="仿宋" w:hAnsi="仿宋" w:eastAsia="仿宋" w:cs="Times New Roman"/>
                <w:b/>
                <w:szCs w:val="24"/>
              </w:rPr>
              <w:t>月底</w:t>
            </w:r>
          </w:p>
        </w:tc>
        <w:tc>
          <w:tcPr>
            <w:tcW w:w="1587" w:type="dxa"/>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6</w:t>
            </w:r>
            <w:r>
              <w:rPr>
                <w:rFonts w:hint="eastAsia" w:ascii="仿宋" w:hAnsi="仿宋" w:eastAsia="仿宋" w:cs="Times New Roman"/>
                <w:b/>
                <w:szCs w:val="24"/>
              </w:rPr>
              <w:t>月底</w:t>
            </w:r>
          </w:p>
        </w:tc>
        <w:tc>
          <w:tcPr>
            <w:tcW w:w="1304" w:type="dxa"/>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10</w:t>
            </w:r>
            <w:r>
              <w:rPr>
                <w:rFonts w:hint="eastAsia" w:ascii="仿宋" w:hAnsi="仿宋" w:eastAsia="仿宋" w:cs="Times New Roman"/>
                <w:b/>
                <w:szCs w:val="24"/>
              </w:rPr>
              <w:t>月底</w:t>
            </w:r>
          </w:p>
        </w:tc>
        <w:tc>
          <w:tcPr>
            <w:tcW w:w="2977" w:type="dxa"/>
            <w:gridSpan w:val="2"/>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12</w:t>
            </w:r>
            <w:r>
              <w:rPr>
                <w:rFonts w:hint="eastAsia" w:ascii="仿宋" w:hAnsi="仿宋" w:eastAsia="仿宋" w:cs="Times New Roman"/>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rPr>
                <w:rFonts w:ascii="仿宋" w:hAnsi="仿宋" w:eastAsia="仿宋" w:cs="Times New Roman"/>
                <w:szCs w:val="24"/>
              </w:rPr>
            </w:pPr>
          </w:p>
        </w:tc>
        <w:tc>
          <w:tcPr>
            <w:tcW w:w="2410" w:type="dxa"/>
            <w:gridSpan w:val="2"/>
            <w:tcBorders>
              <w:bottom w:val="single" w:color="000000" w:sz="6" w:space="0"/>
            </w:tcBorders>
            <w:vAlign w:val="center"/>
          </w:tcPr>
          <w:p>
            <w:pPr>
              <w:spacing w:line="300" w:lineRule="exact"/>
              <w:jc w:val="center"/>
              <w:rPr>
                <w:rFonts w:ascii="仿宋" w:hAnsi="仿宋" w:eastAsia="仿宋" w:cs="Times New Roman"/>
                <w:szCs w:val="24"/>
              </w:rPr>
            </w:pPr>
          </w:p>
        </w:tc>
        <w:tc>
          <w:tcPr>
            <w:tcW w:w="1587" w:type="dxa"/>
            <w:tcBorders>
              <w:bottom w:val="single" w:color="000000" w:sz="6" w:space="0"/>
            </w:tcBorders>
            <w:vAlign w:val="center"/>
          </w:tcPr>
          <w:p>
            <w:pPr>
              <w:spacing w:line="300" w:lineRule="exact"/>
              <w:jc w:val="center"/>
              <w:rPr>
                <w:rFonts w:ascii="仿宋" w:hAnsi="仿宋" w:eastAsia="仿宋" w:cs="Times New Roman"/>
                <w:szCs w:val="24"/>
              </w:rPr>
            </w:pPr>
            <w:r>
              <w:rPr>
                <w:rFonts w:ascii="仿宋" w:hAnsi="仿宋" w:eastAsia="仿宋" w:cs="Times New Roman"/>
                <w:szCs w:val="24"/>
              </w:rPr>
              <w:t>50.00</w:t>
            </w:r>
          </w:p>
        </w:tc>
        <w:tc>
          <w:tcPr>
            <w:tcW w:w="1304" w:type="dxa"/>
            <w:tcBorders>
              <w:bottom w:val="single" w:color="000000" w:sz="6" w:space="0"/>
            </w:tcBorders>
            <w:vAlign w:val="center"/>
          </w:tcPr>
          <w:p>
            <w:pPr>
              <w:spacing w:line="300" w:lineRule="exact"/>
              <w:jc w:val="center"/>
              <w:rPr>
                <w:rFonts w:ascii="仿宋" w:hAnsi="仿宋" w:eastAsia="仿宋" w:cs="Times New Roman"/>
                <w:szCs w:val="24"/>
              </w:rPr>
            </w:pPr>
          </w:p>
        </w:tc>
        <w:tc>
          <w:tcPr>
            <w:tcW w:w="2977" w:type="dxa"/>
            <w:gridSpan w:val="2"/>
            <w:tcBorders>
              <w:bottom w:val="single" w:color="000000" w:sz="6" w:space="0"/>
            </w:tcBorders>
            <w:vAlign w:val="center"/>
          </w:tcPr>
          <w:p>
            <w:pPr>
              <w:spacing w:line="300" w:lineRule="exact"/>
              <w:jc w:val="center"/>
              <w:rPr>
                <w:rFonts w:ascii="仿宋" w:hAnsi="仿宋" w:eastAsia="仿宋" w:cs="Times New Roman"/>
                <w:szCs w:val="24"/>
              </w:rPr>
            </w:pPr>
            <w:r>
              <w:rPr>
                <w:rFonts w:ascii="仿宋" w:hAnsi="仿宋" w:eastAsia="仿宋" w:cs="Times New Roman"/>
                <w:szCs w:val="24"/>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绩效目标</w:t>
            </w:r>
          </w:p>
        </w:tc>
        <w:tc>
          <w:tcPr>
            <w:tcW w:w="8278" w:type="dxa"/>
            <w:gridSpan w:val="6"/>
            <w:tcBorders>
              <w:bottom w:val="nil"/>
            </w:tcBorders>
            <w:vAlign w:val="center"/>
          </w:tcPr>
          <w:p>
            <w:pPr>
              <w:spacing w:line="300" w:lineRule="exact"/>
              <w:jc w:val="left"/>
              <w:rPr>
                <w:rFonts w:ascii="仿宋" w:hAnsi="仿宋" w:eastAsia="仿宋" w:cs="Times New Roman"/>
                <w:szCs w:val="24"/>
              </w:rPr>
            </w:pPr>
            <w:r>
              <w:rPr>
                <w:rFonts w:ascii="仿宋" w:hAnsi="仿宋" w:eastAsia="仿宋" w:cs="Times New Roman"/>
                <w:szCs w:val="24"/>
              </w:rPr>
              <w:t>1</w:t>
            </w:r>
            <w:r>
              <w:rPr>
                <w:rFonts w:hint="eastAsia" w:ascii="仿宋" w:hAnsi="仿宋" w:eastAsia="仿宋" w:cs="Times New Roman"/>
                <w:szCs w:val="24"/>
              </w:rPr>
              <w:t>、组织信息化安全检查</w:t>
            </w:r>
          </w:p>
          <w:p>
            <w:pPr>
              <w:spacing w:line="300" w:lineRule="exact"/>
              <w:jc w:val="left"/>
              <w:rPr>
                <w:rFonts w:ascii="仿宋" w:hAnsi="仿宋" w:eastAsia="仿宋" w:cs="Times New Roman"/>
                <w:szCs w:val="24"/>
              </w:rPr>
            </w:pPr>
            <w:r>
              <w:rPr>
                <w:rFonts w:ascii="仿宋" w:hAnsi="仿宋" w:eastAsia="仿宋" w:cs="Times New Roman"/>
                <w:szCs w:val="24"/>
              </w:rPr>
              <w:t>2</w:t>
            </w:r>
            <w:r>
              <w:rPr>
                <w:rFonts w:hint="eastAsia" w:ascii="仿宋" w:hAnsi="仿宋" w:eastAsia="仿宋" w:cs="Times New Roman"/>
                <w:szCs w:val="24"/>
              </w:rPr>
              <w:t>、让群众满意。</w:t>
            </w:r>
          </w:p>
        </w:tc>
      </w:tr>
    </w:tbl>
    <w:p>
      <w:pPr>
        <w:spacing w:line="14" w:lineRule="exact"/>
        <w:jc w:val="center"/>
        <w:rPr>
          <w:rFonts w:ascii="仿宋" w:hAnsi="仿宋" w:eastAsia="仿宋" w:cs="Times New Roman"/>
          <w:szCs w:val="24"/>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一级指标</w:t>
            </w:r>
          </w:p>
        </w:tc>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二级指标</w:t>
            </w:r>
          </w:p>
        </w:tc>
        <w:tc>
          <w:tcPr>
            <w:tcW w:w="1276"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三级指标</w:t>
            </w:r>
          </w:p>
        </w:tc>
        <w:tc>
          <w:tcPr>
            <w:tcW w:w="2891"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绩效指标描述</w:t>
            </w:r>
          </w:p>
        </w:tc>
        <w:tc>
          <w:tcPr>
            <w:tcW w:w="1276"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指标值</w:t>
            </w:r>
          </w:p>
        </w:tc>
        <w:tc>
          <w:tcPr>
            <w:tcW w:w="1701"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80" w:hRule="atLeast"/>
          <w:jc w:val="center"/>
        </w:trPr>
        <w:tc>
          <w:tcPr>
            <w:tcW w:w="1134" w:type="dxa"/>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产出指标</w:t>
            </w:r>
          </w:p>
        </w:tc>
        <w:tc>
          <w:tcPr>
            <w:tcW w:w="1134" w:type="dxa"/>
            <w:vAlign w:val="center"/>
          </w:tcPr>
          <w:p>
            <w:pPr>
              <w:spacing w:line="300" w:lineRule="exact"/>
              <w:jc w:val="left"/>
              <w:rPr>
                <w:rFonts w:ascii="仿宋_GB2312" w:eastAsia="仿宋_GB2312"/>
              </w:rPr>
            </w:pPr>
            <w:r>
              <w:rPr>
                <w:rFonts w:hint="eastAsia" w:ascii="仿宋_GB2312" w:eastAsia="仿宋_GB2312"/>
              </w:rPr>
              <w:t>数量指标</w:t>
            </w:r>
          </w:p>
        </w:tc>
        <w:tc>
          <w:tcPr>
            <w:tcW w:w="1276" w:type="dxa"/>
            <w:vAlign w:val="center"/>
          </w:tcPr>
          <w:p>
            <w:pPr>
              <w:spacing w:line="300" w:lineRule="exact"/>
              <w:jc w:val="left"/>
              <w:rPr>
                <w:rFonts w:ascii="仿宋_GB2312" w:eastAsia="仿宋_GB2312"/>
              </w:rPr>
            </w:pPr>
            <w:r>
              <w:rPr>
                <w:rFonts w:hint="eastAsia" w:ascii="仿宋_GB2312" w:eastAsia="仿宋_GB2312"/>
              </w:rPr>
              <w:t>开展外宣活动数量</w:t>
            </w:r>
          </w:p>
        </w:tc>
        <w:tc>
          <w:tcPr>
            <w:tcW w:w="2891" w:type="dxa"/>
            <w:vAlign w:val="center"/>
          </w:tcPr>
          <w:p>
            <w:pPr>
              <w:spacing w:line="300" w:lineRule="exact"/>
              <w:jc w:val="left"/>
              <w:rPr>
                <w:rFonts w:ascii="仿宋_GB2312" w:eastAsia="仿宋_GB2312"/>
              </w:rPr>
            </w:pPr>
            <w:r>
              <w:rPr>
                <w:rFonts w:hint="eastAsia" w:ascii="仿宋_GB2312" w:eastAsia="仿宋_GB2312"/>
              </w:rPr>
              <w:t>反映开展外宣活动情况</w:t>
            </w:r>
          </w:p>
        </w:tc>
        <w:tc>
          <w:tcPr>
            <w:tcW w:w="1276" w:type="dxa"/>
            <w:vAlign w:val="center"/>
          </w:tcPr>
          <w:p>
            <w:pPr>
              <w:spacing w:line="300" w:lineRule="exact"/>
              <w:jc w:val="left"/>
              <w:rPr>
                <w:rFonts w:ascii="仿宋_GB2312" w:eastAsia="仿宋_GB2312"/>
              </w:rPr>
            </w:pPr>
            <w:r>
              <w:rPr>
                <w:rFonts w:hint="eastAsia" w:ascii="仿宋_GB2312" w:eastAsia="仿宋_GB2312"/>
              </w:rPr>
              <w:t>≥90组织宣传3-5次</w:t>
            </w:r>
          </w:p>
        </w:tc>
        <w:tc>
          <w:tcPr>
            <w:tcW w:w="1701" w:type="dxa"/>
            <w:vAlign w:val="center"/>
          </w:tcPr>
          <w:p>
            <w:pPr>
              <w:spacing w:line="300" w:lineRule="exact"/>
              <w:jc w:val="left"/>
              <w:rPr>
                <w:rFonts w:ascii="仿宋_GB2312" w:eastAsia="仿宋_GB2312"/>
              </w:rPr>
            </w:pPr>
            <w:r>
              <w:rPr>
                <w:rFonts w:hint="eastAsia" w:ascii="仿宋_GB2312" w:eastAsia="仿宋_GB2312"/>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jc w:val="center"/>
        </w:trPr>
        <w:tc>
          <w:tcPr>
            <w:tcW w:w="1134" w:type="dxa"/>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效果指标</w:t>
            </w:r>
          </w:p>
        </w:tc>
        <w:tc>
          <w:tcPr>
            <w:tcW w:w="1134" w:type="dxa"/>
            <w:vAlign w:val="center"/>
          </w:tcPr>
          <w:p>
            <w:pPr>
              <w:spacing w:line="300" w:lineRule="exact"/>
              <w:jc w:val="left"/>
              <w:rPr>
                <w:rFonts w:ascii="仿宋_GB2312" w:eastAsia="仿宋_GB2312"/>
              </w:rPr>
            </w:pPr>
            <w:r>
              <w:rPr>
                <w:rFonts w:hint="eastAsia" w:ascii="仿宋_GB2312" w:eastAsia="仿宋_GB2312"/>
              </w:rPr>
              <w:t>社会效益指标</w:t>
            </w:r>
          </w:p>
        </w:tc>
        <w:tc>
          <w:tcPr>
            <w:tcW w:w="1276" w:type="dxa"/>
            <w:vAlign w:val="center"/>
          </w:tcPr>
          <w:p>
            <w:pPr>
              <w:spacing w:line="300" w:lineRule="exact"/>
              <w:jc w:val="left"/>
              <w:rPr>
                <w:rFonts w:ascii="仿宋_GB2312" w:eastAsia="仿宋_GB2312"/>
              </w:rPr>
            </w:pPr>
            <w:r>
              <w:rPr>
                <w:rFonts w:hint="eastAsia" w:ascii="仿宋_GB2312" w:eastAsia="仿宋_GB2312"/>
              </w:rPr>
              <w:t>突发事件新闻处置完成率</w:t>
            </w:r>
          </w:p>
        </w:tc>
        <w:tc>
          <w:tcPr>
            <w:tcW w:w="2891" w:type="dxa"/>
            <w:vAlign w:val="center"/>
          </w:tcPr>
          <w:p>
            <w:pPr>
              <w:spacing w:line="300" w:lineRule="exact"/>
              <w:jc w:val="left"/>
              <w:rPr>
                <w:rFonts w:ascii="仿宋_GB2312" w:eastAsia="仿宋_GB2312"/>
              </w:rPr>
            </w:pPr>
            <w:r>
              <w:rPr>
                <w:rFonts w:hint="eastAsia" w:ascii="仿宋_GB2312" w:eastAsia="仿宋_GB2312"/>
              </w:rPr>
              <w:t>处置完成突发事件新闻数量占突发事件新闻数量的比例</w:t>
            </w:r>
          </w:p>
        </w:tc>
        <w:tc>
          <w:tcPr>
            <w:tcW w:w="1276" w:type="dxa"/>
            <w:vAlign w:val="center"/>
          </w:tcPr>
          <w:p>
            <w:pPr>
              <w:spacing w:line="300" w:lineRule="exact"/>
              <w:jc w:val="left"/>
              <w:rPr>
                <w:rFonts w:ascii="仿宋_GB2312" w:eastAsia="仿宋_GB2312"/>
              </w:rPr>
            </w:pPr>
            <w:r>
              <w:rPr>
                <w:rFonts w:hint="eastAsia" w:ascii="仿宋_GB2312" w:eastAsia="仿宋_GB2312"/>
              </w:rPr>
              <w:t>≥90对突发新闻进行安全检查</w:t>
            </w:r>
          </w:p>
        </w:tc>
        <w:tc>
          <w:tcPr>
            <w:tcW w:w="1701" w:type="dxa"/>
            <w:vAlign w:val="center"/>
          </w:tcPr>
          <w:p>
            <w:pPr>
              <w:spacing w:line="300" w:lineRule="exact"/>
              <w:jc w:val="left"/>
              <w:rPr>
                <w:rFonts w:ascii="仿宋_GB2312" w:eastAsia="仿宋_GB2312"/>
              </w:rPr>
            </w:pPr>
            <w:r>
              <w:rPr>
                <w:rFonts w:hint="eastAsia" w:ascii="仿宋_GB2312" w:eastAsia="仿宋_GB2312"/>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2" w:hRule="atLeast"/>
          <w:jc w:val="center"/>
        </w:trPr>
        <w:tc>
          <w:tcPr>
            <w:tcW w:w="1134" w:type="dxa"/>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满意度指标</w:t>
            </w:r>
          </w:p>
        </w:tc>
        <w:tc>
          <w:tcPr>
            <w:tcW w:w="1134" w:type="dxa"/>
            <w:vAlign w:val="center"/>
          </w:tcPr>
          <w:p>
            <w:pPr>
              <w:spacing w:line="300" w:lineRule="exact"/>
              <w:jc w:val="left"/>
              <w:rPr>
                <w:rFonts w:ascii="仿宋_GB2312" w:eastAsia="仿宋_GB2312"/>
              </w:rPr>
            </w:pPr>
            <w:r>
              <w:rPr>
                <w:rFonts w:hint="eastAsia" w:ascii="仿宋_GB2312" w:eastAsia="仿宋_GB2312"/>
              </w:rPr>
              <w:t>服务对象满意度指标</w:t>
            </w:r>
          </w:p>
        </w:tc>
        <w:tc>
          <w:tcPr>
            <w:tcW w:w="1276" w:type="dxa"/>
            <w:vAlign w:val="center"/>
          </w:tcPr>
          <w:p>
            <w:pPr>
              <w:spacing w:line="300" w:lineRule="exact"/>
              <w:jc w:val="left"/>
              <w:rPr>
                <w:rFonts w:ascii="仿宋_GB2312" w:eastAsia="仿宋_GB2312"/>
              </w:rPr>
            </w:pPr>
            <w:r>
              <w:rPr>
                <w:rFonts w:hint="eastAsia" w:ascii="仿宋_GB2312" w:eastAsia="仿宋_GB2312"/>
              </w:rPr>
              <w:t>群众满意度</w:t>
            </w:r>
          </w:p>
        </w:tc>
        <w:tc>
          <w:tcPr>
            <w:tcW w:w="2891" w:type="dxa"/>
            <w:vAlign w:val="center"/>
          </w:tcPr>
          <w:p>
            <w:pPr>
              <w:spacing w:line="300" w:lineRule="exact"/>
              <w:jc w:val="left"/>
              <w:rPr>
                <w:rFonts w:ascii="仿宋_GB2312" w:eastAsia="仿宋_GB2312"/>
              </w:rPr>
            </w:pPr>
            <w:r>
              <w:rPr>
                <w:rFonts w:hint="eastAsia" w:ascii="仿宋_GB2312" w:eastAsia="仿宋_GB2312"/>
              </w:rPr>
              <w:t>群众满意数量占总数的比例。</w:t>
            </w:r>
          </w:p>
        </w:tc>
        <w:tc>
          <w:tcPr>
            <w:tcW w:w="1276" w:type="dxa"/>
            <w:vAlign w:val="center"/>
          </w:tcPr>
          <w:p>
            <w:pPr>
              <w:spacing w:line="300" w:lineRule="exact"/>
              <w:jc w:val="left"/>
              <w:rPr>
                <w:rFonts w:ascii="仿宋_GB2312" w:eastAsia="仿宋_GB2312"/>
              </w:rPr>
            </w:pPr>
            <w:r>
              <w:rPr>
                <w:rFonts w:hint="eastAsia" w:ascii="仿宋_GB2312" w:eastAsia="仿宋_GB2312"/>
              </w:rPr>
              <w:t>≥90让群众满意</w:t>
            </w:r>
          </w:p>
        </w:tc>
        <w:tc>
          <w:tcPr>
            <w:tcW w:w="1701" w:type="dxa"/>
            <w:vAlign w:val="center"/>
          </w:tcPr>
          <w:p>
            <w:pPr>
              <w:spacing w:line="300" w:lineRule="exact"/>
              <w:jc w:val="left"/>
              <w:rPr>
                <w:rFonts w:ascii="仿宋_GB2312" w:eastAsia="仿宋_GB2312"/>
              </w:rPr>
            </w:pPr>
            <w:r>
              <w:rPr>
                <w:rFonts w:hint="eastAsia" w:ascii="仿宋_GB2312" w:eastAsia="仿宋_GB2312"/>
              </w:rPr>
              <w:t>工作方案</w:t>
            </w:r>
          </w:p>
        </w:tc>
      </w:tr>
    </w:tbl>
    <w:p>
      <w:pPr>
        <w:spacing w:line="300" w:lineRule="exact"/>
        <w:jc w:val="left"/>
        <w:rPr>
          <w:rFonts w:ascii="仿宋" w:hAnsi="仿宋" w:eastAsia="仿宋" w:cs="Times New Roman"/>
          <w:szCs w:val="24"/>
        </w:rPr>
        <w:sectPr>
          <w:pgSz w:w="11907" w:h="16839"/>
          <w:pgMar w:top="1440" w:right="1797" w:bottom="1440" w:left="1797" w:header="851" w:footer="992" w:gutter="0"/>
          <w:cols w:space="720" w:num="1"/>
          <w:docGrid w:linePitch="312" w:charSpace="0"/>
        </w:sectPr>
      </w:pPr>
    </w:p>
    <w:p>
      <w:pPr>
        <w:spacing w:line="300" w:lineRule="exact"/>
        <w:jc w:val="left"/>
        <w:rPr>
          <w:rFonts w:ascii="仿宋" w:hAnsi="仿宋" w:eastAsia="仿宋" w:cs="Times New Roman"/>
          <w:szCs w:val="24"/>
        </w:rPr>
      </w:pPr>
    </w:p>
    <w:p>
      <w:pPr>
        <w:jc w:val="left"/>
        <w:outlineLvl w:val="1"/>
        <w:rPr>
          <w:rFonts w:ascii="仿宋" w:hAnsi="仿宋" w:eastAsia="仿宋" w:cs="Times New Roman"/>
          <w:b/>
          <w:sz w:val="28"/>
          <w:szCs w:val="24"/>
        </w:rPr>
      </w:pPr>
      <w:r>
        <w:rPr>
          <w:rFonts w:hint="eastAsia" w:ascii="仿宋" w:hAnsi="仿宋" w:eastAsia="仿宋" w:cs="Times New Roman"/>
          <w:b/>
          <w:sz w:val="28"/>
          <w:szCs w:val="24"/>
        </w:rPr>
        <w:t>3、网信办舆情处置专项经费绩效目标表</w:t>
      </w:r>
      <w:r>
        <w:rPr>
          <w:rFonts w:ascii="仿宋" w:hAnsi="仿宋" w:eastAsia="仿宋" w:cs="Times New Roman"/>
          <w:b/>
          <w:sz w:val="28"/>
          <w:szCs w:val="24"/>
        </w:rPr>
        <w:fldChar w:fldCharType="begin"/>
      </w:r>
      <w:r>
        <w:rPr>
          <w:rFonts w:hint="eastAsia" w:ascii="仿宋" w:hAnsi="仿宋" w:eastAsia="仿宋" w:cs="Times New Roman"/>
          <w:b/>
          <w:sz w:val="28"/>
          <w:szCs w:val="24"/>
        </w:rPr>
        <w:instrText xml:space="preserve">TC </w:instrText>
      </w:r>
      <w:bookmarkStart w:id="3" w:name="_Toc31739203"/>
      <w:r>
        <w:rPr>
          <w:rFonts w:hint="eastAsia" w:ascii="仿宋" w:hAnsi="仿宋" w:eastAsia="仿宋" w:cs="Times New Roman"/>
          <w:b/>
          <w:sz w:val="28"/>
          <w:szCs w:val="24"/>
        </w:rPr>
        <w:instrText xml:space="preserve">4、网信办舆情处置专项经费绩效目标表</w:instrText>
      </w:r>
      <w:bookmarkEnd w:id="3"/>
      <w:r>
        <w:rPr>
          <w:rFonts w:hint="eastAsia" w:ascii="仿宋" w:hAnsi="仿宋" w:eastAsia="仿宋" w:cs="Times New Roman"/>
          <w:b/>
          <w:sz w:val="28"/>
          <w:szCs w:val="24"/>
        </w:rPr>
        <w:instrText xml:space="preserve"> \f B \l 1</w:instrText>
      </w:r>
      <w:r>
        <w:rPr>
          <w:rFonts w:ascii="仿宋" w:hAnsi="仿宋" w:eastAsia="仿宋" w:cs="Times New Roman"/>
          <w:b/>
          <w:sz w:val="28"/>
          <w:szCs w:val="24"/>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Times New Roman"/>
                <w:b/>
                <w:szCs w:val="24"/>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Cs w:val="24"/>
              </w:rPr>
            </w:pPr>
            <w:r>
              <w:rPr>
                <w:rFonts w:hint="eastAsia" w:ascii="仿宋" w:hAnsi="仿宋" w:eastAsia="仿宋" w:cs="Times New Roman"/>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项目编码</w:t>
            </w:r>
          </w:p>
        </w:tc>
        <w:tc>
          <w:tcPr>
            <w:tcW w:w="2410" w:type="dxa"/>
            <w:gridSpan w:val="2"/>
            <w:vAlign w:val="center"/>
          </w:tcPr>
          <w:p>
            <w:pPr>
              <w:spacing w:line="300" w:lineRule="exact"/>
              <w:jc w:val="left"/>
              <w:rPr>
                <w:rFonts w:ascii="仿宋" w:hAnsi="仿宋" w:eastAsia="仿宋" w:cs="Times New Roman"/>
                <w:szCs w:val="24"/>
              </w:rPr>
            </w:pPr>
            <w:r>
              <w:rPr>
                <w:rFonts w:ascii="仿宋" w:hAnsi="仿宋" w:eastAsia="仿宋" w:cs="Times New Roman"/>
                <w:szCs w:val="24"/>
              </w:rPr>
              <w:t>000-9999-JSN-2JNJ</w:t>
            </w:r>
          </w:p>
        </w:tc>
        <w:tc>
          <w:tcPr>
            <w:tcW w:w="158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专项资金名称</w:t>
            </w:r>
          </w:p>
        </w:tc>
        <w:tc>
          <w:tcPr>
            <w:tcW w:w="4281" w:type="dxa"/>
            <w:gridSpan w:val="3"/>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网信办舆情处置专项经费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预算规模及资金用途</w:t>
            </w:r>
          </w:p>
        </w:tc>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预算数</w:t>
            </w:r>
          </w:p>
        </w:tc>
        <w:tc>
          <w:tcPr>
            <w:tcW w:w="1276" w:type="dxa"/>
            <w:vAlign w:val="center"/>
          </w:tcPr>
          <w:p>
            <w:pPr>
              <w:spacing w:line="300" w:lineRule="exact"/>
              <w:jc w:val="left"/>
              <w:rPr>
                <w:rFonts w:ascii="仿宋" w:hAnsi="仿宋" w:eastAsia="仿宋" w:cs="Times New Roman"/>
                <w:szCs w:val="24"/>
              </w:rPr>
            </w:pPr>
            <w:r>
              <w:rPr>
                <w:rFonts w:ascii="仿宋" w:hAnsi="仿宋" w:eastAsia="仿宋" w:cs="Times New Roman"/>
                <w:szCs w:val="24"/>
              </w:rPr>
              <w:t>5.00</w:t>
            </w:r>
          </w:p>
        </w:tc>
        <w:tc>
          <w:tcPr>
            <w:tcW w:w="158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其中：财政资金</w:t>
            </w:r>
          </w:p>
        </w:tc>
        <w:tc>
          <w:tcPr>
            <w:tcW w:w="1304" w:type="dxa"/>
            <w:vAlign w:val="center"/>
          </w:tcPr>
          <w:p>
            <w:pPr>
              <w:spacing w:line="300" w:lineRule="exact"/>
              <w:jc w:val="left"/>
              <w:rPr>
                <w:rFonts w:ascii="仿宋" w:hAnsi="仿宋" w:eastAsia="仿宋" w:cs="Times New Roman"/>
                <w:szCs w:val="24"/>
              </w:rPr>
            </w:pPr>
            <w:r>
              <w:rPr>
                <w:rFonts w:ascii="仿宋" w:hAnsi="仿宋" w:eastAsia="仿宋" w:cs="Times New Roman"/>
                <w:szCs w:val="24"/>
              </w:rPr>
              <w:t>5.00</w:t>
            </w:r>
          </w:p>
        </w:tc>
        <w:tc>
          <w:tcPr>
            <w:tcW w:w="1276"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其他资金</w:t>
            </w:r>
          </w:p>
        </w:tc>
        <w:tc>
          <w:tcPr>
            <w:tcW w:w="1701" w:type="dxa"/>
            <w:vAlign w:val="center"/>
          </w:tcPr>
          <w:p>
            <w:pPr>
              <w:spacing w:line="300" w:lineRule="exact"/>
              <w:jc w:val="left"/>
              <w:rPr>
                <w:rFonts w:ascii="仿宋" w:hAnsi="仿宋" w:eastAsia="仿宋"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rFonts w:ascii="仿宋" w:hAnsi="仿宋" w:eastAsia="仿宋" w:cs="Times New Roman"/>
                <w:szCs w:val="24"/>
              </w:rPr>
            </w:pPr>
          </w:p>
        </w:tc>
        <w:tc>
          <w:tcPr>
            <w:tcW w:w="8278" w:type="dxa"/>
            <w:gridSpan w:val="6"/>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负责全县互联网信息内容管理。统筹协调组织互联网</w:t>
            </w:r>
          </w:p>
          <w:p>
            <w:pPr>
              <w:spacing w:line="300" w:lineRule="exact"/>
              <w:jc w:val="left"/>
              <w:rPr>
                <w:rFonts w:ascii="仿宋" w:hAnsi="仿宋" w:eastAsia="仿宋" w:cs="Times New Roman"/>
                <w:szCs w:val="24"/>
              </w:rPr>
            </w:pPr>
            <w:r>
              <w:rPr>
                <w:rFonts w:hint="eastAsia" w:ascii="仿宋" w:hAnsi="仿宋" w:eastAsia="仿宋" w:cs="Times New Roman"/>
                <w:szCs w:val="24"/>
              </w:rPr>
              <w:t>宣传管理和舆论引导工作，组织开展网上评论，指导推动网络评</w:t>
            </w:r>
          </w:p>
          <w:p>
            <w:pPr>
              <w:spacing w:line="300" w:lineRule="exact"/>
              <w:jc w:val="left"/>
              <w:rPr>
                <w:rFonts w:ascii="仿宋" w:hAnsi="仿宋" w:eastAsia="仿宋" w:cs="Times New Roman"/>
                <w:szCs w:val="24"/>
              </w:rPr>
            </w:pPr>
            <w:r>
              <w:rPr>
                <w:rFonts w:hint="eastAsia" w:ascii="仿宋" w:hAnsi="仿宋" w:eastAsia="仿宋" w:cs="Times New Roman"/>
                <w:szCs w:val="24"/>
              </w:rPr>
              <w:t>论队伍建设，维护互联网意识形态安全；研究拟订互联网新闻信</w:t>
            </w:r>
          </w:p>
          <w:p>
            <w:pPr>
              <w:spacing w:line="300" w:lineRule="exact"/>
              <w:jc w:val="left"/>
              <w:rPr>
                <w:rFonts w:ascii="仿宋" w:hAnsi="仿宋" w:eastAsia="仿宋" w:cs="Times New Roman"/>
                <w:szCs w:val="24"/>
              </w:rPr>
            </w:pPr>
            <w:r>
              <w:rPr>
                <w:rFonts w:hint="eastAsia" w:ascii="仿宋" w:hAnsi="仿宋" w:eastAsia="仿宋" w:cs="Times New Roman"/>
                <w:szCs w:val="24"/>
              </w:rPr>
              <w:t>息传播相关政策；负责互联网信息内容监督管理执法，组织开展</w:t>
            </w:r>
          </w:p>
          <w:p>
            <w:pPr>
              <w:spacing w:line="300" w:lineRule="exact"/>
              <w:jc w:val="left"/>
              <w:rPr>
                <w:rFonts w:ascii="仿宋" w:hAnsi="仿宋" w:eastAsia="仿宋" w:cs="Times New Roman"/>
                <w:szCs w:val="24"/>
              </w:rPr>
            </w:pPr>
            <w:r>
              <w:rPr>
                <w:rFonts w:hint="eastAsia" w:ascii="仿宋" w:hAnsi="仿宋" w:eastAsia="仿宋" w:cs="Times New Roman"/>
                <w:szCs w:val="24"/>
              </w:rPr>
              <w:t>网络舆论生态治理，依法指导和管理全县落地网站及县内新媒体</w:t>
            </w:r>
          </w:p>
          <w:p>
            <w:pPr>
              <w:spacing w:line="300" w:lineRule="exact"/>
              <w:jc w:val="left"/>
              <w:rPr>
                <w:rFonts w:ascii="仿宋" w:hAnsi="仿宋" w:eastAsia="仿宋" w:cs="Times New Roman"/>
                <w:szCs w:val="24"/>
              </w:rPr>
            </w:pPr>
            <w:r>
              <w:rPr>
                <w:rFonts w:hint="eastAsia" w:ascii="仿宋" w:hAnsi="仿宋" w:eastAsia="仿宋" w:cs="Times New Roman"/>
                <w:szCs w:val="24"/>
              </w:rPr>
              <w:t>新应用，会同有关部门处置和封堵网上有害信息，依照相关法律</w:t>
            </w:r>
          </w:p>
          <w:p>
            <w:pPr>
              <w:spacing w:line="300" w:lineRule="exact"/>
              <w:jc w:val="left"/>
              <w:rPr>
                <w:rFonts w:ascii="仿宋" w:hAnsi="仿宋" w:eastAsia="仿宋" w:cs="Times New Roman"/>
                <w:szCs w:val="24"/>
              </w:rPr>
            </w:pPr>
            <w:r>
              <w:rPr>
                <w:rFonts w:hint="eastAsia" w:ascii="仿宋" w:hAnsi="仿宋" w:eastAsia="仿宋" w:cs="Times New Roman"/>
                <w:szCs w:val="24"/>
              </w:rPr>
              <w:t>和规定查处违法违规行为和网站.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资金支出计划（</w:t>
            </w:r>
            <w:r>
              <w:rPr>
                <w:rFonts w:ascii="仿宋" w:hAnsi="仿宋" w:eastAsia="仿宋" w:cs="Times New Roman"/>
                <w:b/>
                <w:szCs w:val="24"/>
              </w:rPr>
              <w:t>%</w:t>
            </w:r>
            <w:r>
              <w:rPr>
                <w:rFonts w:hint="eastAsia" w:ascii="仿宋" w:hAnsi="仿宋" w:eastAsia="仿宋" w:cs="Times New Roman"/>
                <w:b/>
                <w:szCs w:val="24"/>
              </w:rPr>
              <w:t>）</w:t>
            </w:r>
          </w:p>
        </w:tc>
        <w:tc>
          <w:tcPr>
            <w:tcW w:w="2410" w:type="dxa"/>
            <w:gridSpan w:val="2"/>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3</w:t>
            </w:r>
            <w:r>
              <w:rPr>
                <w:rFonts w:hint="eastAsia" w:ascii="仿宋" w:hAnsi="仿宋" w:eastAsia="仿宋" w:cs="Times New Roman"/>
                <w:b/>
                <w:szCs w:val="24"/>
              </w:rPr>
              <w:t>月底</w:t>
            </w:r>
          </w:p>
        </w:tc>
        <w:tc>
          <w:tcPr>
            <w:tcW w:w="1587" w:type="dxa"/>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6</w:t>
            </w:r>
            <w:r>
              <w:rPr>
                <w:rFonts w:hint="eastAsia" w:ascii="仿宋" w:hAnsi="仿宋" w:eastAsia="仿宋" w:cs="Times New Roman"/>
                <w:b/>
                <w:szCs w:val="24"/>
              </w:rPr>
              <w:t>月底</w:t>
            </w:r>
          </w:p>
        </w:tc>
        <w:tc>
          <w:tcPr>
            <w:tcW w:w="1304" w:type="dxa"/>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10</w:t>
            </w:r>
            <w:r>
              <w:rPr>
                <w:rFonts w:hint="eastAsia" w:ascii="仿宋" w:hAnsi="仿宋" w:eastAsia="仿宋" w:cs="Times New Roman"/>
                <w:b/>
                <w:szCs w:val="24"/>
              </w:rPr>
              <w:t>月底</w:t>
            </w:r>
          </w:p>
        </w:tc>
        <w:tc>
          <w:tcPr>
            <w:tcW w:w="2977" w:type="dxa"/>
            <w:gridSpan w:val="2"/>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12</w:t>
            </w:r>
            <w:r>
              <w:rPr>
                <w:rFonts w:hint="eastAsia" w:ascii="仿宋" w:hAnsi="仿宋" w:eastAsia="仿宋" w:cs="Times New Roman"/>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rPr>
                <w:rFonts w:ascii="仿宋" w:hAnsi="仿宋" w:eastAsia="仿宋" w:cs="Times New Roman"/>
                <w:szCs w:val="24"/>
              </w:rPr>
            </w:pPr>
          </w:p>
        </w:tc>
        <w:tc>
          <w:tcPr>
            <w:tcW w:w="2410" w:type="dxa"/>
            <w:gridSpan w:val="2"/>
            <w:tcBorders>
              <w:bottom w:val="single" w:color="000000" w:sz="6" w:space="0"/>
            </w:tcBorders>
            <w:vAlign w:val="center"/>
          </w:tcPr>
          <w:p>
            <w:pPr>
              <w:spacing w:line="300" w:lineRule="exact"/>
              <w:jc w:val="center"/>
              <w:rPr>
                <w:rFonts w:ascii="仿宋" w:hAnsi="仿宋" w:eastAsia="仿宋" w:cs="Times New Roman"/>
                <w:szCs w:val="24"/>
              </w:rPr>
            </w:pPr>
          </w:p>
        </w:tc>
        <w:tc>
          <w:tcPr>
            <w:tcW w:w="1587" w:type="dxa"/>
            <w:tcBorders>
              <w:bottom w:val="single" w:color="000000" w:sz="6" w:space="0"/>
            </w:tcBorders>
            <w:vAlign w:val="center"/>
          </w:tcPr>
          <w:p>
            <w:pPr>
              <w:spacing w:line="300" w:lineRule="exact"/>
              <w:jc w:val="center"/>
              <w:rPr>
                <w:rFonts w:ascii="仿宋" w:hAnsi="仿宋" w:eastAsia="仿宋" w:cs="Times New Roman"/>
                <w:szCs w:val="24"/>
              </w:rPr>
            </w:pPr>
            <w:r>
              <w:rPr>
                <w:rFonts w:ascii="仿宋" w:hAnsi="仿宋" w:eastAsia="仿宋" w:cs="Times New Roman"/>
                <w:szCs w:val="24"/>
              </w:rPr>
              <w:t>50.00</w:t>
            </w:r>
          </w:p>
        </w:tc>
        <w:tc>
          <w:tcPr>
            <w:tcW w:w="1304" w:type="dxa"/>
            <w:tcBorders>
              <w:bottom w:val="single" w:color="000000" w:sz="6" w:space="0"/>
            </w:tcBorders>
            <w:vAlign w:val="center"/>
          </w:tcPr>
          <w:p>
            <w:pPr>
              <w:spacing w:line="300" w:lineRule="exact"/>
              <w:jc w:val="center"/>
              <w:rPr>
                <w:rFonts w:ascii="仿宋" w:hAnsi="仿宋" w:eastAsia="仿宋" w:cs="Times New Roman"/>
                <w:szCs w:val="24"/>
              </w:rPr>
            </w:pPr>
          </w:p>
        </w:tc>
        <w:tc>
          <w:tcPr>
            <w:tcW w:w="2977" w:type="dxa"/>
            <w:gridSpan w:val="2"/>
            <w:tcBorders>
              <w:bottom w:val="single" w:color="000000" w:sz="6" w:space="0"/>
            </w:tcBorders>
            <w:vAlign w:val="center"/>
          </w:tcPr>
          <w:p>
            <w:pPr>
              <w:spacing w:line="300" w:lineRule="exact"/>
              <w:jc w:val="center"/>
              <w:rPr>
                <w:rFonts w:ascii="仿宋" w:hAnsi="仿宋" w:eastAsia="仿宋" w:cs="Times New Roman"/>
                <w:szCs w:val="24"/>
              </w:rPr>
            </w:pPr>
            <w:r>
              <w:rPr>
                <w:rFonts w:ascii="仿宋" w:hAnsi="仿宋" w:eastAsia="仿宋" w:cs="Times New Roman"/>
                <w:szCs w:val="24"/>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绩效目标</w:t>
            </w:r>
          </w:p>
        </w:tc>
        <w:tc>
          <w:tcPr>
            <w:tcW w:w="8278" w:type="dxa"/>
            <w:gridSpan w:val="6"/>
            <w:tcBorders>
              <w:bottom w:val="nil"/>
            </w:tcBorders>
            <w:vAlign w:val="center"/>
          </w:tcPr>
          <w:p>
            <w:pPr>
              <w:spacing w:line="300" w:lineRule="exact"/>
              <w:jc w:val="left"/>
              <w:rPr>
                <w:rFonts w:ascii="仿宋" w:hAnsi="仿宋" w:eastAsia="仿宋" w:cs="Times New Roman"/>
                <w:szCs w:val="24"/>
              </w:rPr>
            </w:pPr>
            <w:r>
              <w:rPr>
                <w:rFonts w:ascii="仿宋" w:hAnsi="仿宋" w:eastAsia="仿宋" w:cs="Times New Roman"/>
                <w:szCs w:val="24"/>
              </w:rPr>
              <w:t>1</w:t>
            </w:r>
            <w:r>
              <w:rPr>
                <w:rFonts w:hint="eastAsia" w:ascii="仿宋" w:hAnsi="仿宋" w:eastAsia="仿宋" w:cs="Times New Roman"/>
                <w:szCs w:val="24"/>
              </w:rPr>
              <w:t>、宣传引导处置网络负面舆情</w:t>
            </w:r>
          </w:p>
          <w:p>
            <w:pPr>
              <w:spacing w:line="300" w:lineRule="exact"/>
              <w:jc w:val="left"/>
              <w:rPr>
                <w:rFonts w:ascii="仿宋" w:hAnsi="仿宋" w:eastAsia="仿宋" w:cs="Times New Roman"/>
                <w:szCs w:val="24"/>
              </w:rPr>
            </w:pPr>
            <w:r>
              <w:rPr>
                <w:rFonts w:ascii="仿宋" w:hAnsi="仿宋" w:eastAsia="仿宋" w:cs="Times New Roman"/>
                <w:szCs w:val="24"/>
              </w:rPr>
              <w:t>2</w:t>
            </w:r>
            <w:r>
              <w:rPr>
                <w:rFonts w:hint="eastAsia" w:ascii="仿宋" w:hAnsi="仿宋" w:eastAsia="仿宋" w:cs="Times New Roman"/>
                <w:szCs w:val="24"/>
              </w:rPr>
              <w:t>、让群众满意</w:t>
            </w:r>
          </w:p>
        </w:tc>
      </w:tr>
    </w:tbl>
    <w:p>
      <w:pPr>
        <w:spacing w:line="14" w:lineRule="exact"/>
        <w:jc w:val="center"/>
        <w:rPr>
          <w:rFonts w:ascii="仿宋" w:hAnsi="仿宋" w:eastAsia="仿宋" w:cs="Times New Roman"/>
          <w:szCs w:val="24"/>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一级指标</w:t>
            </w:r>
          </w:p>
        </w:tc>
        <w:tc>
          <w:tcPr>
            <w:tcW w:w="1134"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二级指标</w:t>
            </w:r>
          </w:p>
        </w:tc>
        <w:tc>
          <w:tcPr>
            <w:tcW w:w="1276"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三级指标</w:t>
            </w:r>
          </w:p>
        </w:tc>
        <w:tc>
          <w:tcPr>
            <w:tcW w:w="2891"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绩效指标描述</w:t>
            </w:r>
          </w:p>
        </w:tc>
        <w:tc>
          <w:tcPr>
            <w:tcW w:w="1276"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指标值</w:t>
            </w:r>
          </w:p>
        </w:tc>
        <w:tc>
          <w:tcPr>
            <w:tcW w:w="1701"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1134" w:type="dxa"/>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产出指标</w:t>
            </w:r>
          </w:p>
        </w:tc>
        <w:tc>
          <w:tcPr>
            <w:tcW w:w="1134" w:type="dxa"/>
            <w:vAlign w:val="center"/>
          </w:tcPr>
          <w:p>
            <w:pPr>
              <w:spacing w:line="300" w:lineRule="exact"/>
              <w:jc w:val="center"/>
              <w:rPr>
                <w:rFonts w:ascii="仿宋_GB2312" w:eastAsia="仿宋_GB2312"/>
              </w:rPr>
            </w:pPr>
            <w:r>
              <w:rPr>
                <w:rFonts w:hint="eastAsia" w:ascii="仿宋_GB2312" w:eastAsia="仿宋_GB2312"/>
              </w:rPr>
              <w:t>产出指标</w:t>
            </w:r>
          </w:p>
        </w:tc>
        <w:tc>
          <w:tcPr>
            <w:tcW w:w="1276" w:type="dxa"/>
            <w:vAlign w:val="center"/>
          </w:tcPr>
          <w:p>
            <w:pPr>
              <w:spacing w:line="300" w:lineRule="exact"/>
              <w:jc w:val="left"/>
              <w:rPr>
                <w:rFonts w:ascii="仿宋_GB2312" w:eastAsia="仿宋_GB2312"/>
              </w:rPr>
            </w:pPr>
            <w:r>
              <w:rPr>
                <w:rFonts w:hint="eastAsia" w:ascii="仿宋_GB2312" w:eastAsia="仿宋_GB2312"/>
              </w:rPr>
              <w:t>质量指标</w:t>
            </w:r>
          </w:p>
        </w:tc>
        <w:tc>
          <w:tcPr>
            <w:tcW w:w="2891" w:type="dxa"/>
            <w:vAlign w:val="center"/>
          </w:tcPr>
          <w:p>
            <w:pPr>
              <w:spacing w:line="300" w:lineRule="exact"/>
              <w:jc w:val="left"/>
              <w:rPr>
                <w:rFonts w:ascii="仿宋_GB2312" w:eastAsia="仿宋_GB2312"/>
              </w:rPr>
            </w:pPr>
            <w:r>
              <w:rPr>
                <w:rFonts w:hint="eastAsia" w:ascii="仿宋_GB2312" w:eastAsia="仿宋_GB2312"/>
              </w:rPr>
              <w:t>产生重要影响的作品数量</w:t>
            </w:r>
          </w:p>
        </w:tc>
        <w:tc>
          <w:tcPr>
            <w:tcW w:w="1276" w:type="dxa"/>
            <w:vAlign w:val="center"/>
          </w:tcPr>
          <w:p>
            <w:pPr>
              <w:spacing w:line="300" w:lineRule="exact"/>
              <w:jc w:val="left"/>
              <w:rPr>
                <w:rFonts w:ascii="仿宋_GB2312" w:eastAsia="仿宋_GB2312"/>
              </w:rPr>
            </w:pPr>
            <w:r>
              <w:rPr>
                <w:rFonts w:hint="eastAsia" w:ascii="仿宋_GB2312" w:eastAsia="仿宋_GB2312"/>
              </w:rPr>
              <w:t>两年内，在全国展演、展映、展播、展示或出版发行的作品数量。</w:t>
            </w:r>
          </w:p>
        </w:tc>
        <w:tc>
          <w:tcPr>
            <w:tcW w:w="1701" w:type="dxa"/>
            <w:vAlign w:val="center"/>
          </w:tcPr>
          <w:p>
            <w:pPr>
              <w:spacing w:line="300" w:lineRule="exact"/>
              <w:jc w:val="left"/>
              <w:rPr>
                <w:rFonts w:ascii="仿宋_GB2312" w:eastAsia="仿宋_GB2312"/>
              </w:rPr>
            </w:pPr>
            <w:r>
              <w:rPr>
                <w:rFonts w:hint="eastAsia" w:ascii="仿宋_GB2312" w:eastAsia="仿宋_GB2312"/>
              </w:rPr>
              <w:t>≥90宣传引导 处置网络舆情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1134" w:type="dxa"/>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效果指标</w:t>
            </w:r>
          </w:p>
        </w:tc>
        <w:tc>
          <w:tcPr>
            <w:tcW w:w="1134" w:type="dxa"/>
            <w:vAlign w:val="center"/>
          </w:tcPr>
          <w:p>
            <w:pPr>
              <w:spacing w:line="300" w:lineRule="exact"/>
              <w:jc w:val="center"/>
              <w:rPr>
                <w:rFonts w:ascii="仿宋_GB2312" w:eastAsia="仿宋_GB2312"/>
              </w:rPr>
            </w:pPr>
            <w:r>
              <w:rPr>
                <w:rFonts w:hint="eastAsia" w:ascii="仿宋_GB2312" w:eastAsia="仿宋_GB2312"/>
              </w:rPr>
              <w:t>效果指标</w:t>
            </w:r>
          </w:p>
        </w:tc>
        <w:tc>
          <w:tcPr>
            <w:tcW w:w="1276" w:type="dxa"/>
            <w:vAlign w:val="center"/>
          </w:tcPr>
          <w:p>
            <w:pPr>
              <w:spacing w:line="300" w:lineRule="exact"/>
              <w:jc w:val="left"/>
              <w:rPr>
                <w:rFonts w:ascii="仿宋_GB2312" w:eastAsia="仿宋_GB2312"/>
              </w:rPr>
            </w:pPr>
            <w:r>
              <w:rPr>
                <w:rFonts w:hint="eastAsia" w:ascii="仿宋_GB2312" w:eastAsia="仿宋_GB2312"/>
              </w:rPr>
              <w:t>社会效益指标</w:t>
            </w:r>
          </w:p>
        </w:tc>
        <w:tc>
          <w:tcPr>
            <w:tcW w:w="2891" w:type="dxa"/>
            <w:vAlign w:val="center"/>
          </w:tcPr>
          <w:p>
            <w:pPr>
              <w:spacing w:line="300" w:lineRule="exact"/>
              <w:jc w:val="left"/>
              <w:rPr>
                <w:rFonts w:ascii="仿宋_GB2312" w:eastAsia="仿宋_GB2312"/>
              </w:rPr>
            </w:pPr>
            <w:r>
              <w:rPr>
                <w:rFonts w:hint="eastAsia" w:ascii="仿宋_GB2312" w:eastAsia="仿宋_GB2312"/>
              </w:rPr>
              <w:t>对全省宣传文化事业发展的促进推动作用</w:t>
            </w:r>
          </w:p>
        </w:tc>
        <w:tc>
          <w:tcPr>
            <w:tcW w:w="1276" w:type="dxa"/>
            <w:vAlign w:val="center"/>
          </w:tcPr>
          <w:p>
            <w:pPr>
              <w:spacing w:line="300" w:lineRule="exact"/>
              <w:jc w:val="left"/>
              <w:rPr>
                <w:rFonts w:ascii="仿宋_GB2312" w:eastAsia="仿宋_GB2312"/>
              </w:rPr>
            </w:pPr>
            <w:r>
              <w:rPr>
                <w:rFonts w:hint="eastAsia" w:ascii="仿宋_GB2312" w:eastAsia="仿宋_GB2312"/>
              </w:rPr>
              <w:t>通过支持重点宣传文化项目建设，带动全省宣传文化事业发展的效果</w:t>
            </w:r>
          </w:p>
        </w:tc>
        <w:tc>
          <w:tcPr>
            <w:tcW w:w="1701" w:type="dxa"/>
            <w:vAlign w:val="center"/>
          </w:tcPr>
          <w:p>
            <w:pPr>
              <w:spacing w:line="300" w:lineRule="exact"/>
              <w:jc w:val="left"/>
              <w:rPr>
                <w:rFonts w:ascii="仿宋_GB2312" w:eastAsia="仿宋_GB2312"/>
              </w:rPr>
            </w:pPr>
            <w:r>
              <w:rPr>
                <w:rFonts w:hint="eastAsia" w:ascii="仿宋_GB2312" w:eastAsia="仿宋_GB2312"/>
              </w:rPr>
              <w:t>≥90引导正面舆论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1134" w:type="dxa"/>
            <w:vAlign w:val="center"/>
          </w:tcPr>
          <w:p>
            <w:pPr>
              <w:spacing w:line="300" w:lineRule="exact"/>
              <w:jc w:val="center"/>
              <w:rPr>
                <w:rFonts w:ascii="仿宋" w:hAnsi="仿宋" w:eastAsia="仿宋" w:cs="Times New Roman"/>
                <w:szCs w:val="24"/>
              </w:rPr>
            </w:pPr>
            <w:r>
              <w:rPr>
                <w:rFonts w:hint="eastAsia" w:ascii="仿宋" w:hAnsi="仿宋" w:eastAsia="仿宋" w:cs="Times New Roman"/>
                <w:szCs w:val="24"/>
              </w:rPr>
              <w:t>满意度指标</w:t>
            </w:r>
          </w:p>
        </w:tc>
        <w:tc>
          <w:tcPr>
            <w:tcW w:w="1134" w:type="dxa"/>
            <w:vAlign w:val="center"/>
          </w:tcPr>
          <w:p>
            <w:pPr>
              <w:spacing w:line="300" w:lineRule="exact"/>
              <w:jc w:val="center"/>
              <w:rPr>
                <w:rFonts w:ascii="仿宋_GB2312" w:eastAsia="仿宋_GB2312"/>
              </w:rPr>
            </w:pPr>
            <w:r>
              <w:rPr>
                <w:rFonts w:hint="eastAsia" w:ascii="仿宋_GB2312" w:eastAsia="仿宋_GB2312"/>
              </w:rPr>
              <w:t>满意度指标</w:t>
            </w:r>
          </w:p>
        </w:tc>
        <w:tc>
          <w:tcPr>
            <w:tcW w:w="1276" w:type="dxa"/>
            <w:vAlign w:val="center"/>
          </w:tcPr>
          <w:p>
            <w:pPr>
              <w:spacing w:line="300" w:lineRule="exact"/>
              <w:jc w:val="left"/>
              <w:rPr>
                <w:rFonts w:ascii="仿宋_GB2312" w:eastAsia="仿宋_GB2312"/>
              </w:rPr>
            </w:pPr>
            <w:r>
              <w:rPr>
                <w:rFonts w:hint="eastAsia" w:ascii="仿宋_GB2312" w:eastAsia="仿宋_GB2312"/>
              </w:rPr>
              <w:t>服务对象满意度指标</w:t>
            </w:r>
          </w:p>
        </w:tc>
        <w:tc>
          <w:tcPr>
            <w:tcW w:w="2891" w:type="dxa"/>
            <w:vAlign w:val="center"/>
          </w:tcPr>
          <w:p>
            <w:pPr>
              <w:spacing w:line="300" w:lineRule="exact"/>
              <w:jc w:val="left"/>
              <w:rPr>
                <w:rFonts w:ascii="仿宋_GB2312" w:eastAsia="仿宋_GB2312"/>
              </w:rPr>
            </w:pPr>
            <w:r>
              <w:rPr>
                <w:rFonts w:hint="eastAsia" w:ascii="仿宋_GB2312" w:eastAsia="仿宋_GB2312"/>
              </w:rPr>
              <w:t>群众满意度</w:t>
            </w:r>
          </w:p>
        </w:tc>
        <w:tc>
          <w:tcPr>
            <w:tcW w:w="1276" w:type="dxa"/>
            <w:vAlign w:val="center"/>
          </w:tcPr>
          <w:p>
            <w:pPr>
              <w:spacing w:line="300" w:lineRule="exact"/>
              <w:jc w:val="left"/>
              <w:rPr>
                <w:rFonts w:ascii="仿宋_GB2312" w:eastAsia="仿宋_GB2312"/>
              </w:rPr>
            </w:pPr>
            <w:r>
              <w:rPr>
                <w:rFonts w:hint="eastAsia" w:ascii="仿宋_GB2312" w:eastAsia="仿宋_GB2312"/>
              </w:rPr>
              <w:t>群众满意数量占总数的比例。</w:t>
            </w:r>
          </w:p>
        </w:tc>
        <w:tc>
          <w:tcPr>
            <w:tcW w:w="1701" w:type="dxa"/>
            <w:vAlign w:val="center"/>
          </w:tcPr>
          <w:p>
            <w:pPr>
              <w:spacing w:line="300" w:lineRule="exact"/>
              <w:jc w:val="left"/>
              <w:rPr>
                <w:rFonts w:ascii="仿宋_GB2312" w:eastAsia="仿宋_GB2312"/>
              </w:rPr>
            </w:pPr>
            <w:r>
              <w:rPr>
                <w:rFonts w:hint="eastAsia" w:ascii="仿宋_GB2312" w:eastAsia="仿宋_GB2312"/>
              </w:rPr>
              <w:t>≥90让群众满意</w:t>
            </w:r>
          </w:p>
        </w:tc>
      </w:tr>
    </w:tbl>
    <w:p>
      <w:pPr>
        <w:spacing w:line="300" w:lineRule="exact"/>
        <w:jc w:val="left"/>
        <w:rPr>
          <w:rFonts w:ascii="仿宋" w:hAnsi="仿宋" w:eastAsia="仿宋" w:cs="Times New Roman"/>
          <w:szCs w:val="24"/>
        </w:rPr>
        <w:sectPr>
          <w:pgSz w:w="11907" w:h="16839"/>
          <w:pgMar w:top="1440" w:right="1797" w:bottom="1440" w:left="1797" w:header="851" w:footer="992" w:gutter="0"/>
          <w:cols w:space="720" w:num="1"/>
          <w:docGrid w:linePitch="312" w:charSpace="0"/>
        </w:sectPr>
      </w:pPr>
    </w:p>
    <w:p>
      <w:pPr>
        <w:spacing w:line="300" w:lineRule="exact"/>
        <w:jc w:val="left"/>
        <w:rPr>
          <w:rFonts w:ascii="仿宋" w:hAnsi="仿宋" w:eastAsia="仿宋" w:cs="Times New Roman"/>
          <w:szCs w:val="24"/>
        </w:rPr>
        <w:sectPr>
          <w:pgSz w:w="11907" w:h="16839"/>
          <w:pgMar w:top="1440" w:right="1797" w:bottom="1440" w:left="1797" w:header="851" w:footer="992" w:gutter="0"/>
          <w:cols w:space="720" w:num="1"/>
          <w:docGrid w:linePitch="312" w:charSpace="0"/>
        </w:sectPr>
      </w:pPr>
    </w:p>
    <w:p>
      <w:pPr>
        <w:jc w:val="left"/>
        <w:outlineLvl w:val="0"/>
        <w:rPr>
          <w:rFonts w:ascii="宋体" w:hAnsi="宋体" w:eastAsia="宋体" w:cs="宋体"/>
          <w:b/>
          <w:color w:val="111111"/>
          <w:kern w:val="0"/>
          <w:sz w:val="32"/>
          <w:szCs w:val="32"/>
        </w:rPr>
      </w:pPr>
      <w:r>
        <w:rPr>
          <w:rFonts w:hint="eastAsia" w:ascii="宋体" w:hAnsi="宋体" w:eastAsia="宋体" w:cs="宋体"/>
          <w:b/>
          <w:color w:val="111111"/>
          <w:kern w:val="0"/>
          <w:sz w:val="32"/>
          <w:szCs w:val="32"/>
        </w:rPr>
        <w:t>六、政府采购预算情况</w:t>
      </w:r>
    </w:p>
    <w:p>
      <w:pPr>
        <w:jc w:val="left"/>
        <w:outlineLvl w:val="0"/>
        <w:rPr>
          <w:rFonts w:ascii="宋体" w:hAnsi="宋体" w:eastAsia="宋体" w:cs="宋体"/>
          <w:b/>
          <w:color w:val="111111"/>
          <w:kern w:val="0"/>
          <w:sz w:val="32"/>
          <w:szCs w:val="32"/>
        </w:rPr>
      </w:pPr>
    </w:p>
    <w:p>
      <w:pPr>
        <w:outlineLvl w:val="0"/>
        <w:rPr>
          <w:rFonts w:ascii="仿宋" w:hAnsi="仿宋" w:eastAsia="仿宋" w:cs="宋体"/>
          <w:color w:val="111111"/>
          <w:kern w:val="0"/>
          <w:sz w:val="32"/>
          <w:szCs w:val="32"/>
        </w:rPr>
      </w:pPr>
      <w:r>
        <w:rPr>
          <w:rFonts w:hint="eastAsia" w:ascii="仿宋" w:hAnsi="仿宋" w:eastAsia="仿宋" w:cs="宋体"/>
          <w:color w:val="111111"/>
          <w:kern w:val="0"/>
          <w:sz w:val="32"/>
          <w:szCs w:val="32"/>
        </w:rPr>
        <w:t>20</w:t>
      </w:r>
      <w:r>
        <w:rPr>
          <w:rFonts w:ascii="仿宋" w:hAnsi="仿宋" w:eastAsia="仿宋" w:cs="宋体"/>
          <w:color w:val="111111"/>
          <w:kern w:val="0"/>
          <w:sz w:val="32"/>
          <w:szCs w:val="32"/>
        </w:rPr>
        <w:t>20</w:t>
      </w:r>
      <w:r>
        <w:rPr>
          <w:rFonts w:hint="eastAsia" w:ascii="仿宋" w:hAnsi="仿宋" w:eastAsia="仿宋" w:cs="宋体"/>
          <w:color w:val="111111"/>
          <w:kern w:val="0"/>
          <w:sz w:val="32"/>
          <w:szCs w:val="32"/>
        </w:rPr>
        <w:t>年,中共涞源县委网络安全和信息化委员会办公室无政府</w:t>
      </w:r>
      <w:r>
        <w:rPr>
          <w:rFonts w:ascii="仿宋" w:hAnsi="仿宋" w:eastAsia="仿宋" w:cs="宋体"/>
          <w:color w:val="111111"/>
          <w:kern w:val="0"/>
          <w:sz w:val="32"/>
          <w:szCs w:val="32"/>
        </w:rPr>
        <w:t>采购预算</w:t>
      </w:r>
      <w:r>
        <w:rPr>
          <w:rFonts w:hint="eastAsia" w:ascii="仿宋" w:hAnsi="仿宋" w:eastAsia="仿宋" w:cs="宋体"/>
          <w:color w:val="111111"/>
          <w:kern w:val="0"/>
          <w:sz w:val="32"/>
          <w:szCs w:val="32"/>
        </w:rPr>
        <w:t>。</w:t>
      </w:r>
    </w:p>
    <w:p>
      <w:pPr>
        <w:outlineLvl w:val="0"/>
        <w:rPr>
          <w:rFonts w:ascii="仿宋" w:hAnsi="仿宋" w:eastAsia="仿宋" w:cs="宋体"/>
          <w:color w:val="111111"/>
          <w:kern w:val="0"/>
          <w:sz w:val="32"/>
          <w:szCs w:val="32"/>
        </w:rPr>
      </w:pPr>
    </w:p>
    <w:p>
      <w:pPr>
        <w:jc w:val="center"/>
        <w:rPr>
          <w:rFonts w:ascii="仿宋" w:hAnsi="仿宋" w:eastAsia="仿宋" w:cs="Times New Roman"/>
          <w:b/>
          <w:sz w:val="32"/>
          <w:szCs w:val="32"/>
        </w:rPr>
      </w:pPr>
      <w:r>
        <w:rPr>
          <w:rFonts w:hint="eastAsia" w:ascii="仿宋" w:hAnsi="仿宋" w:eastAsia="仿宋" w:cs="Times New Roman"/>
          <w:b/>
          <w:sz w:val="32"/>
          <w:szCs w:val="32"/>
        </w:rPr>
        <w:t>部门政府采购预算表</w:t>
      </w:r>
    </w:p>
    <w:tbl>
      <w:tblPr>
        <w:tblStyle w:val="6"/>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hAnsi="Times New Roman" w:eastAsia="方正小标宋_GBK" w:cs="Times New Roman"/>
                <w:sz w:val="24"/>
                <w:szCs w:val="24"/>
              </w:rPr>
            </w:pPr>
            <w:r>
              <w:rPr>
                <w:rFonts w:hint="eastAsia" w:ascii="仿宋" w:hAnsi="仿宋" w:eastAsia="仿宋" w:cs="宋体"/>
                <w:kern w:val="0"/>
                <w:szCs w:val="21"/>
              </w:rPr>
              <w:t>[897]</w:t>
            </w:r>
            <w:r>
              <w:rPr>
                <w:rFonts w:hint="eastAsia" w:ascii="仿宋" w:hAnsi="仿宋" w:eastAsia="仿宋" w:cs="宋体"/>
                <w:kern w:val="0"/>
                <w:szCs w:val="21"/>
                <w:lang w:eastAsia="zh-CN"/>
              </w:rPr>
              <w:t>中共</w:t>
            </w:r>
            <w:r>
              <w:rPr>
                <w:rFonts w:hint="eastAsia" w:ascii="仿宋" w:hAnsi="仿宋" w:eastAsia="仿宋" w:cs="宋体"/>
                <w:kern w:val="0"/>
                <w:szCs w:val="21"/>
              </w:rPr>
              <w:t>涞源县委网络安全和信息化委员会办公室</w:t>
            </w:r>
          </w:p>
        </w:tc>
        <w:tc>
          <w:tcPr>
            <w:tcW w:w="6144"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 w:val="24"/>
                <w:szCs w:val="24"/>
              </w:rPr>
            </w:pPr>
            <w:r>
              <w:rPr>
                <w:rFonts w:hint="eastAsia" w:ascii="仿宋" w:hAnsi="仿宋" w:eastAsia="仿宋"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政府采购项目来源</w:t>
            </w:r>
          </w:p>
        </w:tc>
        <w:tc>
          <w:tcPr>
            <w:tcW w:w="885" w:type="dxa"/>
            <w:vMerge w:val="restart"/>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采购物品名称</w:t>
            </w:r>
          </w:p>
        </w:tc>
        <w:tc>
          <w:tcPr>
            <w:tcW w:w="1212" w:type="dxa"/>
            <w:vMerge w:val="restart"/>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政府采购目录序号</w:t>
            </w:r>
          </w:p>
        </w:tc>
        <w:tc>
          <w:tcPr>
            <w:tcW w:w="885" w:type="dxa"/>
            <w:vMerge w:val="restart"/>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数量单位</w:t>
            </w:r>
          </w:p>
        </w:tc>
        <w:tc>
          <w:tcPr>
            <w:tcW w:w="885" w:type="dxa"/>
            <w:vMerge w:val="restart"/>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数量</w:t>
            </w:r>
          </w:p>
        </w:tc>
        <w:tc>
          <w:tcPr>
            <w:tcW w:w="906" w:type="dxa"/>
            <w:vMerge w:val="restart"/>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单价</w:t>
            </w:r>
          </w:p>
        </w:tc>
        <w:tc>
          <w:tcPr>
            <w:tcW w:w="6144" w:type="dxa"/>
            <w:gridSpan w:val="7"/>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项目名称</w:t>
            </w:r>
          </w:p>
        </w:tc>
        <w:tc>
          <w:tcPr>
            <w:tcW w:w="1068" w:type="dxa"/>
            <w:vMerge w:val="restart"/>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预算资金</w:t>
            </w:r>
          </w:p>
        </w:tc>
        <w:tc>
          <w:tcPr>
            <w:tcW w:w="885" w:type="dxa"/>
            <w:vMerge w:val="continue"/>
            <w:vAlign w:val="center"/>
          </w:tcPr>
          <w:p>
            <w:pPr>
              <w:spacing w:line="300" w:lineRule="exact"/>
              <w:jc w:val="left"/>
              <w:outlineLvl w:val="0"/>
              <w:rPr>
                <w:rFonts w:ascii="仿宋" w:hAnsi="仿宋" w:eastAsia="仿宋" w:cs="Times New Roman"/>
                <w:szCs w:val="24"/>
              </w:rPr>
            </w:pPr>
          </w:p>
        </w:tc>
        <w:tc>
          <w:tcPr>
            <w:tcW w:w="1212" w:type="dxa"/>
            <w:vMerge w:val="continue"/>
            <w:vAlign w:val="center"/>
          </w:tcPr>
          <w:p>
            <w:pPr>
              <w:spacing w:line="300" w:lineRule="exact"/>
              <w:jc w:val="left"/>
              <w:outlineLvl w:val="0"/>
              <w:rPr>
                <w:rFonts w:ascii="仿宋" w:hAnsi="仿宋" w:eastAsia="仿宋" w:cs="Times New Roman"/>
                <w:szCs w:val="24"/>
              </w:rPr>
            </w:pPr>
          </w:p>
        </w:tc>
        <w:tc>
          <w:tcPr>
            <w:tcW w:w="885" w:type="dxa"/>
            <w:vMerge w:val="continue"/>
            <w:vAlign w:val="center"/>
          </w:tcPr>
          <w:p>
            <w:pPr>
              <w:spacing w:line="300" w:lineRule="exact"/>
              <w:jc w:val="left"/>
              <w:outlineLvl w:val="0"/>
              <w:rPr>
                <w:rFonts w:ascii="仿宋" w:hAnsi="仿宋" w:eastAsia="仿宋" w:cs="Times New Roman"/>
                <w:szCs w:val="24"/>
              </w:rPr>
            </w:pPr>
          </w:p>
        </w:tc>
        <w:tc>
          <w:tcPr>
            <w:tcW w:w="885" w:type="dxa"/>
            <w:vMerge w:val="continue"/>
            <w:vAlign w:val="center"/>
          </w:tcPr>
          <w:p>
            <w:pPr>
              <w:spacing w:line="300" w:lineRule="exact"/>
              <w:jc w:val="left"/>
              <w:outlineLvl w:val="0"/>
              <w:rPr>
                <w:rFonts w:ascii="仿宋" w:hAnsi="仿宋" w:eastAsia="仿宋" w:cs="Times New Roman"/>
                <w:szCs w:val="24"/>
              </w:rPr>
            </w:pPr>
          </w:p>
        </w:tc>
        <w:tc>
          <w:tcPr>
            <w:tcW w:w="906" w:type="dxa"/>
            <w:vMerge w:val="continue"/>
            <w:vAlign w:val="center"/>
          </w:tcPr>
          <w:p>
            <w:pPr>
              <w:spacing w:line="300" w:lineRule="exact"/>
              <w:jc w:val="left"/>
              <w:outlineLvl w:val="0"/>
              <w:rPr>
                <w:rFonts w:ascii="仿宋" w:hAnsi="仿宋" w:eastAsia="仿宋" w:cs="Times New Roman"/>
                <w:szCs w:val="24"/>
              </w:rPr>
            </w:pPr>
          </w:p>
        </w:tc>
        <w:tc>
          <w:tcPr>
            <w:tcW w:w="885" w:type="dxa"/>
            <w:vMerge w:val="restart"/>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总计</w:t>
            </w:r>
          </w:p>
        </w:tc>
        <w:tc>
          <w:tcPr>
            <w:tcW w:w="4425" w:type="dxa"/>
            <w:gridSpan w:val="5"/>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当年部门预算安排资金</w:t>
            </w:r>
          </w:p>
        </w:tc>
        <w:tc>
          <w:tcPr>
            <w:tcW w:w="834" w:type="dxa"/>
            <w:vMerge w:val="restart"/>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vAlign w:val="center"/>
          </w:tcPr>
          <w:p>
            <w:pPr>
              <w:spacing w:line="300" w:lineRule="exact"/>
              <w:jc w:val="left"/>
              <w:outlineLvl w:val="0"/>
              <w:rPr>
                <w:rFonts w:ascii="仿宋" w:hAnsi="仿宋" w:eastAsia="仿宋" w:cs="Times New Roman"/>
                <w:szCs w:val="24"/>
              </w:rPr>
            </w:pPr>
          </w:p>
        </w:tc>
        <w:tc>
          <w:tcPr>
            <w:tcW w:w="1068" w:type="dxa"/>
            <w:vMerge w:val="continue"/>
            <w:vAlign w:val="center"/>
          </w:tcPr>
          <w:p>
            <w:pPr>
              <w:spacing w:line="300" w:lineRule="exact"/>
              <w:jc w:val="left"/>
              <w:outlineLvl w:val="0"/>
              <w:rPr>
                <w:rFonts w:ascii="仿宋" w:hAnsi="仿宋" w:eastAsia="仿宋" w:cs="Times New Roman"/>
                <w:szCs w:val="24"/>
              </w:rPr>
            </w:pPr>
          </w:p>
        </w:tc>
        <w:tc>
          <w:tcPr>
            <w:tcW w:w="885" w:type="dxa"/>
            <w:vMerge w:val="continue"/>
            <w:vAlign w:val="center"/>
          </w:tcPr>
          <w:p>
            <w:pPr>
              <w:spacing w:line="300" w:lineRule="exact"/>
              <w:jc w:val="left"/>
              <w:outlineLvl w:val="0"/>
              <w:rPr>
                <w:rFonts w:ascii="仿宋" w:hAnsi="仿宋" w:eastAsia="仿宋" w:cs="Times New Roman"/>
                <w:szCs w:val="24"/>
              </w:rPr>
            </w:pPr>
          </w:p>
        </w:tc>
        <w:tc>
          <w:tcPr>
            <w:tcW w:w="1212" w:type="dxa"/>
            <w:vMerge w:val="continue"/>
            <w:vAlign w:val="center"/>
          </w:tcPr>
          <w:p>
            <w:pPr>
              <w:spacing w:line="300" w:lineRule="exact"/>
              <w:jc w:val="left"/>
              <w:outlineLvl w:val="0"/>
              <w:rPr>
                <w:rFonts w:ascii="仿宋" w:hAnsi="仿宋" w:eastAsia="仿宋" w:cs="Times New Roman"/>
                <w:szCs w:val="24"/>
              </w:rPr>
            </w:pPr>
          </w:p>
        </w:tc>
        <w:tc>
          <w:tcPr>
            <w:tcW w:w="885" w:type="dxa"/>
            <w:vMerge w:val="continue"/>
            <w:vAlign w:val="center"/>
          </w:tcPr>
          <w:p>
            <w:pPr>
              <w:spacing w:line="300" w:lineRule="exact"/>
              <w:jc w:val="left"/>
              <w:outlineLvl w:val="0"/>
              <w:rPr>
                <w:rFonts w:ascii="仿宋" w:hAnsi="仿宋" w:eastAsia="仿宋" w:cs="Times New Roman"/>
                <w:szCs w:val="24"/>
              </w:rPr>
            </w:pPr>
          </w:p>
        </w:tc>
        <w:tc>
          <w:tcPr>
            <w:tcW w:w="885" w:type="dxa"/>
            <w:vMerge w:val="continue"/>
            <w:vAlign w:val="center"/>
          </w:tcPr>
          <w:p>
            <w:pPr>
              <w:spacing w:line="300" w:lineRule="exact"/>
              <w:jc w:val="left"/>
              <w:outlineLvl w:val="0"/>
              <w:rPr>
                <w:rFonts w:ascii="仿宋" w:hAnsi="仿宋" w:eastAsia="仿宋" w:cs="Times New Roman"/>
                <w:szCs w:val="24"/>
              </w:rPr>
            </w:pPr>
          </w:p>
        </w:tc>
        <w:tc>
          <w:tcPr>
            <w:tcW w:w="906" w:type="dxa"/>
            <w:vMerge w:val="continue"/>
            <w:vAlign w:val="center"/>
          </w:tcPr>
          <w:p>
            <w:pPr>
              <w:spacing w:line="300" w:lineRule="exact"/>
              <w:jc w:val="left"/>
              <w:outlineLvl w:val="0"/>
              <w:rPr>
                <w:rFonts w:ascii="仿宋" w:hAnsi="仿宋" w:eastAsia="仿宋" w:cs="Times New Roman"/>
                <w:szCs w:val="24"/>
              </w:rPr>
            </w:pPr>
          </w:p>
        </w:tc>
        <w:tc>
          <w:tcPr>
            <w:tcW w:w="885" w:type="dxa"/>
            <w:vMerge w:val="continue"/>
            <w:vAlign w:val="center"/>
          </w:tcPr>
          <w:p>
            <w:pPr>
              <w:spacing w:line="300" w:lineRule="exact"/>
              <w:jc w:val="left"/>
              <w:outlineLvl w:val="0"/>
              <w:rPr>
                <w:rFonts w:ascii="仿宋" w:hAnsi="仿宋" w:eastAsia="仿宋" w:cs="Times New Roman"/>
                <w:szCs w:val="24"/>
              </w:rPr>
            </w:pPr>
          </w:p>
        </w:tc>
        <w:tc>
          <w:tcPr>
            <w:tcW w:w="885" w:type="dxa"/>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合计</w:t>
            </w:r>
          </w:p>
        </w:tc>
        <w:tc>
          <w:tcPr>
            <w:tcW w:w="885" w:type="dxa"/>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一般公共预算拨款</w:t>
            </w:r>
          </w:p>
        </w:tc>
        <w:tc>
          <w:tcPr>
            <w:tcW w:w="885" w:type="dxa"/>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基金预算拨款</w:t>
            </w:r>
          </w:p>
        </w:tc>
        <w:tc>
          <w:tcPr>
            <w:tcW w:w="885" w:type="dxa"/>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财政专户核拨</w:t>
            </w:r>
          </w:p>
        </w:tc>
        <w:tc>
          <w:tcPr>
            <w:tcW w:w="885" w:type="dxa"/>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其他来源收入</w:t>
            </w:r>
          </w:p>
        </w:tc>
        <w:tc>
          <w:tcPr>
            <w:tcW w:w="834" w:type="dxa"/>
            <w:vMerge w:val="continue"/>
            <w:vAlign w:val="center"/>
          </w:tcPr>
          <w:p>
            <w:pPr>
              <w:spacing w:line="300" w:lineRule="exact"/>
              <w:jc w:val="left"/>
              <w:outlineLvl w:val="0"/>
              <w:rPr>
                <w:rFonts w:ascii="仿宋" w:hAnsi="仿宋" w:eastAsia="仿宋"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vAlign w:val="center"/>
          </w:tcPr>
          <w:p>
            <w:pPr>
              <w:spacing w:line="300" w:lineRule="exact"/>
              <w:jc w:val="center"/>
              <w:rPr>
                <w:rFonts w:ascii="仿宋" w:hAnsi="仿宋" w:eastAsia="仿宋" w:cs="Times New Roman"/>
                <w:b/>
                <w:bCs/>
                <w:szCs w:val="24"/>
              </w:rPr>
            </w:pPr>
            <w:r>
              <w:rPr>
                <w:rFonts w:hint="eastAsia" w:ascii="仿宋" w:hAnsi="仿宋" w:eastAsia="仿宋" w:cs="方正书宋_GBK"/>
                <w:b/>
                <w:bCs/>
                <w:szCs w:val="24"/>
              </w:rPr>
              <w:t>合　计</w:t>
            </w:r>
          </w:p>
        </w:tc>
        <w:tc>
          <w:tcPr>
            <w:tcW w:w="1068" w:type="dxa"/>
            <w:vAlign w:val="center"/>
          </w:tcPr>
          <w:p>
            <w:pPr>
              <w:spacing w:line="300" w:lineRule="exact"/>
              <w:ind w:right="105"/>
              <w:jc w:val="right"/>
              <w:rPr>
                <w:rFonts w:ascii="仿宋" w:hAnsi="仿宋" w:eastAsia="仿宋" w:cs="Times New Roman"/>
                <w:bCs/>
                <w:szCs w:val="24"/>
              </w:rPr>
            </w:pPr>
          </w:p>
        </w:tc>
        <w:tc>
          <w:tcPr>
            <w:tcW w:w="885" w:type="dxa"/>
            <w:vAlign w:val="center"/>
          </w:tcPr>
          <w:p>
            <w:pPr>
              <w:spacing w:line="300" w:lineRule="exact"/>
              <w:jc w:val="left"/>
              <w:rPr>
                <w:rFonts w:ascii="仿宋" w:hAnsi="仿宋" w:eastAsia="仿宋" w:cs="Times New Roman"/>
                <w:bCs/>
                <w:szCs w:val="24"/>
              </w:rPr>
            </w:pPr>
          </w:p>
        </w:tc>
        <w:tc>
          <w:tcPr>
            <w:tcW w:w="1212" w:type="dxa"/>
            <w:vAlign w:val="center"/>
          </w:tcPr>
          <w:p>
            <w:pPr>
              <w:spacing w:line="300" w:lineRule="exact"/>
              <w:jc w:val="left"/>
              <w:rPr>
                <w:rFonts w:ascii="仿宋" w:hAnsi="仿宋" w:eastAsia="仿宋" w:cs="Times New Roman"/>
                <w:bCs/>
                <w:szCs w:val="24"/>
              </w:rPr>
            </w:pPr>
          </w:p>
        </w:tc>
        <w:tc>
          <w:tcPr>
            <w:tcW w:w="885" w:type="dxa"/>
            <w:vAlign w:val="center"/>
          </w:tcPr>
          <w:p>
            <w:pPr>
              <w:spacing w:line="300" w:lineRule="exact"/>
              <w:jc w:val="left"/>
              <w:rPr>
                <w:rFonts w:ascii="仿宋" w:hAnsi="仿宋" w:eastAsia="仿宋" w:cs="Times New Roman"/>
                <w:bCs/>
                <w:szCs w:val="24"/>
              </w:rPr>
            </w:pPr>
          </w:p>
        </w:tc>
        <w:tc>
          <w:tcPr>
            <w:tcW w:w="885" w:type="dxa"/>
            <w:vAlign w:val="center"/>
          </w:tcPr>
          <w:p>
            <w:pPr>
              <w:spacing w:line="300" w:lineRule="exact"/>
              <w:jc w:val="right"/>
              <w:rPr>
                <w:rFonts w:ascii="仿宋" w:hAnsi="仿宋" w:eastAsia="仿宋" w:cs="Times New Roman"/>
                <w:bCs/>
                <w:szCs w:val="24"/>
              </w:rPr>
            </w:pPr>
          </w:p>
        </w:tc>
        <w:tc>
          <w:tcPr>
            <w:tcW w:w="906" w:type="dxa"/>
            <w:vAlign w:val="center"/>
          </w:tcPr>
          <w:p>
            <w:pPr>
              <w:spacing w:line="300" w:lineRule="exact"/>
              <w:jc w:val="right"/>
              <w:rPr>
                <w:rFonts w:ascii="仿宋" w:hAnsi="仿宋" w:eastAsia="仿宋" w:cs="Times New Roman"/>
                <w:bCs/>
                <w:szCs w:val="24"/>
              </w:rPr>
            </w:pPr>
          </w:p>
        </w:tc>
        <w:tc>
          <w:tcPr>
            <w:tcW w:w="885" w:type="dxa"/>
            <w:vAlign w:val="center"/>
          </w:tcPr>
          <w:p>
            <w:pPr>
              <w:spacing w:line="300" w:lineRule="exact"/>
              <w:jc w:val="right"/>
              <w:rPr>
                <w:rFonts w:ascii="仿宋" w:hAnsi="仿宋" w:eastAsia="仿宋" w:cs="方正书宋_GBK"/>
                <w:bCs/>
                <w:szCs w:val="24"/>
              </w:rPr>
            </w:pPr>
          </w:p>
        </w:tc>
        <w:tc>
          <w:tcPr>
            <w:tcW w:w="885" w:type="dxa"/>
            <w:vAlign w:val="center"/>
          </w:tcPr>
          <w:p>
            <w:pPr>
              <w:spacing w:line="300" w:lineRule="exact"/>
              <w:jc w:val="right"/>
              <w:rPr>
                <w:rFonts w:ascii="仿宋" w:hAnsi="仿宋" w:eastAsia="仿宋" w:cs="方正书宋_GBK"/>
                <w:bCs/>
                <w:szCs w:val="24"/>
              </w:rPr>
            </w:pPr>
          </w:p>
        </w:tc>
        <w:tc>
          <w:tcPr>
            <w:tcW w:w="885" w:type="dxa"/>
            <w:vAlign w:val="center"/>
          </w:tcPr>
          <w:p>
            <w:pPr>
              <w:spacing w:line="300" w:lineRule="exact"/>
              <w:ind w:right="105"/>
              <w:jc w:val="right"/>
              <w:rPr>
                <w:rFonts w:ascii="仿宋" w:hAnsi="仿宋" w:eastAsia="仿宋" w:cs="方正书宋_GBK"/>
                <w:bCs/>
                <w:szCs w:val="24"/>
              </w:rPr>
            </w:pPr>
          </w:p>
        </w:tc>
        <w:tc>
          <w:tcPr>
            <w:tcW w:w="885" w:type="dxa"/>
            <w:vAlign w:val="center"/>
          </w:tcPr>
          <w:p>
            <w:pPr>
              <w:spacing w:line="300" w:lineRule="exact"/>
              <w:jc w:val="right"/>
              <w:rPr>
                <w:rFonts w:ascii="仿宋" w:hAnsi="仿宋" w:eastAsia="仿宋" w:cs="方正书宋_GBK"/>
                <w:b/>
                <w:bCs/>
                <w:szCs w:val="24"/>
              </w:rPr>
            </w:pPr>
          </w:p>
        </w:tc>
        <w:tc>
          <w:tcPr>
            <w:tcW w:w="885" w:type="dxa"/>
            <w:vAlign w:val="center"/>
          </w:tcPr>
          <w:p>
            <w:pPr>
              <w:spacing w:line="300" w:lineRule="exact"/>
              <w:jc w:val="right"/>
              <w:rPr>
                <w:rFonts w:ascii="仿宋" w:hAnsi="仿宋" w:eastAsia="仿宋" w:cs="方正书宋_GBK"/>
                <w:b/>
                <w:bCs/>
                <w:szCs w:val="24"/>
              </w:rPr>
            </w:pPr>
          </w:p>
        </w:tc>
        <w:tc>
          <w:tcPr>
            <w:tcW w:w="885" w:type="dxa"/>
            <w:vAlign w:val="center"/>
          </w:tcPr>
          <w:p>
            <w:pPr>
              <w:spacing w:line="300" w:lineRule="exact"/>
              <w:jc w:val="right"/>
              <w:rPr>
                <w:rFonts w:ascii="仿宋" w:hAnsi="仿宋" w:eastAsia="仿宋" w:cs="方正书宋_GBK"/>
                <w:b/>
                <w:bCs/>
                <w:szCs w:val="24"/>
              </w:rPr>
            </w:pPr>
          </w:p>
        </w:tc>
        <w:tc>
          <w:tcPr>
            <w:tcW w:w="834" w:type="dxa"/>
            <w:vAlign w:val="center"/>
          </w:tcPr>
          <w:p>
            <w:pPr>
              <w:spacing w:line="300" w:lineRule="exact"/>
              <w:jc w:val="right"/>
              <w:rPr>
                <w:rFonts w:ascii="仿宋" w:hAnsi="仿宋" w:eastAsia="仿宋" w:cs="方正书宋_GBK"/>
                <w:b/>
                <w:bCs/>
                <w:szCs w:val="24"/>
              </w:rPr>
            </w:pPr>
          </w:p>
        </w:tc>
      </w:tr>
    </w:tbl>
    <w:p>
      <w:pPr>
        <w:spacing w:line="300" w:lineRule="exact"/>
        <w:jc w:val="left"/>
        <w:rPr>
          <w:rFonts w:ascii="Times New Roman" w:hAnsi="Times New Roman" w:eastAsia="宋体" w:cs="Times New Roman"/>
          <w:szCs w:val="24"/>
        </w:rPr>
        <w:sectPr>
          <w:pgSz w:w="16839" w:h="11907" w:orient="landscape"/>
          <w:pgMar w:top="1797" w:right="1440" w:bottom="1797" w:left="1440" w:header="851" w:footer="992" w:gutter="0"/>
          <w:cols w:space="720" w:num="1"/>
          <w:docGrid w:linePitch="435" w:charSpace="0"/>
        </w:sectPr>
      </w:pPr>
    </w:p>
    <w:p>
      <w:pPr>
        <w:jc w:val="left"/>
        <w:outlineLvl w:val="0"/>
        <w:rPr>
          <w:rFonts w:ascii="宋体" w:hAnsi="宋体" w:eastAsia="宋体" w:cs="宋体"/>
          <w:b/>
          <w:color w:val="111111"/>
          <w:kern w:val="0"/>
          <w:sz w:val="32"/>
          <w:szCs w:val="32"/>
        </w:rPr>
      </w:pPr>
      <w:r>
        <w:rPr>
          <w:rFonts w:hint="eastAsia" w:ascii="宋体" w:hAnsi="宋体" w:eastAsia="宋体" w:cs="宋体"/>
          <w:b/>
          <w:color w:val="111111"/>
          <w:kern w:val="0"/>
          <w:sz w:val="32"/>
          <w:szCs w:val="32"/>
        </w:rPr>
        <w:t>七、国有资产信息说明</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中共涞源县委网络</w:t>
      </w:r>
      <w:r>
        <w:rPr>
          <w:rFonts w:ascii="仿宋" w:hAnsi="仿宋" w:eastAsia="仿宋" w:cs="Times New Roman"/>
          <w:sz w:val="32"/>
          <w:szCs w:val="32"/>
        </w:rPr>
        <w:t>安全和信息化</w:t>
      </w:r>
      <w:r>
        <w:rPr>
          <w:rFonts w:hint="eastAsia" w:ascii="仿宋" w:hAnsi="仿宋" w:eastAsia="仿宋" w:cs="Times New Roman"/>
          <w:sz w:val="32"/>
          <w:szCs w:val="32"/>
        </w:rPr>
        <w:t>务委员会2</w:t>
      </w:r>
      <w:r>
        <w:rPr>
          <w:rFonts w:ascii="仿宋" w:hAnsi="仿宋" w:eastAsia="仿宋" w:cs="Times New Roman"/>
          <w:sz w:val="32"/>
          <w:szCs w:val="32"/>
        </w:rPr>
        <w:t>019</w:t>
      </w:r>
      <w:r>
        <w:rPr>
          <w:rFonts w:hint="eastAsia" w:ascii="仿宋" w:hAnsi="仿宋" w:eastAsia="仿宋" w:cs="Times New Roman"/>
          <w:sz w:val="32"/>
          <w:szCs w:val="32"/>
        </w:rPr>
        <w:t>年末无固定资产。我部门20</w:t>
      </w:r>
      <w:r>
        <w:rPr>
          <w:rFonts w:ascii="仿宋" w:hAnsi="仿宋" w:eastAsia="仿宋" w:cs="Times New Roman"/>
          <w:sz w:val="32"/>
          <w:szCs w:val="32"/>
        </w:rPr>
        <w:t>20</w:t>
      </w:r>
      <w:r>
        <w:rPr>
          <w:rFonts w:hint="eastAsia" w:ascii="仿宋" w:hAnsi="仿宋" w:eastAsia="仿宋" w:cs="Times New Roman"/>
          <w:sz w:val="32"/>
          <w:szCs w:val="32"/>
        </w:rPr>
        <w:t>年无拟购置情况。</w:t>
      </w:r>
    </w:p>
    <w:p>
      <w:pPr>
        <w:tabs>
          <w:tab w:val="left" w:pos="4005"/>
          <w:tab w:val="center" w:pos="5141"/>
        </w:tabs>
        <w:spacing w:line="520" w:lineRule="exact"/>
        <w:jc w:val="left"/>
        <w:outlineLvl w:val="0"/>
        <w:rPr>
          <w:rFonts w:ascii="宋体" w:hAnsi="宋体" w:eastAsia="宋体" w:cs="Times New Roman"/>
          <w:b/>
          <w:sz w:val="32"/>
          <w:szCs w:val="32"/>
        </w:rPr>
      </w:pPr>
      <w:r>
        <w:rPr>
          <w:rFonts w:hint="eastAsia" w:ascii="宋体" w:hAnsi="宋体" w:eastAsia="宋体" w:cs="Times New Roman"/>
          <w:b/>
          <w:sz w:val="32"/>
          <w:szCs w:val="32"/>
        </w:rPr>
        <w:t>八、名词解释</w:t>
      </w:r>
    </w:p>
    <w:p>
      <w:pPr>
        <w:spacing w:line="500" w:lineRule="exact"/>
        <w:jc w:val="left"/>
        <w:outlineLvl w:val="0"/>
        <w:rPr>
          <w:rFonts w:ascii="仿宋" w:hAnsi="仿宋" w:eastAsia="仿宋" w:cs="Times New Roman"/>
          <w:sz w:val="32"/>
          <w:szCs w:val="32"/>
        </w:rPr>
      </w:pPr>
      <w:r>
        <w:rPr>
          <w:rFonts w:hint="eastAsia" w:ascii="仿宋" w:hAnsi="仿宋" w:eastAsia="仿宋" w:cs="Times New Roman"/>
          <w:b/>
          <w:sz w:val="32"/>
          <w:szCs w:val="32"/>
        </w:rPr>
        <w:t>1、财政拨款收入：</w:t>
      </w:r>
      <w:r>
        <w:rPr>
          <w:rFonts w:hint="eastAsia" w:ascii="仿宋" w:hAnsi="仿宋" w:eastAsia="仿宋" w:cs="Times New Roman"/>
          <w:sz w:val="32"/>
          <w:szCs w:val="32"/>
        </w:rPr>
        <w:t>指县级财政当年拨付的资金。</w:t>
      </w:r>
    </w:p>
    <w:p>
      <w:pPr>
        <w:spacing w:line="500" w:lineRule="exact"/>
        <w:jc w:val="left"/>
        <w:outlineLvl w:val="0"/>
        <w:rPr>
          <w:rFonts w:ascii="仿宋" w:hAnsi="仿宋" w:eastAsia="仿宋" w:cs="Times New Roman"/>
          <w:sz w:val="32"/>
          <w:szCs w:val="32"/>
        </w:rPr>
      </w:pPr>
      <w:r>
        <w:rPr>
          <w:rFonts w:hint="eastAsia" w:ascii="仿宋" w:hAnsi="仿宋" w:eastAsia="仿宋" w:cs="Times New Roman"/>
          <w:b/>
          <w:sz w:val="32"/>
          <w:szCs w:val="32"/>
        </w:rPr>
        <w:t>2、其他收入：</w:t>
      </w:r>
      <w:r>
        <w:rPr>
          <w:rFonts w:hint="eastAsia" w:ascii="仿宋" w:hAnsi="仿宋" w:eastAsia="仿宋" w:cs="Times New Roman"/>
          <w:sz w:val="32"/>
          <w:szCs w:val="32"/>
        </w:rPr>
        <w:t>指除上述“财政拨款收入”、“事业收入”等以外的收入。</w:t>
      </w:r>
    </w:p>
    <w:p>
      <w:pPr>
        <w:spacing w:line="500" w:lineRule="exact"/>
        <w:jc w:val="left"/>
        <w:outlineLvl w:val="0"/>
        <w:rPr>
          <w:rFonts w:ascii="仿宋" w:hAnsi="仿宋" w:eastAsia="仿宋" w:cs="Times New Roman"/>
          <w:sz w:val="32"/>
          <w:szCs w:val="32"/>
        </w:rPr>
      </w:pPr>
      <w:r>
        <w:rPr>
          <w:rFonts w:hint="eastAsia" w:ascii="仿宋" w:hAnsi="仿宋" w:eastAsia="仿宋" w:cs="Times New Roman"/>
          <w:b/>
          <w:sz w:val="32"/>
          <w:szCs w:val="32"/>
        </w:rPr>
        <w:t>3、基本支出：</w:t>
      </w:r>
      <w:r>
        <w:rPr>
          <w:rFonts w:hint="eastAsia" w:ascii="仿宋" w:hAnsi="仿宋" w:eastAsia="仿宋" w:cs="Times New Roman"/>
          <w:sz w:val="32"/>
          <w:szCs w:val="32"/>
        </w:rPr>
        <w:t>指为保障机构正常运转、完成日常工作任务而发生的人员支出和公用支出。</w:t>
      </w:r>
    </w:p>
    <w:p>
      <w:pPr>
        <w:spacing w:line="500" w:lineRule="exact"/>
        <w:jc w:val="left"/>
        <w:outlineLvl w:val="0"/>
        <w:rPr>
          <w:rFonts w:ascii="仿宋" w:hAnsi="仿宋" w:eastAsia="仿宋" w:cs="Times New Roman"/>
          <w:sz w:val="32"/>
          <w:szCs w:val="32"/>
        </w:rPr>
      </w:pPr>
      <w:r>
        <w:rPr>
          <w:rFonts w:hint="eastAsia" w:ascii="仿宋" w:hAnsi="仿宋" w:eastAsia="仿宋" w:cs="Times New Roman"/>
          <w:b/>
          <w:sz w:val="32"/>
          <w:szCs w:val="32"/>
        </w:rPr>
        <w:t>4、项目支出：</w:t>
      </w:r>
      <w:r>
        <w:rPr>
          <w:rFonts w:hint="eastAsia" w:ascii="仿宋" w:hAnsi="仿宋" w:eastAsia="仿宋" w:cs="Times New Roman"/>
          <w:sz w:val="32"/>
          <w:szCs w:val="32"/>
        </w:rPr>
        <w:t>指在基本支出之外为完成特定行政任务和事业发展目标所发生的支出。</w:t>
      </w:r>
    </w:p>
    <w:p>
      <w:pPr>
        <w:spacing w:line="500" w:lineRule="exact"/>
        <w:jc w:val="left"/>
        <w:outlineLvl w:val="0"/>
        <w:rPr>
          <w:rFonts w:ascii="仿宋" w:hAnsi="仿宋" w:eastAsia="仿宋" w:cs="Times New Roman"/>
          <w:sz w:val="32"/>
          <w:szCs w:val="32"/>
        </w:rPr>
      </w:pPr>
      <w:r>
        <w:rPr>
          <w:rFonts w:hint="eastAsia" w:ascii="仿宋" w:hAnsi="仿宋" w:eastAsia="仿宋" w:cs="Times New Roman"/>
          <w:b/>
          <w:sz w:val="32"/>
          <w:szCs w:val="32"/>
        </w:rPr>
        <w:t>5、“三公”经费：</w:t>
      </w:r>
      <w:r>
        <w:rPr>
          <w:rFonts w:hint="eastAsia" w:ascii="仿宋" w:hAnsi="仿宋" w:eastAsia="仿宋" w:cs="Times New Roman"/>
          <w:sz w:val="32"/>
          <w:szCs w:val="32"/>
        </w:rPr>
        <w:t>纳入市级财政预算管理的“三公”经费，是指市级部门用财政拨款安排的</w:t>
      </w:r>
      <w:bookmarkStart w:id="4" w:name="_GoBack"/>
      <w:bookmarkEnd w:id="4"/>
      <w:r>
        <w:rPr>
          <w:rFonts w:hint="eastAsia" w:ascii="仿宋" w:hAnsi="仿宋" w:eastAsia="仿宋" w:cs="Times New Roman"/>
          <w:sz w:val="32"/>
          <w:szCs w:val="32"/>
        </w:rPr>
        <w:t>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 w:hAnsi="仿宋" w:eastAsia="仿宋" w:cs="Times New Roman"/>
          <w:sz w:val="32"/>
          <w:szCs w:val="32"/>
        </w:rPr>
      </w:pPr>
      <w:r>
        <w:rPr>
          <w:rFonts w:hint="eastAsia" w:ascii="仿宋" w:hAnsi="仿宋" w:eastAsia="仿宋" w:cs="Times New Roman"/>
          <w:b/>
          <w:sz w:val="32"/>
          <w:szCs w:val="32"/>
        </w:rPr>
        <w:t>6、机关运行费：</w:t>
      </w:r>
      <w:r>
        <w:rPr>
          <w:rFonts w:hint="eastAsia" w:ascii="仿宋" w:hAnsi="仿宋" w:eastAsia="仿宋"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Times New Roman"/>
          <w:sz w:val="32"/>
          <w:szCs w:val="32"/>
        </w:rPr>
      </w:pPr>
      <w:r>
        <w:rPr>
          <w:rFonts w:hint="eastAsia" w:ascii="仿宋" w:hAnsi="仿宋" w:eastAsia="仿宋" w:cs="Times New Roman"/>
          <w:b/>
          <w:sz w:val="32"/>
          <w:szCs w:val="32"/>
        </w:rPr>
        <w:t>7、公务费：</w:t>
      </w:r>
      <w:r>
        <w:rPr>
          <w:rFonts w:hint="eastAsia" w:ascii="仿宋" w:hAnsi="仿宋" w:eastAsia="仿宋" w:cs="Times New Roman"/>
          <w:sz w:val="32"/>
          <w:szCs w:val="32"/>
        </w:rPr>
        <w:t>包括办公费、水电费、邮电费、取暖费、交通费、一般会议费和物业管理费之和。</w:t>
      </w:r>
    </w:p>
    <w:p>
      <w:pPr>
        <w:spacing w:line="500" w:lineRule="exact"/>
        <w:jc w:val="left"/>
        <w:outlineLvl w:val="0"/>
        <w:rPr>
          <w:rFonts w:ascii="宋体" w:hAnsi="宋体" w:eastAsia="宋体" w:cs="Times New Roman"/>
          <w:b/>
          <w:sz w:val="32"/>
          <w:szCs w:val="32"/>
        </w:rPr>
      </w:pPr>
      <w:r>
        <w:rPr>
          <w:rFonts w:hint="eastAsia" w:ascii="宋体" w:hAnsi="宋体" w:eastAsia="宋体" w:cs="Times New Roman"/>
          <w:b/>
          <w:sz w:val="32"/>
          <w:szCs w:val="32"/>
        </w:rPr>
        <w:t>九、其他需说明的事项</w:t>
      </w:r>
    </w:p>
    <w:p>
      <w:pPr>
        <w:spacing w:line="500" w:lineRule="exact"/>
        <w:jc w:val="left"/>
        <w:outlineLvl w:val="0"/>
        <w:rPr>
          <w:rFonts w:ascii="仿宋" w:hAnsi="仿宋" w:eastAsia="仿宋" w:cs="Times New Roman"/>
          <w:sz w:val="32"/>
          <w:szCs w:val="32"/>
        </w:rPr>
      </w:pPr>
      <w:r>
        <w:rPr>
          <w:rFonts w:hint="eastAsia" w:ascii="仿宋" w:hAnsi="仿宋" w:eastAsia="仿宋" w:cs="Times New Roman"/>
          <w:sz w:val="32"/>
          <w:szCs w:val="32"/>
        </w:rPr>
        <w:t>我部门无其他需说明的事项。</w:t>
      </w:r>
    </w:p>
    <w:p/>
    <w:sectPr>
      <w:headerReference r:id="rId5" w:type="default"/>
      <w:pgSz w:w="16839" w:h="11907"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29</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TI2NTQwZmI3ZDEzYTczOTE2ZjBkZGRiZGViODkifQ=="/>
  </w:docVars>
  <w:rsids>
    <w:rsidRoot w:val="008928EA"/>
    <w:rsid w:val="00026992"/>
    <w:rsid w:val="000937EF"/>
    <w:rsid w:val="00136086"/>
    <w:rsid w:val="00136141"/>
    <w:rsid w:val="001C3772"/>
    <w:rsid w:val="001D5C17"/>
    <w:rsid w:val="00405D57"/>
    <w:rsid w:val="005560A6"/>
    <w:rsid w:val="0056143C"/>
    <w:rsid w:val="006A10BB"/>
    <w:rsid w:val="007B2609"/>
    <w:rsid w:val="007F6C6F"/>
    <w:rsid w:val="008928EA"/>
    <w:rsid w:val="00A95072"/>
    <w:rsid w:val="00B8221F"/>
    <w:rsid w:val="00CC2BE5"/>
    <w:rsid w:val="00D13F71"/>
    <w:rsid w:val="00F7708C"/>
    <w:rsid w:val="07D50BEA"/>
    <w:rsid w:val="1D7B2840"/>
    <w:rsid w:val="1F4C539A"/>
    <w:rsid w:val="25D61E67"/>
    <w:rsid w:val="28A6098D"/>
    <w:rsid w:val="3E432F8E"/>
    <w:rsid w:val="43554284"/>
    <w:rsid w:val="53601AD5"/>
    <w:rsid w:val="6A1F767C"/>
    <w:rsid w:val="71E73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rFonts w:ascii="Times New Roman" w:hAnsi="Times New Roman" w:eastAsia="宋体" w:cs="Times New Roman"/>
      <w:sz w:val="18"/>
      <w:szCs w:val="18"/>
    </w:rPr>
  </w:style>
  <w:style w:type="paragraph" w:styleId="3">
    <w:name w:val="footer"/>
    <w:basedOn w:val="1"/>
    <w:link w:val="11"/>
    <w:autoRedefine/>
    <w:unhideWhenUsed/>
    <w:qFormat/>
    <w:uiPriority w:val="0"/>
    <w:pPr>
      <w:tabs>
        <w:tab w:val="center" w:pos="4153"/>
        <w:tab w:val="right" w:pos="8306"/>
      </w:tabs>
      <w:snapToGrid w:val="0"/>
      <w:jc w:val="left"/>
    </w:pPr>
    <w:rPr>
      <w:sz w:val="18"/>
      <w:szCs w:val="18"/>
    </w:rPr>
  </w:style>
  <w:style w:type="paragraph" w:styleId="4">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rPr>
      <w:rFonts w:ascii="Calibri" w:hAnsi="Calibri" w:eastAsia="宋体" w:cs="Times New Roman"/>
    </w:rPr>
  </w:style>
  <w:style w:type="character" w:styleId="8">
    <w:name w:val="page number"/>
    <w:basedOn w:val="7"/>
    <w:autoRedefine/>
    <w:unhideWhenUsed/>
    <w:qFormat/>
    <w:uiPriority w:val="99"/>
  </w:style>
  <w:style w:type="character" w:styleId="9">
    <w:name w:val="Hyperlink"/>
    <w:unhideWhenUsed/>
    <w:uiPriority w:val="99"/>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autoRedefine/>
    <w:qFormat/>
    <w:uiPriority w:val="99"/>
    <w:rPr>
      <w:sz w:val="18"/>
      <w:szCs w:val="18"/>
    </w:rPr>
  </w:style>
  <w:style w:type="character" w:customStyle="1" w:styleId="12">
    <w:name w:val="页脚 字符"/>
    <w:autoRedefine/>
    <w:qFormat/>
    <w:uiPriority w:val="0"/>
    <w:rPr>
      <w:rFonts w:eastAsia="宋体"/>
      <w:kern w:val="2"/>
      <w:sz w:val="18"/>
      <w:szCs w:val="18"/>
      <w:lang w:val="en-US" w:eastAsia="zh-CN" w:bidi="ar-SA"/>
    </w:rPr>
  </w:style>
  <w:style w:type="character" w:customStyle="1" w:styleId="13">
    <w:name w:val="页眉 字符"/>
    <w:autoRedefine/>
    <w:qFormat/>
    <w:uiPriority w:val="0"/>
    <w:rPr>
      <w:rFonts w:eastAsia="宋体"/>
      <w:kern w:val="2"/>
      <w:sz w:val="18"/>
      <w:szCs w:val="18"/>
      <w:lang w:val="en-US" w:eastAsia="zh-CN" w:bidi="ar-SA"/>
    </w:rPr>
  </w:style>
  <w:style w:type="character" w:customStyle="1" w:styleId="14">
    <w:name w:val="批注框文本 Char"/>
    <w:basedOn w:val="7"/>
    <w:autoRedefine/>
    <w:semiHidden/>
    <w:qFormat/>
    <w:uiPriority w:val="99"/>
    <w:rPr>
      <w:sz w:val="18"/>
      <w:szCs w:val="18"/>
    </w:rPr>
  </w:style>
  <w:style w:type="character" w:customStyle="1" w:styleId="15">
    <w:name w:val="批注框文本 Char1"/>
    <w:link w:val="2"/>
    <w:uiPriority w:val="0"/>
    <w:rPr>
      <w:rFonts w:ascii="Times New Roman" w:hAnsi="Times New Roman" w:eastAsia="宋体" w:cs="Times New Roman"/>
      <w:sz w:val="18"/>
      <w:szCs w:val="18"/>
    </w:rPr>
  </w:style>
  <w:style w:type="character" w:customStyle="1" w:styleId="16">
    <w:name w:val="页脚 Char1"/>
    <w:autoRedefine/>
    <w:uiPriority w:val="0"/>
    <w:rPr>
      <w:rFonts w:eastAsia="宋体"/>
      <w:kern w:val="2"/>
      <w:sz w:val="18"/>
      <w:szCs w:val="18"/>
      <w:lang w:val="en-US" w:eastAsia="zh-CN" w:bidi="ar-SA"/>
    </w:rPr>
  </w:style>
  <w:style w:type="character" w:customStyle="1" w:styleId="17">
    <w:name w:val="页眉 Char1"/>
    <w:autoRedefine/>
    <w:qFormat/>
    <w:uiPriority w:val="0"/>
    <w:rPr>
      <w:rFonts w:eastAsia="宋体"/>
      <w:kern w:val="2"/>
      <w:sz w:val="18"/>
      <w:szCs w:val="18"/>
      <w:lang w:val="en-US" w:eastAsia="zh-CN" w:bidi="ar-SA"/>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28</Pages>
  <Words>2018</Words>
  <Characters>11506</Characters>
  <Lines>95</Lines>
  <Paragraphs>26</Paragraphs>
  <TotalTime>5</TotalTime>
  <ScaleCrop>false</ScaleCrop>
  <LinksUpToDate>false</LinksUpToDate>
  <CharactersWithSpaces>13498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2021-05-31T09:15:00Z</dcterms:created>
  <dc:creator>Sky123.Org</dc:creator>
  <cp:lastModifiedBy>兔泡泡</cp:lastModifiedBy>
  <dcterms:modified xsi:type="dcterms:W3CDTF">2024-06-04T08:11:40Z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1FE1841EE4BC45FA861DC145F48C37FC_13</vt:lpwstr>
  </property>
</Properties>
</file>