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104</w:t>
      </w:r>
      <w:r>
        <w:fldChar w:fldCharType="end"/>
      </w:r>
      <w:r>
        <w:fldChar w:fldCharType="end"/>
      </w:r>
    </w:p>
    <w:p>
      <w:r>
        <w:fldChar w:fldCharType="end"/>
      </w:r>
    </w:p>
    <w:p>
      <w:r>
        <w:br w:type="page"/>
      </w:r>
    </w:p>
    <w:p>
      <w:pPr>
        <w:rPr>
          <w:rFonts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153.68</w:t>
            </w:r>
          </w:p>
        </w:tc>
        <w:tc>
          <w:tcPr>
            <w:tcW w:w="4535" w:type="dxa"/>
            <w:vAlign w:val="center"/>
          </w:tcPr>
          <w:p>
            <w:pPr>
              <w:pStyle w:val="16"/>
            </w:pPr>
            <w:r>
              <w:t>一、一般公共服务支出</w:t>
            </w:r>
          </w:p>
        </w:tc>
        <w:tc>
          <w:tcPr>
            <w:tcW w:w="2126" w:type="dxa"/>
            <w:vAlign w:val="center"/>
          </w:tcPr>
          <w:p>
            <w:pPr>
              <w:pStyle w:val="15"/>
              <w:rPr>
                <w:rFonts w:hint="default" w:eastAsia="方正书宋_GBK"/>
                <w:lang w:val="en-US" w:eastAsia="zh-CN"/>
              </w:rPr>
            </w:pPr>
            <w:r>
              <w:rPr>
                <w:rFonts w:hint="eastAsia"/>
                <w:lang w:val="en-US" w:eastAsia="zh-CN"/>
              </w:rPr>
              <w:t>128.05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rFonts w:hint="default" w:eastAsia="方正书宋_GBK"/>
                <w:lang w:val="en-US" w:eastAsia="zh-CN"/>
              </w:rPr>
            </w:pPr>
            <w:r>
              <w:rPr>
                <w:rFonts w:hint="eastAsia"/>
                <w:lang w:val="en-US" w:eastAsia="zh-CN"/>
              </w:rPr>
              <w:t>19.64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0</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rFonts w:hint="default" w:eastAsia="方正书宋_GBK"/>
                <w:lang w:val="en-US" w:eastAsia="zh-CN"/>
              </w:rPr>
            </w:pPr>
            <w:r>
              <w:rPr>
                <w:rFonts w:hint="eastAsia"/>
                <w:lang w:val="en-US" w:eastAsia="zh-CN"/>
              </w:rP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rFonts w:hint="default" w:eastAsia="方正书宋_GBK"/>
                <w:lang w:val="en-US" w:eastAsia="zh-CN"/>
              </w:rPr>
            </w:pPr>
            <w:r>
              <w:rPr>
                <w:rFonts w:hint="eastAsia"/>
                <w:lang w:val="en-US" w:eastAsia="zh-CN"/>
              </w:rPr>
              <w:t>153.68</w:t>
            </w:r>
          </w:p>
        </w:tc>
        <w:tc>
          <w:tcPr>
            <w:tcW w:w="4535" w:type="dxa"/>
            <w:vAlign w:val="center"/>
          </w:tcPr>
          <w:p>
            <w:pPr>
              <w:pStyle w:val="18"/>
            </w:pPr>
            <w:r>
              <w:t>本年支出合计</w:t>
            </w:r>
          </w:p>
        </w:tc>
        <w:tc>
          <w:tcPr>
            <w:tcW w:w="2126" w:type="dxa"/>
            <w:vAlign w:val="center"/>
          </w:tcPr>
          <w:p>
            <w:pPr>
              <w:pStyle w:val="19"/>
              <w:rPr>
                <w:rFonts w:hint="default" w:eastAsia="方正书宋_GBK"/>
                <w:lang w:val="en-US" w:eastAsia="zh-CN"/>
              </w:rPr>
            </w:pPr>
            <w:r>
              <w:rPr>
                <w:rFonts w:hint="eastAsia"/>
                <w:lang w:val="en-US" w:eastAsia="zh-CN"/>
              </w:rPr>
              <w:t>153.68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rFonts w:hint="default" w:eastAsia="方正书宋_GBK"/>
                <w:lang w:val="en-US" w:eastAsia="zh-CN"/>
              </w:rPr>
            </w:pPr>
            <w:r>
              <w:rPr>
                <w:rFonts w:hint="eastAsia"/>
                <w:lang w:val="en-US" w:eastAsia="zh-CN"/>
              </w:rPr>
              <w:t>153.68</w:t>
            </w:r>
          </w:p>
        </w:tc>
        <w:tc>
          <w:tcPr>
            <w:tcW w:w="4535" w:type="dxa"/>
            <w:vAlign w:val="center"/>
          </w:tcPr>
          <w:p>
            <w:pPr>
              <w:pStyle w:val="18"/>
            </w:pPr>
            <w:r>
              <w:t>支出总计</w:t>
            </w:r>
          </w:p>
        </w:tc>
        <w:tc>
          <w:tcPr>
            <w:tcW w:w="2126" w:type="dxa"/>
            <w:vAlign w:val="center"/>
          </w:tcPr>
          <w:p>
            <w:pPr>
              <w:pStyle w:val="19"/>
              <w:rPr>
                <w:rFonts w:hint="default" w:eastAsia="方正书宋_GBK"/>
                <w:lang w:val="en-US" w:eastAsia="zh-CN"/>
              </w:rPr>
            </w:pPr>
            <w:r>
              <w:rPr>
                <w:rFonts w:hint="eastAsia"/>
                <w:lang w:val="en-US" w:eastAsia="zh-CN"/>
              </w:rPr>
              <w:t>153.68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rFonts w:hint="default" w:eastAsia="方正书宋_GBK"/>
                <w:lang w:val="en-US" w:eastAsia="zh-CN"/>
              </w:rPr>
            </w:pPr>
            <w:r>
              <w:rPr>
                <w:rFonts w:hint="eastAsia"/>
                <w:lang w:val="en-US" w:eastAsia="zh-CN"/>
              </w:rPr>
              <w:t>153.68</w:t>
            </w:r>
          </w:p>
        </w:tc>
        <w:tc>
          <w:tcPr>
            <w:tcW w:w="1134" w:type="dxa"/>
            <w:vAlign w:val="center"/>
          </w:tcPr>
          <w:p>
            <w:pPr>
              <w:pStyle w:val="19"/>
              <w:rPr>
                <w:rFonts w:hint="default" w:eastAsia="方正书宋_GBK"/>
                <w:lang w:val="en-US" w:eastAsia="zh-CN"/>
              </w:rPr>
            </w:pPr>
            <w:r>
              <w:rPr>
                <w:rFonts w:hint="eastAsia"/>
                <w:lang w:val="en-US" w:eastAsia="zh-CN"/>
              </w:rPr>
              <w:t>153.68</w:t>
            </w:r>
          </w:p>
        </w:tc>
        <w:tc>
          <w:tcPr>
            <w:tcW w:w="1134" w:type="dxa"/>
            <w:vAlign w:val="center"/>
          </w:tcPr>
          <w:p>
            <w:pPr>
              <w:pStyle w:val="19"/>
              <w:rPr>
                <w:rFonts w:hint="default" w:eastAsia="方正书宋_GBK"/>
                <w:lang w:val="en-US" w:eastAsia="zh-CN"/>
              </w:rPr>
            </w:pPr>
            <w:r>
              <w:rPr>
                <w:rFonts w:hint="eastAsia"/>
                <w:lang w:val="en-US" w:eastAsia="zh-CN"/>
              </w:rPr>
              <w:t>153.68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kern w:val="0"/>
                <w:sz w:val="21"/>
                <w:szCs w:val="24"/>
                <w:lang w:val="en-US" w:eastAsia="uk-UA" w:bidi="ar-SA"/>
              </w:rPr>
            </w:pPr>
            <w:r>
              <w:t>2</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201</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一般公共服务支出</w:t>
            </w:r>
          </w:p>
        </w:tc>
        <w:tc>
          <w:tcPr>
            <w:tcW w:w="1134" w:type="dxa"/>
            <w:vAlign w:val="center"/>
          </w:tcPr>
          <w:p>
            <w:pPr>
              <w:pStyle w:val="15"/>
              <w:rPr>
                <w:rFonts w:hint="default" w:ascii="方正书宋_GBK" w:hAnsi="方正书宋_GBK" w:eastAsia="方正书宋_GBK" w:cs="方正书宋_GBK"/>
                <w:kern w:val="0"/>
                <w:sz w:val="21"/>
                <w:szCs w:val="24"/>
                <w:lang w:val="en-US" w:eastAsia="zh-CN" w:bidi="ar-SA"/>
              </w:rPr>
            </w:pPr>
            <w:r>
              <w:t>128.05</w:t>
            </w:r>
          </w:p>
        </w:tc>
        <w:tc>
          <w:tcPr>
            <w:tcW w:w="1134" w:type="dxa"/>
            <w:vAlign w:val="center"/>
          </w:tcPr>
          <w:p>
            <w:pPr>
              <w:pStyle w:val="15"/>
              <w:rPr>
                <w:rFonts w:hint="default" w:ascii="方正书宋_GBK" w:hAnsi="方正书宋_GBK" w:eastAsia="方正书宋_GBK" w:cs="方正书宋_GBK"/>
                <w:kern w:val="0"/>
                <w:sz w:val="21"/>
                <w:szCs w:val="24"/>
                <w:lang w:val="en-US" w:eastAsia="zh-CN" w:bidi="ar-SA"/>
              </w:rPr>
            </w:pPr>
            <w:r>
              <w:t>128.05</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128.05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kern w:val="0"/>
                <w:sz w:val="21"/>
                <w:szCs w:val="24"/>
                <w:lang w:val="en-US" w:eastAsia="zh-CN" w:bidi="ar-SA"/>
              </w:rPr>
            </w:pPr>
            <w:r>
              <w:t>3</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20132</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组织事务</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128.05</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128.05</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128.05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kern w:val="0"/>
                <w:sz w:val="21"/>
                <w:szCs w:val="24"/>
                <w:lang w:val="en-US" w:eastAsia="zh-CN" w:bidi="ar-SA"/>
              </w:rPr>
            </w:pPr>
            <w:r>
              <w:t>4</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2013201</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行政运行</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117.65</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117.65</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117.65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kern w:val="0"/>
                <w:sz w:val="21"/>
                <w:szCs w:val="24"/>
                <w:lang w:val="en-US" w:eastAsia="zh-CN" w:bidi="ar-SA"/>
              </w:rPr>
            </w:pPr>
            <w:r>
              <w:t>5</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2013299</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其他组织事务支出</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10.40</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10.40</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6</w:t>
            </w:r>
          </w:p>
        </w:tc>
        <w:tc>
          <w:tcPr>
            <w:tcW w:w="992" w:type="dxa"/>
            <w:vAlign w:val="center"/>
          </w:tcPr>
          <w:p>
            <w:pPr>
              <w:pStyle w:val="16"/>
            </w:pPr>
            <w:r>
              <w:t>2010603</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社会保障和就业支出</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kern w:val="0"/>
                <w:sz w:val="21"/>
                <w:szCs w:val="24"/>
                <w:lang w:val="en-US" w:eastAsia="zh-CN" w:bidi="ar-SA"/>
              </w:rPr>
            </w:pPr>
            <w:r>
              <w:t>7</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20805</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行政事业单位养老支出</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kern w:val="0"/>
                <w:sz w:val="21"/>
                <w:szCs w:val="24"/>
                <w:lang w:val="en-US" w:eastAsia="uk-UA" w:bidi="ar-SA"/>
              </w:rPr>
            </w:pPr>
            <w:r>
              <w:t>8</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2080502</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事业单位离退休</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0.12</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0.12</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0.12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kern w:val="0"/>
                <w:sz w:val="21"/>
                <w:szCs w:val="24"/>
                <w:lang w:val="en-US" w:eastAsia="uk-UA" w:bidi="ar-SA"/>
              </w:rPr>
            </w:pPr>
            <w:r>
              <w:t>9</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2080505</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机关事业单位基本养老保险缴费支出</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12.87</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12.87</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12.87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kern w:val="0"/>
                <w:sz w:val="21"/>
                <w:szCs w:val="24"/>
                <w:lang w:val="en-US" w:eastAsia="uk-UA" w:bidi="ar-SA"/>
              </w:rPr>
            </w:pPr>
            <w:r>
              <w:t>10</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2080506</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机关事业单位职业年金缴费支出</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6.65</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6.65</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6.65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kern w:val="0"/>
                <w:sz w:val="21"/>
                <w:szCs w:val="24"/>
                <w:lang w:val="en-US" w:eastAsia="uk-UA" w:bidi="ar-SA"/>
              </w:rPr>
            </w:pPr>
            <w:r>
              <w:t>11</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221</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住房保障支出</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kern w:val="0"/>
                <w:sz w:val="21"/>
                <w:szCs w:val="24"/>
                <w:lang w:val="en-US" w:eastAsia="uk-UA" w:bidi="ar-SA"/>
              </w:rPr>
            </w:pPr>
            <w:r>
              <w:t>12</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22102</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住房改革支出</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kern w:val="0"/>
                <w:sz w:val="21"/>
                <w:szCs w:val="24"/>
                <w:lang w:val="en-US" w:eastAsia="uk-UA" w:bidi="ar-SA"/>
              </w:rPr>
            </w:pPr>
            <w:r>
              <w:t>13</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2210201</w:t>
            </w:r>
          </w:p>
        </w:tc>
        <w:tc>
          <w:tcPr>
            <w:tcW w:w="1559" w:type="dxa"/>
            <w:vAlign w:val="center"/>
          </w:tcPr>
          <w:p>
            <w:pPr>
              <w:pStyle w:val="16"/>
              <w:rPr>
                <w:rFonts w:ascii="方正书宋_GBK" w:hAnsi="方正书宋_GBK" w:eastAsia="方正书宋_GBK" w:cs="方正书宋_GBK"/>
                <w:kern w:val="0"/>
                <w:sz w:val="21"/>
                <w:szCs w:val="24"/>
                <w:lang w:val="en-US" w:eastAsia="uk-UA" w:bidi="ar-SA"/>
              </w:rPr>
            </w:pPr>
            <w:r>
              <w:t>住房公积金</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134"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rPr>
                <w:rFonts w:hint="default" w:eastAsia="方正书宋_GBK"/>
                <w:lang w:val="en-US" w:eastAsia="zh-CN"/>
              </w:rPr>
            </w:pPr>
            <w:r>
              <w:rPr>
                <w:rFonts w:hint="eastAsia"/>
                <w:lang w:val="en-US" w:eastAsia="zh-CN"/>
              </w:rPr>
              <w:t>153.68</w:t>
            </w:r>
          </w:p>
        </w:tc>
        <w:tc>
          <w:tcPr>
            <w:tcW w:w="1361" w:type="dxa"/>
            <w:vAlign w:val="center"/>
          </w:tcPr>
          <w:p>
            <w:pPr>
              <w:pStyle w:val="19"/>
              <w:rPr>
                <w:rFonts w:hint="default" w:eastAsia="方正书宋_GBK"/>
                <w:lang w:val="en-US" w:eastAsia="zh-CN"/>
              </w:rPr>
            </w:pPr>
            <w:r>
              <w:t>1</w:t>
            </w:r>
            <w:r>
              <w:rPr>
                <w:rFonts w:hint="eastAsia"/>
                <w:lang w:val="en-US" w:eastAsia="zh-CN"/>
              </w:rPr>
              <w:t>43.28</w:t>
            </w:r>
          </w:p>
        </w:tc>
        <w:tc>
          <w:tcPr>
            <w:tcW w:w="1361" w:type="dxa"/>
            <w:vAlign w:val="center"/>
          </w:tcPr>
          <w:p>
            <w:pPr>
              <w:pStyle w:val="19"/>
              <w:rPr>
                <w:rFonts w:hint="default" w:eastAsia="方正书宋_GBK"/>
                <w:lang w:val="en-US" w:eastAsia="zh-CN"/>
              </w:rPr>
            </w:pPr>
            <w:r>
              <w:rPr>
                <w:rFonts w:hint="eastAsia"/>
                <w:lang w:val="en-US" w:eastAsia="zh-CN"/>
              </w:rPr>
              <w:t>10.40</w:t>
            </w:r>
          </w:p>
        </w:tc>
        <w:tc>
          <w:tcPr>
            <w:tcW w:w="1361" w:type="dxa"/>
            <w:vAlign w:val="center"/>
          </w:tcPr>
          <w:p>
            <w:pPr>
              <w:pStyle w:val="19"/>
              <w:rPr>
                <w:rFonts w:hint="default"/>
                <w:lang w:val="en-US"/>
              </w:rPr>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201</w:t>
            </w:r>
          </w:p>
        </w:tc>
        <w:tc>
          <w:tcPr>
            <w:tcW w:w="4536" w:type="dxa"/>
            <w:vAlign w:val="center"/>
          </w:tcPr>
          <w:p>
            <w:pPr>
              <w:pStyle w:val="16"/>
              <w:rPr>
                <w:rFonts w:ascii="方正书宋_GBK" w:hAnsi="方正书宋_GBK" w:eastAsia="方正书宋_GBK" w:cs="方正书宋_GBK"/>
                <w:kern w:val="0"/>
                <w:sz w:val="21"/>
                <w:szCs w:val="24"/>
                <w:lang w:val="en-US" w:eastAsia="uk-UA" w:bidi="ar-SA"/>
              </w:rPr>
            </w:pPr>
            <w:r>
              <w:t>一般公共服务支出</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128.05</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117.65</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20132</w:t>
            </w:r>
          </w:p>
        </w:tc>
        <w:tc>
          <w:tcPr>
            <w:tcW w:w="4536" w:type="dxa"/>
            <w:vAlign w:val="center"/>
          </w:tcPr>
          <w:p>
            <w:pPr>
              <w:pStyle w:val="16"/>
              <w:rPr>
                <w:rFonts w:ascii="方正书宋_GBK" w:hAnsi="方正书宋_GBK" w:eastAsia="方正书宋_GBK" w:cs="方正书宋_GBK"/>
                <w:kern w:val="0"/>
                <w:sz w:val="21"/>
                <w:szCs w:val="24"/>
                <w:lang w:val="en-US" w:eastAsia="uk-UA" w:bidi="ar-SA"/>
              </w:rPr>
            </w:pPr>
            <w:r>
              <w:t>组织事务</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128.05</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117.65</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2013201</w:t>
            </w:r>
          </w:p>
        </w:tc>
        <w:tc>
          <w:tcPr>
            <w:tcW w:w="4536" w:type="dxa"/>
            <w:vAlign w:val="center"/>
          </w:tcPr>
          <w:p>
            <w:pPr>
              <w:pStyle w:val="16"/>
              <w:rPr>
                <w:rFonts w:ascii="方正书宋_GBK" w:hAnsi="方正书宋_GBK" w:eastAsia="方正书宋_GBK" w:cs="方正书宋_GBK"/>
                <w:kern w:val="0"/>
                <w:sz w:val="21"/>
                <w:szCs w:val="24"/>
                <w:lang w:val="en-US" w:eastAsia="uk-UA" w:bidi="ar-SA"/>
              </w:rPr>
            </w:pPr>
            <w:r>
              <w:t>行政运行</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117.65</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117.65</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2013299</w:t>
            </w:r>
          </w:p>
        </w:tc>
        <w:tc>
          <w:tcPr>
            <w:tcW w:w="4536" w:type="dxa"/>
            <w:vAlign w:val="center"/>
          </w:tcPr>
          <w:p>
            <w:pPr>
              <w:pStyle w:val="16"/>
              <w:rPr>
                <w:rFonts w:ascii="方正书宋_GBK" w:hAnsi="方正书宋_GBK" w:eastAsia="方正书宋_GBK" w:cs="方正书宋_GBK"/>
                <w:kern w:val="0"/>
                <w:sz w:val="21"/>
                <w:szCs w:val="24"/>
                <w:lang w:val="en-US" w:eastAsia="uk-UA" w:bidi="ar-SA"/>
              </w:rPr>
            </w:pPr>
            <w:r>
              <w:t>其他组织事务支出</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10.40</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208</w:t>
            </w:r>
          </w:p>
        </w:tc>
        <w:tc>
          <w:tcPr>
            <w:tcW w:w="4536" w:type="dxa"/>
            <w:vAlign w:val="center"/>
          </w:tcPr>
          <w:p>
            <w:pPr>
              <w:pStyle w:val="16"/>
              <w:rPr>
                <w:rFonts w:ascii="方正书宋_GBK" w:hAnsi="方正书宋_GBK" w:eastAsia="方正书宋_GBK" w:cs="方正书宋_GBK"/>
                <w:kern w:val="0"/>
                <w:sz w:val="21"/>
                <w:szCs w:val="24"/>
                <w:lang w:val="en-US" w:eastAsia="uk-UA" w:bidi="ar-SA"/>
              </w:rPr>
            </w:pPr>
            <w:r>
              <w:t>社会保障和就业支出</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20805</w:t>
            </w:r>
          </w:p>
        </w:tc>
        <w:tc>
          <w:tcPr>
            <w:tcW w:w="4536" w:type="dxa"/>
            <w:vAlign w:val="center"/>
          </w:tcPr>
          <w:p>
            <w:pPr>
              <w:pStyle w:val="16"/>
              <w:rPr>
                <w:rFonts w:ascii="方正书宋_GBK" w:hAnsi="方正书宋_GBK" w:eastAsia="方正书宋_GBK" w:cs="方正书宋_GBK"/>
                <w:kern w:val="0"/>
                <w:sz w:val="21"/>
                <w:szCs w:val="24"/>
                <w:lang w:val="en-US" w:eastAsia="uk-UA" w:bidi="ar-SA"/>
              </w:rPr>
            </w:pPr>
            <w:r>
              <w:t>行政事业单位养老支出</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2080502</w:t>
            </w:r>
          </w:p>
        </w:tc>
        <w:tc>
          <w:tcPr>
            <w:tcW w:w="4536" w:type="dxa"/>
            <w:vAlign w:val="center"/>
          </w:tcPr>
          <w:p>
            <w:pPr>
              <w:pStyle w:val="16"/>
              <w:rPr>
                <w:rFonts w:ascii="方正书宋_GBK" w:hAnsi="方正书宋_GBK" w:eastAsia="方正书宋_GBK" w:cs="方正书宋_GBK"/>
                <w:kern w:val="0"/>
                <w:sz w:val="21"/>
                <w:szCs w:val="24"/>
                <w:lang w:val="en-US" w:eastAsia="uk-UA" w:bidi="ar-SA"/>
              </w:rPr>
            </w:pPr>
            <w:r>
              <w:t>事业单位离退休</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0.12</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0.12</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2080505</w:t>
            </w:r>
          </w:p>
        </w:tc>
        <w:tc>
          <w:tcPr>
            <w:tcW w:w="4536" w:type="dxa"/>
            <w:vAlign w:val="center"/>
          </w:tcPr>
          <w:p>
            <w:pPr>
              <w:pStyle w:val="16"/>
              <w:rPr>
                <w:rFonts w:ascii="方正书宋_GBK" w:hAnsi="方正书宋_GBK" w:eastAsia="方正书宋_GBK" w:cs="方正书宋_GBK"/>
                <w:kern w:val="0"/>
                <w:sz w:val="21"/>
                <w:szCs w:val="24"/>
                <w:lang w:val="en-US" w:eastAsia="uk-UA" w:bidi="ar-SA"/>
              </w:rPr>
            </w:pPr>
            <w:r>
              <w:t>机关事业单位基本养老保险缴费支出</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12.87</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12.87</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2080506</w:t>
            </w:r>
          </w:p>
        </w:tc>
        <w:tc>
          <w:tcPr>
            <w:tcW w:w="4536" w:type="dxa"/>
            <w:vAlign w:val="center"/>
          </w:tcPr>
          <w:p>
            <w:pPr>
              <w:pStyle w:val="16"/>
              <w:rPr>
                <w:rFonts w:ascii="方正书宋_GBK" w:hAnsi="方正书宋_GBK" w:eastAsia="方正书宋_GBK" w:cs="方正书宋_GBK"/>
                <w:kern w:val="0"/>
                <w:sz w:val="21"/>
                <w:szCs w:val="24"/>
                <w:lang w:val="en-US" w:eastAsia="uk-UA" w:bidi="ar-SA"/>
              </w:rPr>
            </w:pPr>
            <w:r>
              <w:t>机关事业单位职业年金缴费支出</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6.65</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6.65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221</w:t>
            </w:r>
          </w:p>
        </w:tc>
        <w:tc>
          <w:tcPr>
            <w:tcW w:w="4536" w:type="dxa"/>
            <w:vAlign w:val="center"/>
          </w:tcPr>
          <w:p>
            <w:pPr>
              <w:pStyle w:val="16"/>
              <w:rPr>
                <w:rFonts w:ascii="方正书宋_GBK" w:hAnsi="方正书宋_GBK" w:eastAsia="方正书宋_GBK" w:cs="方正书宋_GBK"/>
                <w:kern w:val="0"/>
                <w:sz w:val="21"/>
                <w:szCs w:val="24"/>
                <w:lang w:val="en-US" w:eastAsia="uk-UA" w:bidi="ar-SA"/>
              </w:rPr>
            </w:pPr>
            <w:r>
              <w:t>住房保障支出</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rPr>
                <w:rFonts w:ascii="方正书宋_GBK" w:hAnsi="方正书宋_GBK" w:eastAsia="方正书宋_GBK" w:cs="方正书宋_GBK"/>
                <w:kern w:val="0"/>
                <w:sz w:val="21"/>
                <w:szCs w:val="24"/>
                <w:lang w:val="en-US" w:eastAsia="uk-UA" w:bidi="ar-SA"/>
              </w:rPr>
            </w:pPr>
            <w:r>
              <w:t>22102</w:t>
            </w:r>
          </w:p>
        </w:tc>
        <w:tc>
          <w:tcPr>
            <w:tcW w:w="4536" w:type="dxa"/>
            <w:vAlign w:val="center"/>
          </w:tcPr>
          <w:p>
            <w:pPr>
              <w:pStyle w:val="16"/>
              <w:rPr>
                <w:rFonts w:ascii="方正书宋_GBK" w:hAnsi="方正书宋_GBK" w:eastAsia="方正书宋_GBK" w:cs="方正书宋_GBK"/>
                <w:kern w:val="0"/>
                <w:sz w:val="21"/>
                <w:szCs w:val="24"/>
                <w:lang w:val="en-US" w:eastAsia="uk-UA" w:bidi="ar-SA"/>
              </w:rPr>
            </w:pPr>
            <w:r>
              <w:t>住房改革支出</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361"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153.68</w:t>
            </w:r>
          </w:p>
        </w:tc>
        <w:tc>
          <w:tcPr>
            <w:tcW w:w="3402" w:type="dxa"/>
            <w:vAlign w:val="center"/>
          </w:tcPr>
          <w:p>
            <w:pPr>
              <w:pStyle w:val="16"/>
            </w:pPr>
            <w:r>
              <w:t>一、一般公共服务支出</w:t>
            </w:r>
          </w:p>
        </w:tc>
        <w:tc>
          <w:tcPr>
            <w:tcW w:w="1474" w:type="dxa"/>
            <w:vAlign w:val="center"/>
          </w:tcPr>
          <w:p>
            <w:pPr>
              <w:pStyle w:val="15"/>
              <w:rPr>
                <w:rFonts w:hint="default" w:eastAsia="方正书宋_GBK"/>
                <w:lang w:val="en-US" w:eastAsia="zh-CN"/>
              </w:rPr>
            </w:pPr>
            <w:r>
              <w:rPr>
                <w:rFonts w:hint="eastAsia"/>
                <w:lang w:val="en-US" w:eastAsia="zh-CN"/>
              </w:rPr>
              <w:t>128.05</w:t>
            </w:r>
          </w:p>
        </w:tc>
        <w:tc>
          <w:tcPr>
            <w:tcW w:w="1474" w:type="dxa"/>
            <w:vAlign w:val="center"/>
          </w:tcPr>
          <w:p>
            <w:pPr>
              <w:pStyle w:val="15"/>
              <w:rPr>
                <w:rFonts w:hint="default" w:eastAsia="方正书宋_GBK"/>
                <w:lang w:val="en-US" w:eastAsia="zh-CN"/>
              </w:rPr>
            </w:pPr>
            <w:r>
              <w:rPr>
                <w:rFonts w:hint="eastAsia"/>
                <w:lang w:val="en-US" w:eastAsia="zh-CN"/>
              </w:rPr>
              <w:t>128.05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default" w:eastAsia="方正书宋_GBK"/>
                <w:lang w:val="en-US" w:eastAsia="zh-CN"/>
              </w:rPr>
            </w:pPr>
            <w:r>
              <w:rPr>
                <w:rFonts w:hint="eastAsia"/>
                <w:lang w:val="en-US" w:eastAsia="zh-CN"/>
              </w:rPr>
              <w:t>19.64</w:t>
            </w:r>
          </w:p>
        </w:tc>
        <w:tc>
          <w:tcPr>
            <w:tcW w:w="1474" w:type="dxa"/>
            <w:vAlign w:val="center"/>
          </w:tcPr>
          <w:p>
            <w:pPr>
              <w:pStyle w:val="15"/>
              <w:rPr>
                <w:rFonts w:hint="default" w:eastAsia="方正书宋_GBK"/>
                <w:lang w:val="en-US" w:eastAsia="zh-CN"/>
              </w:rPr>
            </w:pPr>
            <w:r>
              <w:rPr>
                <w:rFonts w:hint="eastAsia"/>
                <w:lang w:val="en-US" w:eastAsia="zh-CN"/>
              </w:rPr>
              <w:t>19.64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w:t>
            </w:r>
            <w:r>
              <w:rPr>
                <w:rFonts w:hint="eastAsia"/>
                <w:lang w:val="en-US" w:eastAsia="zh-CN"/>
              </w:rPr>
              <w:t>.99</w:t>
            </w:r>
          </w:p>
        </w:tc>
        <w:tc>
          <w:tcPr>
            <w:tcW w:w="1474" w:type="dxa"/>
            <w:vAlign w:val="center"/>
          </w:tcPr>
          <w:p>
            <w:pPr>
              <w:pStyle w:val="15"/>
              <w:rPr>
                <w:rFonts w:hint="default" w:eastAsia="方正书宋_GBK"/>
                <w:lang w:val="en-US" w:eastAsia="zh-CN"/>
              </w:rPr>
            </w:pPr>
            <w:r>
              <w:rPr>
                <w:rFonts w:hint="eastAsia"/>
                <w:lang w:val="en-US" w:eastAsia="zh-CN"/>
              </w:rPr>
              <w:t>5.99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rPr>
                <w:rFonts w:hint="eastAsia"/>
                <w:lang w:val="en-US" w:eastAsia="zh-CN"/>
              </w:rPr>
              <w:t>153.68</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lang w:val="en-US" w:eastAsia="zh-CN"/>
              </w:rPr>
              <w:t>153.68</w:t>
            </w:r>
          </w:p>
        </w:tc>
        <w:tc>
          <w:tcPr>
            <w:tcW w:w="1474" w:type="dxa"/>
            <w:vAlign w:val="center"/>
          </w:tcPr>
          <w:p>
            <w:pPr>
              <w:pStyle w:val="19"/>
              <w:rPr>
                <w:rFonts w:hint="default" w:eastAsia="方正书宋_GBK"/>
                <w:lang w:val="en-US" w:eastAsia="zh-CN"/>
              </w:rPr>
            </w:pPr>
            <w:r>
              <w:rPr>
                <w:rFonts w:hint="eastAsia"/>
                <w:lang w:val="en-US" w:eastAsia="zh-CN"/>
              </w:rPr>
              <w:t>153.68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lang w:val="en-US" w:eastAsia="zh-CN"/>
              </w:rPr>
              <w:t>153.68</w:t>
            </w:r>
          </w:p>
        </w:tc>
        <w:tc>
          <w:tcPr>
            <w:tcW w:w="3402" w:type="dxa"/>
            <w:vAlign w:val="center"/>
          </w:tcPr>
          <w:p>
            <w:pPr>
              <w:pStyle w:val="18"/>
            </w:pPr>
            <w:r>
              <w:t>支出总计</w:t>
            </w:r>
          </w:p>
        </w:tc>
        <w:tc>
          <w:tcPr>
            <w:tcW w:w="1474" w:type="dxa"/>
            <w:vAlign w:val="center"/>
          </w:tcPr>
          <w:p>
            <w:pPr>
              <w:pStyle w:val="19"/>
              <w:rPr>
                <w:rFonts w:hint="default" w:eastAsia="方正书宋_GBK"/>
                <w:lang w:val="en-US" w:eastAsia="zh-CN"/>
              </w:rPr>
            </w:pPr>
            <w:r>
              <w:rPr>
                <w:rFonts w:hint="eastAsia"/>
                <w:lang w:val="en-US" w:eastAsia="zh-CN"/>
              </w:rPr>
              <w:t>153.68</w:t>
            </w:r>
          </w:p>
        </w:tc>
        <w:tc>
          <w:tcPr>
            <w:tcW w:w="1474" w:type="dxa"/>
            <w:vAlign w:val="center"/>
          </w:tcPr>
          <w:p>
            <w:pPr>
              <w:pStyle w:val="19"/>
              <w:rPr>
                <w:rFonts w:hint="default" w:eastAsia="方正书宋_GBK"/>
                <w:lang w:val="en-US" w:eastAsia="zh-CN"/>
              </w:rPr>
            </w:pPr>
            <w:r>
              <w:rPr>
                <w:rFonts w:hint="eastAsia"/>
                <w:lang w:val="en-US" w:eastAsia="zh-CN"/>
              </w:rPr>
              <w:t>153.68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eastAsia="zh-CN"/>
              </w:rPr>
            </w:pPr>
            <w:r>
              <w:rPr>
                <w:rFonts w:hint="eastAsia"/>
                <w:lang w:val="en-US" w:eastAsia="zh-CN"/>
              </w:rP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153.68</w:t>
            </w:r>
          </w:p>
        </w:tc>
        <w:tc>
          <w:tcPr>
            <w:tcW w:w="2551" w:type="dxa"/>
            <w:vAlign w:val="center"/>
          </w:tcPr>
          <w:p>
            <w:pPr>
              <w:pStyle w:val="19"/>
              <w:rPr>
                <w:rFonts w:hint="default" w:eastAsia="方正书宋_GBK"/>
                <w:lang w:val="en-US" w:eastAsia="zh-CN"/>
              </w:rPr>
            </w:pPr>
            <w:r>
              <w:t>143</w:t>
            </w:r>
            <w:r>
              <w:rPr>
                <w:rFonts w:hint="eastAsia"/>
                <w:lang w:val="en-US" w:eastAsia="zh-CN"/>
              </w:rPr>
              <w:t>.28</w:t>
            </w:r>
          </w:p>
        </w:tc>
        <w:tc>
          <w:tcPr>
            <w:tcW w:w="2551" w:type="dxa"/>
            <w:vAlign w:val="center"/>
          </w:tcPr>
          <w:p>
            <w:pPr>
              <w:pStyle w:val="19"/>
              <w:rPr>
                <w:rFonts w:hint="default" w:eastAsia="方正书宋_GBK"/>
                <w:lang w:val="en-US" w:eastAsia="zh-CN"/>
              </w:rPr>
            </w:pPr>
            <w:r>
              <w:rPr>
                <w:rFonts w:hint="eastAsia"/>
                <w:lang w:val="en-US" w:eastAsia="zh-CN"/>
              </w:rP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2</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201</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一般公共服务支出</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128.05</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117.65</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3</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20132</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组织事务</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128.05</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117.65</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4</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2013201</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行政运行</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117.65</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117.65</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5</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2013299</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其他组织事务支出</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10.40</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6</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208</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社会保障和就业支出</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7</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20805</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行政事业单位养老支出</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19.64</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8</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2080502</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事业单位离退休</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0.12</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0.12</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9</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2080505</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机关事业单位基本养老保险缴费支出</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12.87</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12.87</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10</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2080506</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机关事业单位职业年金缴费支出</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6.65</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6.65</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11</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221</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住房保障支出</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12</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22102</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住房改革支出</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13</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2210201</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住房公积金</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5.99</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t>143</w:t>
            </w:r>
            <w:r>
              <w:rPr>
                <w:rFonts w:hint="eastAsia"/>
                <w:lang w:val="en-US" w:eastAsia="zh-CN"/>
              </w:rPr>
              <w:t>.28</w:t>
            </w:r>
          </w:p>
        </w:tc>
        <w:tc>
          <w:tcPr>
            <w:tcW w:w="2551" w:type="dxa"/>
            <w:vAlign w:val="center"/>
          </w:tcPr>
          <w:p>
            <w:pPr>
              <w:pStyle w:val="19"/>
              <w:rPr>
                <w:rFonts w:hint="default" w:eastAsia="方正书宋_GBK"/>
                <w:lang w:val="en-US" w:eastAsia="zh-CN"/>
              </w:rPr>
            </w:pPr>
            <w:r>
              <w:rPr>
                <w:rFonts w:hint="eastAsia"/>
                <w:lang w:val="en-US" w:eastAsia="zh-CN"/>
              </w:rPr>
              <w:t>130.51</w:t>
            </w:r>
          </w:p>
        </w:tc>
        <w:tc>
          <w:tcPr>
            <w:tcW w:w="2552" w:type="dxa"/>
            <w:vAlign w:val="center"/>
          </w:tcPr>
          <w:p>
            <w:pPr>
              <w:pStyle w:val="19"/>
              <w:rPr>
                <w:rFonts w:hint="default" w:eastAsia="方正书宋_GBK"/>
                <w:lang w:val="en-US" w:eastAsia="zh-CN"/>
              </w:rPr>
            </w:pPr>
            <w:r>
              <w:rPr>
                <w:rFonts w:hint="eastAsia"/>
                <w:lang w:val="en-US" w:eastAsia="zh-CN"/>
              </w:rPr>
              <w:t>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2</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301</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工资福利支出</w:t>
            </w:r>
          </w:p>
        </w:tc>
        <w:tc>
          <w:tcPr>
            <w:tcW w:w="2551" w:type="dxa"/>
            <w:vAlign w:val="center"/>
          </w:tcPr>
          <w:p>
            <w:pPr>
              <w:pStyle w:val="15"/>
              <w:rPr>
                <w:rFonts w:hint="default" w:ascii="方正书宋_GBK" w:hAnsi="方正书宋_GBK" w:eastAsia="方正书宋_GBK" w:cs="方正书宋_GBK"/>
                <w:kern w:val="0"/>
                <w:sz w:val="21"/>
                <w:szCs w:val="24"/>
                <w:lang w:val="en-US" w:eastAsia="uk-UA" w:bidi="ar-SA"/>
              </w:rPr>
            </w:pPr>
            <w:r>
              <w:rPr>
                <w:rFonts w:hint="eastAsia"/>
                <w:lang w:val="en-US" w:eastAsia="zh-CN"/>
              </w:rPr>
              <w:t>120.62</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120.62</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3</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30101</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基本工资</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49.54</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49.54</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4</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30102</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津贴补贴</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rPr>
                <w:rFonts w:hint="eastAsia"/>
                <w:lang w:val="en-US" w:eastAsia="zh-CN"/>
              </w:rPr>
              <w:t>25.28</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25.28</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5</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30103</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奖金</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10.93</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10.93</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6</w:t>
            </w:r>
          </w:p>
        </w:tc>
        <w:tc>
          <w:tcPr>
            <w:tcW w:w="1191" w:type="dxa"/>
            <w:vAlign w:val="center"/>
          </w:tcPr>
          <w:p>
            <w:pPr>
              <w:pStyle w:val="16"/>
              <w:rPr>
                <w:rFonts w:hint="default" w:ascii="方正书宋_GBK" w:hAnsi="方正书宋_GBK" w:eastAsia="方正书宋_GBK" w:cs="方正书宋_GBK"/>
                <w:kern w:val="0"/>
                <w:sz w:val="21"/>
                <w:szCs w:val="24"/>
                <w:lang w:val="en-US" w:eastAsia="zh-CN" w:bidi="ar-SA"/>
              </w:rPr>
            </w:pPr>
            <w:r>
              <w:t>30107</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绩效工资</w:t>
            </w:r>
          </w:p>
        </w:tc>
        <w:tc>
          <w:tcPr>
            <w:tcW w:w="2551" w:type="dxa"/>
            <w:vAlign w:val="center"/>
          </w:tcPr>
          <w:p>
            <w:pPr>
              <w:pStyle w:val="15"/>
              <w:rPr>
                <w:rFonts w:hint="eastAsia" w:ascii="方正书宋_GBK" w:hAnsi="方正书宋_GBK" w:eastAsia="方正书宋_GBK" w:cs="方正书宋_GBK"/>
                <w:kern w:val="0"/>
                <w:sz w:val="21"/>
                <w:szCs w:val="24"/>
                <w:lang w:val="en-US" w:eastAsia="zh-CN" w:bidi="ar-SA"/>
              </w:rPr>
            </w:pPr>
            <w:r>
              <w:t>3.27</w:t>
            </w:r>
          </w:p>
        </w:tc>
        <w:tc>
          <w:tcPr>
            <w:tcW w:w="2551" w:type="dxa"/>
            <w:vAlign w:val="center"/>
          </w:tcPr>
          <w:p>
            <w:pPr>
              <w:pStyle w:val="15"/>
              <w:rPr>
                <w:rFonts w:hint="eastAsia" w:ascii="方正书宋_GBK" w:hAnsi="方正书宋_GBK" w:eastAsia="方正书宋_GBK" w:cs="方正书宋_GBK"/>
                <w:kern w:val="0"/>
                <w:sz w:val="21"/>
                <w:szCs w:val="24"/>
                <w:lang w:val="en-US" w:eastAsia="zh-CN" w:bidi="ar-SA"/>
              </w:rPr>
            </w:pPr>
            <w:r>
              <w:t>3.27</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7</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30108</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机关事业单位基本养老保险缴费</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rPr>
                <w:rFonts w:hint="eastAsia"/>
                <w:lang w:val="en-US" w:eastAsia="zh-CN"/>
              </w:rPr>
              <w:t>12</w:t>
            </w:r>
            <w:r>
              <w:t>.87</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rPr>
                <w:rFonts w:hint="eastAsia"/>
                <w:lang w:val="en-US" w:eastAsia="zh-CN"/>
              </w:rPr>
              <w:t>12</w:t>
            </w:r>
            <w:r>
              <w:t>.87</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8</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30109</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职业年金缴费</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6.65</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6.65</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9</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30110</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城镇职工基本医疗保险缴费</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5.48</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5.48</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10</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30112</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其他社会保障缴费</w:t>
            </w:r>
          </w:p>
        </w:tc>
        <w:tc>
          <w:tcPr>
            <w:tcW w:w="2551" w:type="dxa"/>
            <w:vAlign w:val="center"/>
          </w:tcPr>
          <w:p>
            <w:pPr>
              <w:pStyle w:val="15"/>
              <w:rPr>
                <w:rFonts w:hint="eastAsia" w:ascii="方正书宋_GBK" w:hAnsi="方正书宋_GBK" w:eastAsia="方正书宋_GBK" w:cs="方正书宋_GBK"/>
                <w:kern w:val="0"/>
                <w:sz w:val="21"/>
                <w:szCs w:val="24"/>
                <w:lang w:val="en-US" w:eastAsia="zh-CN" w:bidi="ar-SA"/>
              </w:rPr>
            </w:pPr>
            <w:r>
              <w:t>0.6</w:t>
            </w:r>
            <w:r>
              <w:rPr>
                <w:rFonts w:hint="eastAsia"/>
                <w:lang w:val="en-US" w:eastAsia="zh-CN"/>
              </w:rPr>
              <w:t>1</w:t>
            </w:r>
          </w:p>
        </w:tc>
        <w:tc>
          <w:tcPr>
            <w:tcW w:w="2551" w:type="dxa"/>
            <w:vAlign w:val="center"/>
          </w:tcPr>
          <w:p>
            <w:pPr>
              <w:pStyle w:val="15"/>
              <w:rPr>
                <w:rFonts w:hint="eastAsia" w:ascii="方正书宋_GBK" w:hAnsi="方正书宋_GBK" w:eastAsia="方正书宋_GBK" w:cs="方正书宋_GBK"/>
                <w:kern w:val="0"/>
                <w:sz w:val="21"/>
                <w:szCs w:val="24"/>
                <w:lang w:val="en-US" w:eastAsia="zh-CN" w:bidi="ar-SA"/>
              </w:rPr>
            </w:pPr>
            <w:r>
              <w:t>0.6</w:t>
            </w:r>
            <w:r>
              <w:rPr>
                <w:rFonts w:hint="eastAsia"/>
                <w:lang w:val="en-US" w:eastAsia="zh-CN"/>
              </w:rPr>
              <w:t>1</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11</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30113</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住房公积金</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5.99</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5.99</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12</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30199</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其他工资福利支出</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13</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302</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商品和服务支出</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19.28</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6.51</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r>
              <w:t>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14</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30201</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办公费</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3.73</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c>
          <w:tcPr>
            <w:tcW w:w="2552"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15</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30202</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印刷费</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2.00</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c>
          <w:tcPr>
            <w:tcW w:w="2552" w:type="dxa"/>
            <w:vAlign w:val="center"/>
          </w:tcPr>
          <w:p>
            <w:pPr>
              <w:pStyle w:val="15"/>
              <w:rPr>
                <w:rFonts w:ascii="方正书宋_GBK" w:hAnsi="方正书宋_GBK" w:eastAsia="方正书宋_GBK" w:cs="方正书宋_GBK"/>
                <w:kern w:val="0"/>
                <w:sz w:val="21"/>
                <w:szCs w:val="24"/>
                <w:lang w:val="en-US" w:eastAsia="uk-UA" w:bidi="ar-SA"/>
              </w:rP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16</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30206</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电费</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1.</w:t>
            </w:r>
            <w:r>
              <w:rPr>
                <w:rFonts w:hint="eastAsia"/>
                <w:lang w:val="en-US" w:eastAsia="zh-CN"/>
              </w:rPr>
              <w:t>5</w:t>
            </w:r>
            <w:r>
              <w:t>0</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c>
          <w:tcPr>
            <w:tcW w:w="2552" w:type="dxa"/>
            <w:vAlign w:val="center"/>
          </w:tcPr>
          <w:p>
            <w:pPr>
              <w:pStyle w:val="15"/>
              <w:rPr>
                <w:rFonts w:ascii="方正书宋_GBK" w:hAnsi="方正书宋_GBK" w:eastAsia="方正书宋_GBK" w:cs="方正书宋_GBK"/>
                <w:kern w:val="0"/>
                <w:sz w:val="21"/>
                <w:szCs w:val="24"/>
                <w:lang w:val="en-US" w:eastAsia="uk-UA" w:bidi="ar-SA"/>
              </w:rPr>
            </w:pPr>
            <w:r>
              <w:t>1</w:t>
            </w:r>
            <w:r>
              <w:rPr>
                <w:rFonts w:hint="eastAsia"/>
                <w:lang w:val="en-US" w:eastAsia="zh-CN"/>
              </w:rPr>
              <w:t>.5</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17</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30207</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邮电费</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t>0.</w:t>
            </w:r>
            <w:r>
              <w:rPr>
                <w:rFonts w:hint="eastAsia"/>
                <w:lang w:val="en-US" w:eastAsia="zh-CN"/>
              </w:rPr>
              <w:t>54</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c>
          <w:tcPr>
            <w:tcW w:w="2552" w:type="dxa"/>
            <w:vAlign w:val="center"/>
          </w:tcPr>
          <w:p>
            <w:pPr>
              <w:pStyle w:val="15"/>
              <w:rPr>
                <w:rFonts w:ascii="方正书宋_GBK" w:hAnsi="方正书宋_GBK" w:eastAsia="方正书宋_GBK" w:cs="方正书宋_GBK"/>
                <w:kern w:val="0"/>
                <w:sz w:val="21"/>
                <w:szCs w:val="24"/>
                <w:lang w:val="en-US" w:eastAsia="uk-UA" w:bidi="ar-SA"/>
              </w:rPr>
            </w:pPr>
            <w:r>
              <w:t>0.</w:t>
            </w:r>
            <w:r>
              <w:rPr>
                <w:rFonts w:hint="eastAsia"/>
                <w:lang w:val="en-US" w:eastAsia="zh-CN"/>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18</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30208</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取暖费</w:t>
            </w:r>
          </w:p>
        </w:tc>
        <w:tc>
          <w:tcPr>
            <w:tcW w:w="2551" w:type="dxa"/>
            <w:vAlign w:val="center"/>
          </w:tcPr>
          <w:p>
            <w:pPr>
              <w:pStyle w:val="15"/>
              <w:rPr>
                <w:rFonts w:hint="eastAsia" w:ascii="方正书宋_GBK" w:hAnsi="方正书宋_GBK" w:eastAsia="方正书宋_GBK" w:cs="方正书宋_GBK"/>
                <w:kern w:val="0"/>
                <w:sz w:val="21"/>
                <w:szCs w:val="24"/>
                <w:lang w:val="en-US" w:eastAsia="zh-CN" w:bidi="ar-SA"/>
              </w:rPr>
            </w:pPr>
            <w:r>
              <w:t>2.13</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2.13</w:t>
            </w:r>
          </w:p>
        </w:tc>
        <w:tc>
          <w:tcPr>
            <w:tcW w:w="2552" w:type="dxa"/>
            <w:vAlign w:val="center"/>
          </w:tcPr>
          <w:p>
            <w:pPr>
              <w:pStyle w:val="15"/>
              <w:rPr>
                <w:rFonts w:hint="eastAsia" w:ascii="方正书宋_GBK" w:hAnsi="方正书宋_GBK" w:eastAsia="方正书宋_GBK" w:cs="方正书宋_GBK"/>
                <w:kern w:val="0"/>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kern w:val="0"/>
                <w:sz w:val="21"/>
                <w:szCs w:val="24"/>
                <w:lang w:val="en-US" w:eastAsia="zh-CN" w:bidi="ar-SA"/>
              </w:rPr>
            </w:pPr>
            <w:r>
              <w:t>19</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30211</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差旅费</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1.00</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c>
          <w:tcPr>
            <w:tcW w:w="2552"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kern w:val="0"/>
                <w:sz w:val="21"/>
                <w:szCs w:val="24"/>
                <w:lang w:val="en-US" w:eastAsia="zh-CN" w:bidi="ar-SA"/>
              </w:rPr>
            </w:pPr>
            <w:r>
              <w:t>20</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30215</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会议费</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2.00</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c>
          <w:tcPr>
            <w:tcW w:w="2552" w:type="dxa"/>
            <w:vAlign w:val="center"/>
          </w:tcPr>
          <w:p>
            <w:pPr>
              <w:pStyle w:val="15"/>
              <w:rPr>
                <w:rFonts w:ascii="方正书宋_GBK" w:hAnsi="方正书宋_GBK" w:eastAsia="方正书宋_GBK" w:cs="方正书宋_GBK"/>
                <w:kern w:val="0"/>
                <w:sz w:val="21"/>
                <w:szCs w:val="24"/>
                <w:lang w:val="en-US" w:eastAsia="uk-UA" w:bidi="ar-SA"/>
              </w:rP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21</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30217</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公务接待费</w:t>
            </w:r>
          </w:p>
        </w:tc>
        <w:tc>
          <w:tcPr>
            <w:tcW w:w="2551" w:type="dxa"/>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2.00</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c>
          <w:tcPr>
            <w:tcW w:w="2552" w:type="dxa"/>
            <w:vAlign w:val="center"/>
          </w:tcPr>
          <w:p>
            <w:pPr>
              <w:pStyle w:val="15"/>
              <w:rPr>
                <w:rFonts w:hint="default" w:ascii="方正书宋_GBK" w:hAnsi="方正书宋_GBK" w:eastAsia="方正书宋_GBK" w:cs="方正书宋_GBK"/>
                <w:kern w:val="0"/>
                <w:sz w:val="21"/>
                <w:szCs w:val="24"/>
                <w:lang w:val="en-US" w:eastAsia="uk-UA"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kern w:val="0"/>
                <w:sz w:val="21"/>
                <w:szCs w:val="24"/>
                <w:lang w:val="en-US" w:eastAsia="uk-UA" w:bidi="ar-SA"/>
              </w:rPr>
            </w:pPr>
            <w:r>
              <w:t>22</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30231</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公务用车运行维护费</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c>
          <w:tcPr>
            <w:tcW w:w="2551" w:type="dxa"/>
            <w:vAlign w:val="center"/>
          </w:tcPr>
          <w:p>
            <w:pPr>
              <w:pStyle w:val="15"/>
              <w:rPr>
                <w:rFonts w:ascii="方正书宋_GBK" w:hAnsi="方正书宋_GBK" w:eastAsia="方正书宋_GBK" w:cs="方正书宋_GBK"/>
                <w:kern w:val="0"/>
                <w:sz w:val="21"/>
                <w:szCs w:val="24"/>
                <w:lang w:val="en-US" w:eastAsia="uk-UA" w:bidi="ar-SA"/>
              </w:rPr>
            </w:pP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kern w:val="0"/>
                <w:sz w:val="21"/>
                <w:szCs w:val="24"/>
                <w:lang w:val="en-US" w:eastAsia="uk-UA" w:bidi="ar-SA"/>
              </w:rPr>
            </w:pPr>
            <w:r>
              <w:t>2</w:t>
            </w:r>
            <w:r>
              <w:rPr>
                <w:rFonts w:hint="eastAsia"/>
                <w:lang w:val="en-US" w:eastAsia="zh-CN"/>
              </w:rPr>
              <w:t>3</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30239</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其他交通费用</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rPr>
                <w:rFonts w:hint="eastAsia"/>
                <w:lang w:val="en-US" w:eastAsia="zh-CN"/>
              </w:rPr>
              <w:t>4.3</w:t>
            </w:r>
            <w:r>
              <w:t>8</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rPr>
                <w:rFonts w:hint="eastAsia"/>
                <w:lang w:val="en-US" w:eastAsia="zh-CN"/>
              </w:rPr>
              <w:t>4.3</w:t>
            </w:r>
            <w:r>
              <w:t>8</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kern w:val="0"/>
                <w:sz w:val="21"/>
                <w:szCs w:val="24"/>
                <w:lang w:val="en-US" w:eastAsia="uk-UA" w:bidi="ar-SA"/>
              </w:rPr>
            </w:pPr>
            <w:r>
              <w:t>2</w:t>
            </w:r>
            <w:r>
              <w:rPr>
                <w:rFonts w:hint="eastAsia"/>
                <w:lang w:val="en-US" w:eastAsia="zh-CN"/>
              </w:rPr>
              <w:t>4</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303</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对个人和家庭的补助</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rPr>
                <w:rFonts w:hint="eastAsia"/>
                <w:lang w:val="en-US" w:eastAsia="zh-CN"/>
              </w:rPr>
              <w:t>3.3</w:t>
            </w:r>
            <w:r>
              <w:t>8</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rPr>
                <w:rFonts w:hint="eastAsia"/>
                <w:lang w:val="en-US" w:eastAsia="zh-CN"/>
              </w:rPr>
              <w:t>3.3</w:t>
            </w:r>
            <w:r>
              <w:t>8</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kern w:val="0"/>
                <w:sz w:val="21"/>
                <w:szCs w:val="24"/>
                <w:lang w:val="en-US" w:eastAsia="zh-CN" w:bidi="ar-SA"/>
              </w:rPr>
            </w:pPr>
            <w:r>
              <w:t>2</w:t>
            </w:r>
            <w:r>
              <w:rPr>
                <w:rFonts w:hint="eastAsia"/>
                <w:lang w:val="en-US" w:eastAsia="zh-CN"/>
              </w:rPr>
              <w:t>5</w:t>
            </w: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30302</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退休费</w:t>
            </w:r>
          </w:p>
        </w:tc>
        <w:tc>
          <w:tcPr>
            <w:tcW w:w="2551" w:type="dxa"/>
            <w:vAlign w:val="center"/>
          </w:tcPr>
          <w:p>
            <w:pPr>
              <w:pStyle w:val="15"/>
              <w:rPr>
                <w:rFonts w:hint="eastAsia" w:ascii="方正书宋_GBK" w:hAnsi="方正书宋_GBK" w:eastAsia="方正书宋_GBK" w:cs="方正书宋_GBK"/>
                <w:kern w:val="0"/>
                <w:sz w:val="21"/>
                <w:szCs w:val="24"/>
                <w:lang w:val="en-US" w:eastAsia="zh-CN" w:bidi="ar-SA"/>
              </w:rPr>
            </w:pPr>
            <w:r>
              <w:t>0.1</w:t>
            </w:r>
            <w:r>
              <w:rPr>
                <w:rFonts w:hint="eastAsia"/>
                <w:lang w:val="en-US" w:eastAsia="zh-CN"/>
              </w:rPr>
              <w:t>2</w:t>
            </w:r>
          </w:p>
        </w:tc>
        <w:tc>
          <w:tcPr>
            <w:tcW w:w="2551" w:type="dxa"/>
            <w:vAlign w:val="center"/>
          </w:tcPr>
          <w:p>
            <w:pPr>
              <w:pStyle w:val="15"/>
              <w:rPr>
                <w:rFonts w:hint="eastAsia" w:ascii="方正书宋_GBK" w:hAnsi="方正书宋_GBK" w:eastAsia="方正书宋_GBK" w:cs="方正书宋_GBK"/>
                <w:kern w:val="0"/>
                <w:sz w:val="21"/>
                <w:szCs w:val="24"/>
                <w:lang w:val="en-US" w:eastAsia="zh-CN" w:bidi="ar-SA"/>
              </w:rPr>
            </w:pPr>
            <w:r>
              <w:t>0.1</w:t>
            </w:r>
            <w:r>
              <w:rPr>
                <w:rFonts w:hint="eastAsia"/>
                <w:lang w:val="en-US" w:eastAsia="zh-CN"/>
              </w:rPr>
              <w:t>2</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rPr>
                <w:rFonts w:ascii="方正书宋_GBK" w:hAnsi="方正书宋_GBK" w:eastAsia="方正书宋_GBK" w:cs="方正书宋_GBK"/>
                <w:kern w:val="0"/>
                <w:sz w:val="21"/>
                <w:szCs w:val="24"/>
                <w:lang w:val="en-US" w:eastAsia="uk-UA" w:bidi="ar-SA"/>
              </w:rPr>
            </w:pPr>
            <w:r>
              <w:t>30399</w:t>
            </w:r>
          </w:p>
        </w:tc>
        <w:tc>
          <w:tcPr>
            <w:tcW w:w="4535" w:type="dxa"/>
            <w:vAlign w:val="center"/>
          </w:tcPr>
          <w:p>
            <w:pPr>
              <w:pStyle w:val="16"/>
              <w:rPr>
                <w:rFonts w:ascii="方正书宋_GBK" w:hAnsi="方正书宋_GBK" w:eastAsia="方正书宋_GBK" w:cs="方正书宋_GBK"/>
                <w:kern w:val="0"/>
                <w:sz w:val="21"/>
                <w:szCs w:val="24"/>
                <w:lang w:val="en-US" w:eastAsia="uk-UA" w:bidi="ar-SA"/>
              </w:rPr>
            </w:pPr>
            <w:r>
              <w:t>其他对个人和家庭的补助</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3.26</w:t>
            </w:r>
          </w:p>
        </w:tc>
        <w:tc>
          <w:tcPr>
            <w:tcW w:w="2551" w:type="dxa"/>
            <w:vAlign w:val="center"/>
          </w:tcPr>
          <w:p>
            <w:pPr>
              <w:pStyle w:val="15"/>
              <w:rPr>
                <w:rFonts w:ascii="方正书宋_GBK" w:hAnsi="方正书宋_GBK" w:eastAsia="方正书宋_GBK" w:cs="方正书宋_GBK"/>
                <w:kern w:val="0"/>
                <w:sz w:val="21"/>
                <w:szCs w:val="24"/>
                <w:lang w:val="en-US" w:eastAsia="uk-UA" w:bidi="ar-SA"/>
              </w:rPr>
            </w:pPr>
            <w:r>
              <w:t>3.26</w:t>
            </w:r>
          </w:p>
        </w:tc>
        <w:tc>
          <w:tcPr>
            <w:tcW w:w="2552" w:type="dxa"/>
            <w:vAlign w:val="center"/>
          </w:tcPr>
          <w:p>
            <w:pPr>
              <w:pStyle w:val="15"/>
              <w:rPr>
                <w:rFonts w:ascii="方正书宋_GBK" w:hAnsi="方正书宋_GBK" w:eastAsia="方正书宋_GBK" w:cs="方正书宋_GBK"/>
                <w:kern w:val="0"/>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rFonts w:hint="default" w:eastAsia="方正书宋_GBK"/>
                <w:lang w:val="en-US" w:eastAsia="zh-CN"/>
              </w:rPr>
            </w:pPr>
            <w:r>
              <w:t>2</w:t>
            </w:r>
            <w:r>
              <w:rPr>
                <w:rFonts w:hint="eastAsia"/>
                <w:lang w:val="en-US" w:eastAsia="zh-CN"/>
              </w:rPr>
              <w:t>.00</w:t>
            </w:r>
          </w:p>
        </w:tc>
        <w:tc>
          <w:tcPr>
            <w:tcW w:w="2381" w:type="dxa"/>
            <w:vAlign w:val="center"/>
          </w:tcPr>
          <w:p>
            <w:pPr>
              <w:pStyle w:val="19"/>
              <w:rPr>
                <w:rFonts w:hint="default" w:eastAsia="方正书宋_GBK"/>
                <w:lang w:val="en-US" w:eastAsia="zh-CN"/>
              </w:rPr>
            </w:pPr>
            <w:r>
              <w:t>2</w:t>
            </w:r>
            <w:r>
              <w:rPr>
                <w:rFonts w:hint="eastAsia"/>
                <w:lang w:val="en-US" w:eastAsia="zh-CN"/>
              </w:rPr>
              <w:t>.00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rPr>
                <w:rFonts w:hint="default" w:eastAsia="方正书宋_GBK"/>
                <w:lang w:val="en-US" w:eastAsia="zh-CN"/>
              </w:rPr>
            </w:pPr>
            <w:r>
              <w:rPr>
                <w:rFonts w:hint="eastAsia"/>
                <w:lang w:val="en-US" w:eastAsia="zh-CN"/>
              </w:rPr>
              <w:t>2.00</w:t>
            </w:r>
          </w:p>
        </w:tc>
        <w:tc>
          <w:tcPr>
            <w:tcW w:w="2381" w:type="dxa"/>
            <w:vAlign w:val="center"/>
          </w:tcPr>
          <w:p>
            <w:pPr>
              <w:pStyle w:val="15"/>
              <w:rPr>
                <w:rFonts w:hint="default" w:eastAsia="方正书宋_GBK"/>
                <w:lang w:val="en-US" w:eastAsia="zh-CN"/>
              </w:rPr>
            </w:pPr>
            <w:r>
              <w:rPr>
                <w:rFonts w:hint="eastAsia"/>
                <w:lang w:val="en-US" w:eastAsia="zh-CN"/>
              </w:rPr>
              <w:t>2.00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pPr>
        <w:jc w:val="center"/>
      </w:pPr>
      <w:r>
        <w:rPr>
          <w:rFonts w:hint="eastAsia" w:ascii="方正小标宋_GBK" w:hAnsi="方正小标宋_GBK" w:eastAsia="方正小标宋_GBK" w:cs="方正小标宋_GBK"/>
          <w:color w:val="000000"/>
          <w:sz w:val="44"/>
        </w:rPr>
        <w:t>中共涞源县委机构编制委员会办公室</w:t>
      </w: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w:t>
      </w:r>
      <w:r>
        <w:rPr>
          <w:rFonts w:ascii="Times New Roman" w:hAnsi="Times New Roman" w:eastAsia="方正仿宋_GBK" w:cs="Times New Roman"/>
          <w:color w:val="000000"/>
          <w:sz w:val="28"/>
        </w:rPr>
        <w:t>中共涞源县委机构编制委员会办公室</w:t>
      </w:r>
      <w:r>
        <w:rPr>
          <w:rFonts w:eastAsia="方正仿宋_GBK"/>
          <w:color w:val="000000"/>
          <w:sz w:val="28"/>
        </w:rPr>
        <w:t>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贯彻落实党中央、省委、市委和县委关于行政管理体制和机构改革以及机构编制管理的政策法规，组织拟定相关政策规定并监督实施。管理和指导全县各级党委、人大、政府、政协、纪委监委机关、法院、检察院机关，各民主党派、人民团体以及全县事业单位的机构编制工作。</w:t>
      </w:r>
    </w:p>
    <w:p>
      <w:pPr>
        <w:pStyle w:val="21"/>
      </w:pPr>
      <w:r>
        <w:t>（二）组织拟订全县行政管理体制改革和县委、县政府、乡镇机构改革方案并组织实施。负责全县行政管理体制和机构改革以及机构编制管理工作；负责综合行政执法体制改革工作。</w:t>
      </w:r>
    </w:p>
    <w:p>
      <w:pPr>
        <w:pStyle w:val="21"/>
      </w:pPr>
      <w:r>
        <w:t>（三）协调县委、县政府各部门的职能配置及其调整，协调县委、县政府部门之间的职责分工。</w:t>
      </w:r>
    </w:p>
    <w:p>
      <w:pPr>
        <w:pStyle w:val="21"/>
      </w:pPr>
      <w:r>
        <w:t>（四）审核或审批县委、县政府各部门、各部门派出机构及各乡（镇）的职能配置、机构设置、人员编制和领导职数；审核县人大 、县政协 、县纪委监委机关和各民主党派 、人民团体机关的职能配置、 机构设置 、人员编制和领导职数。</w:t>
      </w:r>
    </w:p>
    <w:p>
      <w:pPr>
        <w:pStyle w:val="21"/>
      </w:pPr>
      <w:r>
        <w:t>（五）组织拟订全县事业单位管理体制和机构改革方案。制定各类事业单位人员编制标准和管理办法，负责推进事业单位机构编制标准体系建设；审核或审批县委、县政府直属事业单位及县直部门、各乡镇所属事业单位的机构编制事宜；负责全县事业单位管理体制改革和机构编制管理工作；负责全县党政群机关统一社会信用代码赋码管理工作，负责全县事业单位法人登记管理和监督检查工作。</w:t>
      </w:r>
    </w:p>
    <w:p>
      <w:pPr>
        <w:pStyle w:val="21"/>
      </w:pPr>
      <w:r>
        <w:t>（六）指导全县开发区（景区、园区）行政管理体制改革工作。审核开发区（景区、园区）职能配置、机构设置、人员编制和领导职数。</w:t>
      </w:r>
    </w:p>
    <w:p>
      <w:pPr>
        <w:pStyle w:val="21"/>
      </w:pPr>
      <w:r>
        <w:t>（七）负责全县机构编制的总量控制和动态管理。负责机构编制实名制工作，负责全县机关事业单位编制使用核准；建立健全机构编制部门与有关部门间的协调配合约束机制。</w:t>
      </w:r>
    </w:p>
    <w:p>
      <w:pPr>
        <w:pStyle w:val="21"/>
      </w:pPr>
      <w:r>
        <w:t>（八）负责对全县行政 、事业单位管理体制和机构改革及机构编制执行情况的跟踪评估和监督检查。负责受理违反机构编制法规、 纪律的检举、控告和投诉，对违反机构编制法规，纪律问题进行调查处理。</w:t>
      </w:r>
    </w:p>
    <w:p>
      <w:pPr>
        <w:pStyle w:val="21"/>
      </w:pPr>
      <w:r>
        <w:t>（九）负责全县机构编制电子政务和信息化工作。负责全县机构编制统计工作；负责机构编制网站的建设管理以及网络安全工作；指导全县党政群机关、事业单位和其他非营利性单位网上名称管理工作。</w:t>
      </w:r>
    </w:p>
    <w:p>
      <w:pPr>
        <w:pStyle w:val="21"/>
      </w:pPr>
      <w:r>
        <w:t>（十）组织开展行政体制改革及机构编制管理创新基础性和前瞻性研究。</w:t>
      </w:r>
    </w:p>
    <w:p>
      <w:pPr>
        <w:pStyle w:val="21"/>
        <w:rPr>
          <w:rFonts w:hint="eastAsia" w:ascii="方正楷体_GBK" w:hAnsi="方正楷体_GBK" w:eastAsia="方正楷体_GBK" w:cs="方正楷体_GBK"/>
          <w:b/>
          <w:color w:val="000000"/>
          <w:sz w:val="32"/>
          <w:lang w:eastAsia="zh-CN"/>
        </w:rPr>
      </w:pPr>
      <w:r>
        <w:t>（十一）完成县委、县政府和县委机构编制委员会交办的其他任务。</w:t>
      </w:r>
    </w:p>
    <w:p>
      <w:pPr>
        <w:ind w:firstLine="640"/>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中共涞源县委机构编制委员会办公室本级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w:t>
      </w:r>
      <w:r>
        <w:rPr>
          <w:rFonts w:ascii="Times New Roman" w:hAnsi="Times New Roman" w:eastAsia="方正仿宋_GBK" w:cs="Times New Roman"/>
          <w:color w:val="000000"/>
          <w:sz w:val="28"/>
        </w:rPr>
        <w:t>中共涞源县委机构编制委员会办公室机关</w:t>
      </w:r>
      <w:r>
        <w:rPr>
          <w:rFonts w:eastAsia="方正仿宋_GBK"/>
          <w:color w:val="000000"/>
          <w:sz w:val="28"/>
        </w:rPr>
        <w:t>在部门预算中。</w:t>
      </w:r>
    </w:p>
    <w:p>
      <w:pPr>
        <w:pStyle w:val="22"/>
      </w:pPr>
      <w:r>
        <w:t>1、收入说明</w:t>
      </w:r>
    </w:p>
    <w:p>
      <w:pPr>
        <w:pStyle w:val="22"/>
      </w:pPr>
      <w:r>
        <w:t>反映本部门当年全部收入。2022年预算收入153.68万元，其中：一般公共预算收入153.68万元，基金预算收入0万元，国有资本经营预算收入0万元，财政专户核拨收入0万元，单位资金收入0万元，上年结转结余0万元。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中共涞源县委机构编制委员会办公室年度部门预算中支出预算的总体情况。2022年支出预算153.68万元，其中基本支出143.28万元，包括人员经费130.51万元和日常公用经费12.77万元；项目支出10.4万元，主要为编办中文域名注册及续费管理、事业单位法人年度报告、编办事业单位登记费、编办档案维护管理专项。</w:t>
      </w:r>
    </w:p>
    <w:p>
      <w:pPr>
        <w:pStyle w:val="22"/>
      </w:pPr>
      <w:r>
        <w:t>3、比上年增减情况</w:t>
      </w:r>
    </w:p>
    <w:p>
      <w:pPr>
        <w:pStyle w:val="22"/>
      </w:pPr>
      <w:r>
        <w:t>2022年预算收支安排153.68万元，较2021年预算增加29.1万元，其中：基本支出增加29.1万元，主要为增加人员经费支出。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bookmarkStart w:id="12" w:name="_Toc_3_3_0000000013"/>
      <w:r>
        <w:t>2022年，我部门运行经费共计安排12.77万元，主要用于办公费、印刷费、电费、邮电费、差旅费、会议费、公务接待费等日常运行支出。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4"/>
      </w:pPr>
      <w:r>
        <w:t>2022年，我部门财政拨款“三公”经费预算安排2万元，其中因公出国（境）费0万元；公务用车购置及运维费0万元（其中：公务用车购置费为0万元，公务用车运维费0万元)；公务接待费2万元。与2021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中共涞源县委机构编制委员会办公室下设2个股室，内设综合股、行政事业股。共计10人。主要负责管理和指导全县各级党委、人大、政府、政协、纪委监委机关、法院、检察院机关，各民主党派、人民团体以及全县事业单位的机构编制工作。负责全县行政管理体制和机构改革以及机构编制管理工作；负责综合行政执法体制改革工作。负责全县事业单位管理体制改革和机构编制管理工作；负责全县党政群机关统一社会信用代码赋码管理工作，负责全县事业单位法人登记管理和监督检查工作。负责全县机构编制的总量控制和动态管理。负责全县机构编制电子政务和信息化工作。负责全县机构编制统计工作。</w:t>
      </w:r>
    </w:p>
    <w:p>
      <w:pPr>
        <w:pStyle w:val="25"/>
      </w:pPr>
      <w:r>
        <w:t>根据工作实际2022年申请专项资金10.4万元。其中事业单位法人年度报告费用3万元，编办事业单位登记费用2万元，中文域名注册及续费管理3.4万元，档案维护管理专项2万元。全县事业单位网上登记公示年度报告书，变更登记，证书补领。为单位及时办理统一社会信用代码证书。机构编制年终统计工作对全县329个行政事业机构工作人员进行业务培训，统一了工作流程、注意事项、统计口径等重要事项，确保了机构编制统计数据的真实、准确。为上级和领导决策提供了可靠依据。</w:t>
      </w:r>
    </w:p>
    <w:p>
      <w:pPr>
        <w:pStyle w:val="25"/>
      </w:pPr>
      <w:r>
        <w:t>为全县329个机关事业单位注册中文域名，实现了全覆盖。对使用自建网站的单位进行了网上名称统一规范，网站加挂标识，有力的保证了单位网站的安全性和权威性。</w:t>
      </w:r>
    </w:p>
    <w:p>
      <w:pPr>
        <w:pStyle w:val="25"/>
      </w:pPr>
      <w:r>
        <w:t>全县机关事业单位的机构、编制档案管理是一项十分繁重的工作，有专人负责，涉及归档整理、查询借阅，接受上级部门的检查等工作，任务量之大，每年都对此项工作进行归类整理保管。</w:t>
      </w:r>
    </w:p>
    <w:p>
      <w:pPr>
        <w:spacing w:line="500" w:lineRule="exact"/>
        <w:ind w:firstLine="560"/>
      </w:pPr>
      <w:r>
        <w:rPr>
          <w:rFonts w:eastAsia="方正仿宋_GBK"/>
          <w:color w:val="000000"/>
          <w:sz w:val="28"/>
        </w:rPr>
        <w:t>（二）分项绩效目标</w:t>
      </w:r>
    </w:p>
    <w:p>
      <w:pPr>
        <w:pStyle w:val="26"/>
      </w:pPr>
      <w:r>
        <w:t>1、完成全县340个中文域名续费工作。</w:t>
      </w:r>
    </w:p>
    <w:p>
      <w:pPr>
        <w:pStyle w:val="26"/>
      </w:pPr>
      <w:r>
        <w:t>2、完成事业单位法人年度报告，保障单位工作正常运行。</w:t>
      </w:r>
    </w:p>
    <w:p>
      <w:pPr>
        <w:pStyle w:val="26"/>
      </w:pPr>
      <w:r>
        <w:t>3、对事业单位登记事项进行监管，并对登记真实性、是否按时上报年度报告等情况进行监管，保障单位工作运转正常。</w:t>
      </w:r>
    </w:p>
    <w:p>
      <w:pPr>
        <w:pStyle w:val="26"/>
      </w:pPr>
      <w:r>
        <w:t>4、整理档案、维护档案、保障档案的完整性及可查阅性。</w:t>
      </w:r>
    </w:p>
    <w:p>
      <w:pPr>
        <w:spacing w:line="500" w:lineRule="exact"/>
        <w:ind w:firstLine="560"/>
      </w:pPr>
      <w:r>
        <w:rPr>
          <w:rFonts w:eastAsia="方正仿宋_GBK"/>
          <w:color w:val="000000"/>
          <w:sz w:val="28"/>
        </w:rPr>
        <w:t>（三）工作保障措施</w:t>
      </w:r>
    </w:p>
    <w:p>
      <w:pPr>
        <w:pStyle w:val="27"/>
      </w:pPr>
      <w:r>
        <w:t>1、积极学习专业知识，努力提高工作能力。</w:t>
      </w:r>
    </w:p>
    <w:p>
      <w:pPr>
        <w:pStyle w:val="27"/>
      </w:pPr>
      <w:r>
        <w:t>2、严格人员管理，提高绩效目标管理水平。</w:t>
      </w:r>
    </w:p>
    <w:p>
      <w:pPr>
        <w:pStyle w:val="27"/>
      </w:pPr>
      <w:r>
        <w:t>3、严格规范资金管理，提高机构编制和档案管理工作能力。</w:t>
      </w:r>
    </w:p>
    <w:p>
      <w:pPr>
        <w:pStyle w:val="27"/>
      </w:pPr>
      <w:r>
        <w:t>4、按财务预算科学合理安排调度资金，充分发挥资金利用效率。</w:t>
      </w:r>
    </w:p>
    <w:p>
      <w:pPr>
        <w:pStyle w:val="27"/>
      </w:pPr>
      <w:r>
        <w:t>5、加强日常监控工作。</w:t>
      </w:r>
    </w:p>
    <w:p>
      <w:pPr>
        <w:ind w:firstLine="640"/>
      </w:pPr>
      <w:r>
        <w:rPr>
          <w:rFonts w:ascii="方正楷体_GBK" w:hAnsi="方正楷体_GBK" w:eastAsia="方正楷体_GBK" w:cs="方正楷体_GBK"/>
          <w:b/>
          <w:color w:val="000000"/>
          <w:sz w:val="32"/>
        </w:rPr>
        <w:t>第二部分  专项资金绩效目标</w:t>
      </w:r>
    </w:p>
    <w:p>
      <w:pPr>
        <w:pStyle w:val="28"/>
        <w:ind w:firstLine="640"/>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1、编办档案维护管理专项绩效目标表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1.保障档案的完整性及可查阅性</w:t>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整理档案数量</w:t>
            </w:r>
          </w:p>
        </w:tc>
        <w:tc>
          <w:tcPr>
            <w:tcW w:w="2835" w:type="dxa"/>
            <w:vAlign w:val="center"/>
          </w:tcPr>
          <w:p>
            <w:pPr>
              <w:pStyle w:val="16"/>
            </w:pPr>
            <w:r>
              <w:t>整理340个单位的编制档案</w:t>
            </w:r>
          </w:p>
        </w:tc>
        <w:tc>
          <w:tcPr>
            <w:tcW w:w="2551" w:type="dxa"/>
            <w:vAlign w:val="center"/>
          </w:tcPr>
          <w:p>
            <w:pPr>
              <w:pStyle w:val="16"/>
            </w:pPr>
            <w:r>
              <w:t>340个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档案完整率</w:t>
            </w:r>
          </w:p>
        </w:tc>
        <w:tc>
          <w:tcPr>
            <w:tcW w:w="2835" w:type="dxa"/>
            <w:vAlign w:val="center"/>
          </w:tcPr>
          <w:p>
            <w:pPr>
              <w:pStyle w:val="16"/>
            </w:pPr>
            <w:r>
              <w:t>提高档案完整率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≤1年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实际支出/预算×100%</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得到增强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得到增强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得到增强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档案持续使用</w:t>
            </w:r>
          </w:p>
        </w:tc>
        <w:tc>
          <w:tcPr>
            <w:tcW w:w="2835" w:type="dxa"/>
            <w:vAlign w:val="center"/>
          </w:tcPr>
          <w:p>
            <w:pPr>
              <w:pStyle w:val="16"/>
            </w:pPr>
            <w:r>
              <w:t>提高档案的可使用性</w:t>
            </w:r>
          </w:p>
        </w:tc>
        <w:tc>
          <w:tcPr>
            <w:tcW w:w="2551" w:type="dxa"/>
            <w:vAlign w:val="center"/>
          </w:tcPr>
          <w:p>
            <w:pPr>
              <w:pStyle w:val="16"/>
            </w:pPr>
            <w:r>
              <w:t>档案永久随时可查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用户使用满意度</w:t>
            </w:r>
          </w:p>
        </w:tc>
        <w:tc>
          <w:tcPr>
            <w:tcW w:w="2835" w:type="dxa"/>
            <w:vAlign w:val="center"/>
          </w:tcPr>
          <w:p>
            <w:pPr>
              <w:pStyle w:val="16"/>
            </w:pPr>
            <w:r>
              <w:t>用户使用满意度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2、编办事业单位登记费绩效目标表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1.对事业单位登记事项进行监管，并对登记真实性、是否按时上报年度报告等情况进行监管、保障单位工作运转正常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服务单位数量</w:t>
            </w:r>
          </w:p>
        </w:tc>
        <w:tc>
          <w:tcPr>
            <w:tcW w:w="2835" w:type="dxa"/>
            <w:vAlign w:val="center"/>
          </w:tcPr>
          <w:p>
            <w:pPr>
              <w:pStyle w:val="16"/>
            </w:pPr>
            <w:r>
              <w:t>保证111个事业单位登记工作顺利进行</w:t>
            </w:r>
          </w:p>
        </w:tc>
        <w:tc>
          <w:tcPr>
            <w:tcW w:w="2551" w:type="dxa"/>
            <w:vAlign w:val="center"/>
          </w:tcPr>
          <w:p>
            <w:pPr>
              <w:pStyle w:val="16"/>
            </w:pPr>
            <w:r>
              <w:t>≥111个</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登记质量</w:t>
            </w:r>
          </w:p>
        </w:tc>
        <w:tc>
          <w:tcPr>
            <w:tcW w:w="2835" w:type="dxa"/>
            <w:vAlign w:val="center"/>
          </w:tcPr>
          <w:p>
            <w:pPr>
              <w:pStyle w:val="16"/>
            </w:pPr>
            <w:r>
              <w:t>提高登记质量</w:t>
            </w:r>
          </w:p>
        </w:tc>
        <w:tc>
          <w:tcPr>
            <w:tcW w:w="2551" w:type="dxa"/>
            <w:vAlign w:val="center"/>
          </w:tcPr>
          <w:p>
            <w:pPr>
              <w:pStyle w:val="16"/>
            </w:pPr>
            <w:r>
              <w:t>登记真实</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≤1年</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实际支出/预算×100%</w:t>
            </w:r>
          </w:p>
        </w:tc>
        <w:tc>
          <w:tcPr>
            <w:tcW w:w="2551" w:type="dxa"/>
            <w:vAlign w:val="center"/>
          </w:tcPr>
          <w:p>
            <w:pPr>
              <w:pStyle w:val="16"/>
            </w:pPr>
            <w:r>
              <w:t>≤100%</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得到增强</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得到增强</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得到增强</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完成本部门行政许可</w:t>
            </w:r>
          </w:p>
        </w:tc>
        <w:tc>
          <w:tcPr>
            <w:tcW w:w="2835" w:type="dxa"/>
            <w:vAlign w:val="center"/>
          </w:tcPr>
          <w:p>
            <w:pPr>
              <w:pStyle w:val="16"/>
            </w:pPr>
            <w:r>
              <w:t>设立、撤销、变更事业单位法人证书</w:t>
            </w:r>
          </w:p>
        </w:tc>
        <w:tc>
          <w:tcPr>
            <w:tcW w:w="2551" w:type="dxa"/>
            <w:vAlign w:val="center"/>
          </w:tcPr>
          <w:p>
            <w:pPr>
              <w:pStyle w:val="16"/>
            </w:pPr>
            <w:r>
              <w:t>与实际情况一致</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用户使用满意度</w:t>
            </w:r>
          </w:p>
        </w:tc>
        <w:tc>
          <w:tcPr>
            <w:tcW w:w="2835" w:type="dxa"/>
            <w:vAlign w:val="center"/>
          </w:tcPr>
          <w:p>
            <w:pPr>
              <w:pStyle w:val="16"/>
            </w:pPr>
            <w:r>
              <w:t>用户使用满意度</w:t>
            </w:r>
          </w:p>
        </w:tc>
        <w:tc>
          <w:tcPr>
            <w:tcW w:w="2551" w:type="dxa"/>
            <w:vAlign w:val="center"/>
          </w:tcPr>
          <w:p>
            <w:pPr>
              <w:pStyle w:val="16"/>
            </w:pPr>
            <w:r>
              <w:t>≥95%</w:t>
            </w:r>
          </w:p>
        </w:tc>
        <w:tc>
          <w:tcPr>
            <w:tcW w:w="2268" w:type="dxa"/>
            <w:vAlign w:val="center"/>
          </w:tcPr>
          <w:p>
            <w:pPr>
              <w:pStyle w:val="16"/>
            </w:pPr>
            <w:r>
              <w:t>冀机编办[2014]128号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3、编办中文域名注册及续费管理绩效目标表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1.完成全县340个中文域名注册续费，每年每个中文域名注册费100元，一次性由财政统一拨付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完成全县中文域名注册续费</w:t>
            </w:r>
          </w:p>
        </w:tc>
        <w:tc>
          <w:tcPr>
            <w:tcW w:w="2551" w:type="dxa"/>
            <w:vAlign w:val="center"/>
          </w:tcPr>
          <w:p>
            <w:pPr>
              <w:pStyle w:val="16"/>
            </w:pPr>
            <w:r>
              <w:t>340个</w:t>
            </w:r>
          </w:p>
        </w:tc>
        <w:tc>
          <w:tcPr>
            <w:tcW w:w="2268" w:type="dxa"/>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域名的可使用性</w:t>
            </w:r>
          </w:p>
        </w:tc>
        <w:tc>
          <w:tcPr>
            <w:tcW w:w="2835" w:type="dxa"/>
            <w:vAlign w:val="center"/>
          </w:tcPr>
          <w:p>
            <w:pPr>
              <w:pStyle w:val="16"/>
            </w:pPr>
            <w:r>
              <w:t>确保域名在有效期内</w:t>
            </w:r>
          </w:p>
        </w:tc>
        <w:tc>
          <w:tcPr>
            <w:tcW w:w="2551" w:type="dxa"/>
            <w:vAlign w:val="center"/>
          </w:tcPr>
          <w:p>
            <w:pPr>
              <w:pStyle w:val="16"/>
            </w:pPr>
            <w:r>
              <w:t>可持续使用</w:t>
            </w:r>
          </w:p>
        </w:tc>
        <w:tc>
          <w:tcPr>
            <w:tcW w:w="2268" w:type="dxa"/>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缴费及时率</w:t>
            </w:r>
          </w:p>
        </w:tc>
        <w:tc>
          <w:tcPr>
            <w:tcW w:w="2835" w:type="dxa"/>
            <w:vAlign w:val="center"/>
          </w:tcPr>
          <w:p>
            <w:pPr>
              <w:pStyle w:val="16"/>
            </w:pPr>
            <w:r>
              <w:t>保证及时缴费</w:t>
            </w:r>
          </w:p>
        </w:tc>
        <w:tc>
          <w:tcPr>
            <w:tcW w:w="2551" w:type="dxa"/>
            <w:vAlign w:val="center"/>
          </w:tcPr>
          <w:p>
            <w:pPr>
              <w:pStyle w:val="16"/>
            </w:pPr>
            <w:r>
              <w:t>100%</w:t>
            </w:r>
          </w:p>
        </w:tc>
        <w:tc>
          <w:tcPr>
            <w:tcW w:w="2268" w:type="dxa"/>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实际支出/预算×100%</w:t>
            </w:r>
          </w:p>
        </w:tc>
        <w:tc>
          <w:tcPr>
            <w:tcW w:w="2551" w:type="dxa"/>
            <w:vAlign w:val="center"/>
          </w:tcPr>
          <w:p>
            <w:pPr>
              <w:pStyle w:val="16"/>
            </w:pPr>
            <w:r>
              <w:t>≤100%</w:t>
            </w:r>
          </w:p>
        </w:tc>
        <w:tc>
          <w:tcPr>
            <w:tcW w:w="2268" w:type="dxa"/>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得到增强</w:t>
            </w:r>
          </w:p>
        </w:tc>
        <w:tc>
          <w:tcPr>
            <w:tcW w:w="2268" w:type="dxa"/>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提高效率</w:t>
            </w:r>
          </w:p>
        </w:tc>
        <w:tc>
          <w:tcPr>
            <w:tcW w:w="2835" w:type="dxa"/>
            <w:vAlign w:val="center"/>
          </w:tcPr>
          <w:p>
            <w:pPr>
              <w:pStyle w:val="16"/>
            </w:pPr>
            <w:r>
              <w:t>确保域名可随时使用，提高相关部门服务效率</w:t>
            </w:r>
          </w:p>
        </w:tc>
        <w:tc>
          <w:tcPr>
            <w:tcW w:w="2551" w:type="dxa"/>
            <w:vAlign w:val="center"/>
          </w:tcPr>
          <w:p>
            <w:pPr>
              <w:pStyle w:val="16"/>
            </w:pPr>
            <w:r>
              <w:t>≥98%</w:t>
            </w:r>
          </w:p>
        </w:tc>
        <w:tc>
          <w:tcPr>
            <w:tcW w:w="2268" w:type="dxa"/>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得到增强</w:t>
            </w:r>
          </w:p>
        </w:tc>
        <w:tc>
          <w:tcPr>
            <w:tcW w:w="2268" w:type="dxa"/>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得到提升</w:t>
            </w:r>
          </w:p>
        </w:tc>
        <w:tc>
          <w:tcPr>
            <w:tcW w:w="2268" w:type="dxa"/>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用户使用满意度</w:t>
            </w:r>
          </w:p>
        </w:tc>
        <w:tc>
          <w:tcPr>
            <w:tcW w:w="2835" w:type="dxa"/>
            <w:vAlign w:val="center"/>
          </w:tcPr>
          <w:p>
            <w:pPr>
              <w:pStyle w:val="16"/>
            </w:pPr>
            <w:r>
              <w:t>用户使用满意度</w:t>
            </w:r>
          </w:p>
        </w:tc>
        <w:tc>
          <w:tcPr>
            <w:tcW w:w="2551" w:type="dxa"/>
            <w:vAlign w:val="center"/>
          </w:tcPr>
          <w:p>
            <w:pPr>
              <w:pStyle w:val="16"/>
            </w:pPr>
            <w:r>
              <w:t>≥95%</w:t>
            </w:r>
          </w:p>
        </w:tc>
        <w:tc>
          <w:tcPr>
            <w:tcW w:w="2268" w:type="dxa"/>
            <w:vAlign w:val="center"/>
          </w:tcPr>
          <w:p>
            <w:pPr>
              <w:pStyle w:val="16"/>
            </w:pPr>
            <w:r>
              <w:t>冀机编办[2014]125号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4、事业单位法人年度报告绩效目标表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1.完成事业单位法人年度报告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服务单位数量</w:t>
            </w:r>
          </w:p>
        </w:tc>
        <w:tc>
          <w:tcPr>
            <w:tcW w:w="2835" w:type="dxa"/>
            <w:vAlign w:val="center"/>
          </w:tcPr>
          <w:p>
            <w:pPr>
              <w:pStyle w:val="16"/>
            </w:pPr>
            <w:r>
              <w:t>保证111个事业单位年度报告工作顺利进行</w:t>
            </w:r>
          </w:p>
        </w:tc>
        <w:tc>
          <w:tcPr>
            <w:tcW w:w="2551" w:type="dxa"/>
            <w:vAlign w:val="center"/>
          </w:tcPr>
          <w:p>
            <w:pPr>
              <w:pStyle w:val="16"/>
            </w:pPr>
            <w:r>
              <w:t>≥111个</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报告公示质量</w:t>
            </w:r>
          </w:p>
        </w:tc>
        <w:tc>
          <w:tcPr>
            <w:tcW w:w="2835" w:type="dxa"/>
            <w:vAlign w:val="center"/>
          </w:tcPr>
          <w:p>
            <w:pPr>
              <w:pStyle w:val="16"/>
            </w:pPr>
            <w:r>
              <w:t>提高报告公示质量</w:t>
            </w:r>
          </w:p>
        </w:tc>
        <w:tc>
          <w:tcPr>
            <w:tcW w:w="2551" w:type="dxa"/>
            <w:vAlign w:val="center"/>
          </w:tcPr>
          <w:p>
            <w:pPr>
              <w:pStyle w:val="16"/>
            </w:pPr>
            <w:r>
              <w:t>质量合格</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≤1年</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实际支出/预算×100%</w:t>
            </w:r>
          </w:p>
        </w:tc>
        <w:tc>
          <w:tcPr>
            <w:tcW w:w="2551" w:type="dxa"/>
            <w:vAlign w:val="center"/>
          </w:tcPr>
          <w:p>
            <w:pPr>
              <w:pStyle w:val="16"/>
            </w:pPr>
            <w:r>
              <w:t>≤100%</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得到增强</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得到增强</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得到增强</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事业单位法人证书正常使用</w:t>
            </w:r>
          </w:p>
        </w:tc>
        <w:tc>
          <w:tcPr>
            <w:tcW w:w="2835" w:type="dxa"/>
            <w:vAlign w:val="center"/>
          </w:tcPr>
          <w:p>
            <w:pPr>
              <w:pStyle w:val="16"/>
            </w:pPr>
            <w:r>
              <w:t>事业单位法人证书在有效期内</w:t>
            </w:r>
          </w:p>
        </w:tc>
        <w:tc>
          <w:tcPr>
            <w:tcW w:w="2551" w:type="dxa"/>
            <w:vAlign w:val="center"/>
          </w:tcPr>
          <w:p>
            <w:pPr>
              <w:pStyle w:val="16"/>
            </w:pPr>
            <w:r>
              <w:t>完成本单位行政许可</w:t>
            </w:r>
          </w:p>
        </w:tc>
        <w:tc>
          <w:tcPr>
            <w:tcW w:w="2268" w:type="dxa"/>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用户使用满意度</w:t>
            </w:r>
          </w:p>
        </w:tc>
        <w:tc>
          <w:tcPr>
            <w:tcW w:w="2835" w:type="dxa"/>
            <w:vAlign w:val="center"/>
          </w:tcPr>
          <w:p>
            <w:pPr>
              <w:pStyle w:val="16"/>
            </w:pPr>
            <w:r>
              <w:t>用户使用满意度</w:t>
            </w:r>
          </w:p>
        </w:tc>
        <w:tc>
          <w:tcPr>
            <w:tcW w:w="2551" w:type="dxa"/>
            <w:vAlign w:val="center"/>
          </w:tcPr>
          <w:p>
            <w:pPr>
              <w:pStyle w:val="16"/>
            </w:pPr>
            <w:r>
              <w:t>≥95%</w:t>
            </w:r>
          </w:p>
        </w:tc>
        <w:tc>
          <w:tcPr>
            <w:tcW w:w="2268" w:type="dxa"/>
            <w:vAlign w:val="center"/>
          </w:tcPr>
          <w:p>
            <w:pPr>
              <w:pStyle w:val="16"/>
            </w:pPr>
            <w:r>
              <w:t>冀机编办[2014]128号</w:t>
            </w:r>
          </w:p>
        </w:tc>
      </w:tr>
    </w:tbl>
    <w:p>
      <w:pPr>
        <w:pStyle w:val="28"/>
        <w:sectPr>
          <w:pgSz w:w="16840" w:h="11900" w:orient="landscape"/>
          <w:pgMar w:top="1361" w:right="1020" w:bottom="1361" w:left="1020" w:header="720" w:footer="720" w:gutter="0"/>
          <w:cols w:space="720" w:num="1"/>
        </w:sectPr>
      </w:pPr>
    </w:p>
    <w:p>
      <w:pPr>
        <w:spacing w:before="10" w:after="10"/>
        <w:ind w:firstLine="640" w:firstLineChars="200"/>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bookmarkStart w:id="15" w:name="_Toc_3_3_0000000016"/>
      <w:r>
        <w:rPr>
          <w:rFonts w:ascii="Times New Roman" w:hAnsi="Times New Roman" w:eastAsia="方正仿宋_GBK" w:cs="Times New Roman"/>
          <w:b w:val="0"/>
          <w:color w:val="000000"/>
          <w:sz w:val="28"/>
        </w:rPr>
        <w:t>2022年，中共涞源县委机构编制委员会办公室安排政府采购预算0.00万元。具体内容见下表。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spacing w:before="10" w:after="10"/>
        <w:ind w:firstLine="640"/>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中共涞源县委机构编制委员会办公室（含所属单位）上年末固定资产金额为</w:t>
      </w:r>
      <w:r>
        <w:rPr>
          <w:rFonts w:hint="eastAsia" w:eastAsia="方正仿宋_GBK" w:cs="Times New Roman"/>
          <w:b w:val="0"/>
          <w:color w:val="000000"/>
          <w:sz w:val="28"/>
          <w:lang w:val="en-US" w:eastAsia="zh-CN"/>
        </w:rPr>
        <w:t>17.10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17.10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NjJkZDQ5YzRmZjVkM2Y0OGY5NjJhN2FjZGIyYTU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04306D52"/>
    <w:rsid w:val="066435A2"/>
    <w:rsid w:val="0AC90CBC"/>
    <w:rsid w:val="174C1DDC"/>
    <w:rsid w:val="179A7F39"/>
    <w:rsid w:val="196670C7"/>
    <w:rsid w:val="1A9C1ADD"/>
    <w:rsid w:val="20DD7C60"/>
    <w:rsid w:val="37224362"/>
    <w:rsid w:val="444847D3"/>
    <w:rsid w:val="4BC50A2B"/>
    <w:rsid w:val="4FDA4F02"/>
    <w:rsid w:val="51EF4DC6"/>
    <w:rsid w:val="5362185D"/>
    <w:rsid w:val="54E4789F"/>
    <w:rsid w:val="55392A03"/>
    <w:rsid w:val="5C1D6884"/>
    <w:rsid w:val="5ED75F53"/>
    <w:rsid w:val="67C6615B"/>
    <w:rsid w:val="68DE7E0B"/>
    <w:rsid w:val="75160BD5"/>
    <w:rsid w:val="76A8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autoRedefine/>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2">
    <w:name w:val="单元格样式23"/>
    <w:basedOn w:val="1"/>
    <w:autoRedefine/>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7">
    <w:name w:val="页眉 Char"/>
    <w:basedOn w:val="10"/>
    <w:link w:val="4"/>
    <w:autoRedefine/>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autoRedefine/>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104</Pages>
  <Words>9333</Words>
  <Characters>53200</Characters>
  <Lines>443</Lines>
  <Paragraphs>124</Paragraphs>
  <TotalTime>21</TotalTime>
  <ScaleCrop>false</ScaleCrop>
  <LinksUpToDate>false</LinksUpToDate>
  <CharactersWithSpaces>62409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Administrator</cp:lastModifiedBy>
  <dcterms:modified xsi:type="dcterms:W3CDTF">2024-01-24T05:35:33Z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359EE09C7AAB44F59F54924F6E87AE84_12</vt:lpwstr>
  </property>
</Properties>
</file>