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eastAsia="宋体" w:cs="宋体"/>
        </w:rPr>
      </w:pPr>
      <w:r>
        <w:rPr>
          <w:rFonts w:hint="eastAsia" w:ascii="宋体" w:hAnsi="宋体" w:eastAsia="宋体" w:cs="宋体"/>
          <w:b/>
          <w:color w:val="000000"/>
          <w:sz w:val="44"/>
        </w:rPr>
        <w:t>2022年部门预算信息公开目录</w:t>
      </w:r>
    </w:p>
    <w:p>
      <w:pPr>
        <w:jc w:val="center"/>
        <w:rPr>
          <w:rFonts w:ascii="宋体" w:hAnsi="宋体" w:eastAsia="宋体" w:cs="宋体"/>
        </w:rPr>
      </w:pPr>
      <w:r>
        <w:rPr>
          <w:rFonts w:hint="eastAsia" w:ascii="宋体" w:hAnsi="宋体" w:eastAsia="宋体" w:cs="宋体"/>
          <w:b/>
          <w:color w:val="000000"/>
          <w:sz w:val="30"/>
        </w:rPr>
        <w:t xml:space="preserve"> </w:t>
      </w:r>
    </w:p>
    <w:p>
      <w:pPr>
        <w:rPr>
          <w:rFonts w:ascii="宋体" w:hAnsi="宋体" w:eastAsia="宋体" w:cs="宋体"/>
        </w:rPr>
      </w:pPr>
      <w:r>
        <w:rPr>
          <w:rFonts w:hint="eastAsia" w:ascii="宋体" w:hAnsi="宋体" w:eastAsia="宋体" w:cs="宋体"/>
          <w:b/>
          <w:color w:val="000000"/>
          <w:sz w:val="28"/>
        </w:rPr>
        <w:t>部门预算公开表</w:t>
      </w:r>
    </w:p>
    <w:p>
      <w:pPr>
        <w:pStyle w:val="4"/>
        <w:tabs>
          <w:tab w:val="right" w:leader="dot" w:pos="14562"/>
        </w:tabs>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"2-2" \h \z \u</w:instrText>
      </w:r>
      <w:r>
        <w:rPr>
          <w:rFonts w:hint="eastAsia" w:ascii="宋体" w:hAnsi="宋体" w:eastAsia="宋体" w:cs="宋体"/>
        </w:rPr>
        <w:fldChar w:fldCharType="separate"/>
      </w:r>
      <w:r>
        <w:fldChar w:fldCharType="begin"/>
      </w:r>
      <w:r>
        <w:instrText xml:space="preserve"> HYPERLINK \l "_Toc_2_2_0000000001" </w:instrText>
      </w:r>
      <w:r>
        <w:fldChar w:fldCharType="separate"/>
      </w:r>
      <w:r>
        <w:rPr>
          <w:rFonts w:hint="eastAsia" w:ascii="宋体" w:hAnsi="宋体" w:eastAsia="宋体" w:cs="宋体"/>
        </w:rPr>
        <w:t>部门预算收支总表</w:t>
      </w:r>
      <w:r>
        <w:rPr>
          <w:rFonts w:hint="eastAsia" w:ascii="宋体" w:hAnsi="宋体" w:eastAsia="宋体" w:cs="宋体"/>
        </w:rPr>
        <w:tab/>
      </w:r>
      <w:r>
        <w:rPr>
          <w:rFonts w:hint="eastAsia" w:ascii="宋体" w:hAnsi="宋体" w:eastAsia="宋体" w:cs="宋体"/>
        </w:rPr>
        <w:t>3</w:t>
      </w:r>
      <w:r>
        <w:rPr>
          <w:rFonts w:hint="eastAsia" w:ascii="宋体" w:hAnsi="宋体" w:eastAsia="宋体" w:cs="宋体"/>
        </w:rPr>
        <w:fldChar w:fldCharType="end"/>
      </w:r>
    </w:p>
    <w:p>
      <w:pPr>
        <w:pStyle w:val="4"/>
        <w:tabs>
          <w:tab w:val="right" w:leader="dot" w:pos="14562"/>
        </w:tabs>
        <w:rPr>
          <w:rFonts w:ascii="宋体" w:hAnsi="宋体" w:eastAsia="宋体" w:cs="宋体"/>
        </w:rPr>
      </w:pPr>
      <w:r>
        <w:fldChar w:fldCharType="begin"/>
      </w:r>
      <w:r>
        <w:instrText xml:space="preserve"> HYPERLINK \l "_Toc_2_2_0000000002" </w:instrText>
      </w:r>
      <w:r>
        <w:fldChar w:fldCharType="separate"/>
      </w:r>
      <w:r>
        <w:rPr>
          <w:rFonts w:hint="eastAsia" w:ascii="宋体" w:hAnsi="宋体" w:eastAsia="宋体" w:cs="宋体"/>
        </w:rPr>
        <w:t>部门预算收入总表</w:t>
      </w:r>
      <w:r>
        <w:rPr>
          <w:rFonts w:hint="eastAsia" w:ascii="宋体" w:hAnsi="宋体" w:eastAsia="宋体" w:cs="宋体"/>
        </w:rPr>
        <w:tab/>
      </w:r>
      <w:r>
        <w:rPr>
          <w:rFonts w:hint="eastAsia" w:ascii="宋体" w:hAnsi="宋体" w:eastAsia="宋体" w:cs="宋体"/>
        </w:rPr>
        <w:t>5</w:t>
      </w:r>
      <w:r>
        <w:rPr>
          <w:rFonts w:hint="eastAsia" w:ascii="宋体" w:hAnsi="宋体" w:eastAsia="宋体" w:cs="宋体"/>
        </w:rPr>
        <w:fldChar w:fldCharType="end"/>
      </w:r>
    </w:p>
    <w:p>
      <w:pPr>
        <w:pStyle w:val="4"/>
        <w:tabs>
          <w:tab w:val="right" w:leader="dot" w:pos="14562"/>
        </w:tabs>
        <w:rPr>
          <w:rFonts w:ascii="宋体" w:hAnsi="宋体" w:eastAsia="宋体" w:cs="宋体"/>
        </w:rPr>
      </w:pPr>
      <w:r>
        <w:fldChar w:fldCharType="begin"/>
      </w:r>
      <w:r>
        <w:instrText xml:space="preserve"> HYPERLINK \l "_Toc_2_2_0000000003" </w:instrText>
      </w:r>
      <w:r>
        <w:fldChar w:fldCharType="separate"/>
      </w:r>
      <w:r>
        <w:rPr>
          <w:rFonts w:hint="eastAsia" w:ascii="宋体" w:hAnsi="宋体" w:eastAsia="宋体" w:cs="宋体"/>
        </w:rPr>
        <w:t>部门预算支出总表</w:t>
      </w:r>
      <w:r>
        <w:rPr>
          <w:rFonts w:hint="eastAsia" w:ascii="宋体" w:hAnsi="宋体" w:eastAsia="宋体" w:cs="宋体"/>
        </w:rPr>
        <w:tab/>
      </w:r>
      <w:r>
        <w:rPr>
          <w:rFonts w:hint="eastAsia" w:ascii="宋体" w:hAnsi="宋体" w:eastAsia="宋体" w:cs="宋体"/>
        </w:rPr>
        <w:t>7</w:t>
      </w:r>
      <w:r>
        <w:rPr>
          <w:rFonts w:hint="eastAsia" w:ascii="宋体" w:hAnsi="宋体" w:eastAsia="宋体" w:cs="宋体"/>
        </w:rPr>
        <w:fldChar w:fldCharType="end"/>
      </w:r>
    </w:p>
    <w:p>
      <w:pPr>
        <w:pStyle w:val="4"/>
        <w:tabs>
          <w:tab w:val="right" w:leader="dot" w:pos="14562"/>
        </w:tabs>
        <w:rPr>
          <w:rFonts w:ascii="宋体" w:hAnsi="宋体" w:eastAsia="宋体" w:cs="宋体"/>
        </w:rPr>
      </w:pPr>
      <w:r>
        <w:fldChar w:fldCharType="begin"/>
      </w:r>
      <w:r>
        <w:instrText xml:space="preserve"> HYPERLINK \l "_Toc_2_2_0000000004" </w:instrText>
      </w:r>
      <w:r>
        <w:fldChar w:fldCharType="separate"/>
      </w:r>
      <w:r>
        <w:rPr>
          <w:rFonts w:hint="eastAsia" w:ascii="宋体" w:hAnsi="宋体" w:eastAsia="宋体" w:cs="宋体"/>
        </w:rPr>
        <w:t>部门预算财政拨款收支总表</w:t>
      </w:r>
      <w:r>
        <w:rPr>
          <w:rFonts w:hint="eastAsia" w:ascii="宋体" w:hAnsi="宋体" w:eastAsia="宋体" w:cs="宋体"/>
        </w:rPr>
        <w:tab/>
      </w:r>
      <w:r>
        <w:rPr>
          <w:rFonts w:hint="eastAsia" w:ascii="宋体" w:hAnsi="宋体" w:eastAsia="宋体" w:cs="宋体"/>
        </w:rPr>
        <w:t>8</w:t>
      </w:r>
      <w:r>
        <w:rPr>
          <w:rFonts w:hint="eastAsia" w:ascii="宋体" w:hAnsi="宋体" w:eastAsia="宋体" w:cs="宋体"/>
        </w:rPr>
        <w:fldChar w:fldCharType="end"/>
      </w:r>
    </w:p>
    <w:p>
      <w:pPr>
        <w:pStyle w:val="4"/>
        <w:tabs>
          <w:tab w:val="right" w:leader="dot" w:pos="14562"/>
        </w:tabs>
        <w:rPr>
          <w:rFonts w:ascii="宋体" w:hAnsi="宋体" w:eastAsia="宋体" w:cs="宋体"/>
        </w:rPr>
      </w:pPr>
      <w:r>
        <w:fldChar w:fldCharType="begin"/>
      </w:r>
      <w:r>
        <w:instrText xml:space="preserve"> HYPERLINK \l "_Toc_2_2_0000000005" </w:instrText>
      </w:r>
      <w:r>
        <w:fldChar w:fldCharType="separate"/>
      </w:r>
      <w:r>
        <w:rPr>
          <w:rFonts w:hint="eastAsia" w:ascii="宋体" w:hAnsi="宋体" w:eastAsia="宋体" w:cs="宋体"/>
        </w:rPr>
        <w:t>部门预算一般公共预算财政拨款支出表</w:t>
      </w:r>
      <w:r>
        <w:rPr>
          <w:rFonts w:hint="eastAsia" w:ascii="宋体" w:hAnsi="宋体" w:eastAsia="宋体" w:cs="宋体"/>
        </w:rPr>
        <w:tab/>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0</w:t>
      </w:r>
    </w:p>
    <w:p>
      <w:pPr>
        <w:pStyle w:val="4"/>
        <w:tabs>
          <w:tab w:val="right" w:leader="dot" w:pos="14562"/>
        </w:tabs>
        <w:rPr>
          <w:rFonts w:ascii="宋体" w:hAnsi="宋体" w:eastAsia="宋体" w:cs="宋体"/>
        </w:rPr>
      </w:pPr>
      <w:r>
        <w:fldChar w:fldCharType="begin"/>
      </w:r>
      <w:r>
        <w:instrText xml:space="preserve"> HYPERLINK \l "_Toc_2_2_0000000006" </w:instrText>
      </w:r>
      <w:r>
        <w:fldChar w:fldCharType="separate"/>
      </w:r>
      <w:r>
        <w:rPr>
          <w:rFonts w:hint="eastAsia" w:ascii="宋体" w:hAnsi="宋体" w:eastAsia="宋体" w:cs="宋体"/>
        </w:rPr>
        <w:t>部门预算一般公共预算财政拨款基本支出表</w:t>
      </w:r>
      <w:r>
        <w:rPr>
          <w:rFonts w:hint="eastAsia" w:ascii="宋体" w:hAnsi="宋体" w:eastAsia="宋体" w:cs="宋体"/>
        </w:rPr>
        <w:tab/>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1</w:t>
      </w:r>
    </w:p>
    <w:p>
      <w:pPr>
        <w:pStyle w:val="4"/>
        <w:tabs>
          <w:tab w:val="right" w:leader="dot" w:pos="14562"/>
        </w:tabs>
        <w:rPr>
          <w:rFonts w:ascii="宋体" w:hAnsi="宋体" w:eastAsia="宋体" w:cs="宋体"/>
        </w:rPr>
      </w:pPr>
      <w:r>
        <w:fldChar w:fldCharType="begin"/>
      </w:r>
      <w:r>
        <w:instrText xml:space="preserve"> HYPERLINK \l "_Toc_2_2_0000000007" </w:instrText>
      </w:r>
      <w:r>
        <w:fldChar w:fldCharType="separate"/>
      </w:r>
      <w:r>
        <w:rPr>
          <w:rFonts w:hint="eastAsia" w:ascii="宋体" w:hAnsi="宋体" w:eastAsia="宋体" w:cs="宋体"/>
        </w:rPr>
        <w:t>部门预算政府基金预算财政拨款支出表</w:t>
      </w:r>
      <w:r>
        <w:rPr>
          <w:rFonts w:hint="eastAsia" w:ascii="宋体" w:hAnsi="宋体" w:eastAsia="宋体" w:cs="宋体"/>
        </w:rPr>
        <w:tab/>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3</w:t>
      </w:r>
    </w:p>
    <w:p>
      <w:pPr>
        <w:pStyle w:val="4"/>
        <w:tabs>
          <w:tab w:val="right" w:leader="dot" w:pos="14562"/>
        </w:tabs>
        <w:rPr>
          <w:rFonts w:ascii="宋体" w:hAnsi="宋体" w:eastAsia="宋体" w:cs="宋体"/>
        </w:rPr>
      </w:pPr>
      <w:r>
        <w:fldChar w:fldCharType="begin"/>
      </w:r>
      <w:r>
        <w:instrText xml:space="preserve"> HYPERLINK \l "_Toc_2_2_0000000008" </w:instrText>
      </w:r>
      <w:r>
        <w:fldChar w:fldCharType="separate"/>
      </w:r>
      <w:r>
        <w:rPr>
          <w:rFonts w:hint="eastAsia" w:ascii="宋体" w:hAnsi="宋体" w:eastAsia="宋体" w:cs="宋体"/>
        </w:rPr>
        <w:t>部门预算国有资本经营预算财政拨款支出表</w:t>
      </w:r>
      <w:r>
        <w:rPr>
          <w:rFonts w:hint="eastAsia" w:ascii="宋体" w:hAnsi="宋体" w:eastAsia="宋体" w:cs="宋体"/>
        </w:rPr>
        <w:tab/>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4</w:t>
      </w:r>
    </w:p>
    <w:p>
      <w:pPr>
        <w:pStyle w:val="4"/>
        <w:tabs>
          <w:tab w:val="right" w:leader="dot" w:pos="14562"/>
        </w:tabs>
        <w:rPr>
          <w:rFonts w:ascii="宋体" w:hAnsi="宋体" w:eastAsia="宋体" w:cs="宋体"/>
        </w:rPr>
      </w:pPr>
      <w:r>
        <w:fldChar w:fldCharType="begin"/>
      </w:r>
      <w:r>
        <w:instrText xml:space="preserve"> HYPERLINK \l "_Toc_2_2_0000000009" </w:instrText>
      </w:r>
      <w:r>
        <w:fldChar w:fldCharType="separate"/>
      </w:r>
      <w:r>
        <w:rPr>
          <w:rFonts w:hint="eastAsia" w:ascii="宋体" w:hAnsi="宋体" w:eastAsia="宋体" w:cs="宋体"/>
        </w:rPr>
        <w:t>部门预算财政拨款“三公”经费支出表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_Toc_2_2_0000000009 \h</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t>5</w:t>
      </w:r>
    </w:p>
    <w:p>
      <w:pPr>
        <w:rPr>
          <w:rFonts w:ascii="宋体" w:hAnsi="宋体" w:eastAsia="宋体" w:cs="宋体"/>
        </w:rPr>
      </w:pPr>
      <w:r>
        <w:rPr>
          <w:rFonts w:hint="eastAsia" w:ascii="宋体" w:hAnsi="宋体" w:eastAsia="宋体" w:cs="宋体"/>
        </w:rPr>
        <w:fldChar w:fldCharType="end"/>
      </w:r>
    </w:p>
    <w:p>
      <w:pPr>
        <w:rPr>
          <w:rFonts w:ascii="宋体" w:hAnsi="宋体" w:eastAsia="宋体" w:cs="宋体"/>
        </w:rPr>
      </w:pPr>
      <w:r>
        <w:rPr>
          <w:rFonts w:hint="eastAsia" w:ascii="宋体" w:hAnsi="宋体" w:eastAsia="宋体" w:cs="宋体"/>
          <w:b/>
          <w:color w:val="000000"/>
          <w:sz w:val="28"/>
        </w:rPr>
        <w:t>部门预算信息公开</w:t>
      </w:r>
      <w:bookmarkStart w:id="12" w:name="_GoBack"/>
      <w:bookmarkEnd w:id="12"/>
      <w:r>
        <w:rPr>
          <w:rFonts w:hint="eastAsia" w:ascii="宋体" w:hAnsi="宋体" w:eastAsia="宋体" w:cs="宋体"/>
          <w:b/>
          <w:color w:val="000000"/>
          <w:sz w:val="28"/>
        </w:rPr>
        <w:t>情况说明</w:t>
      </w:r>
    </w:p>
    <w:p>
      <w:pPr>
        <w:pStyle w:val="4"/>
        <w:tabs>
          <w:tab w:val="right" w:leader="dot" w:pos="14562"/>
        </w:tabs>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"3-3" \h \z \u</w:instrText>
      </w:r>
      <w:r>
        <w:rPr>
          <w:rFonts w:hint="eastAsia" w:ascii="宋体" w:hAnsi="宋体" w:eastAsia="宋体" w:cs="宋体"/>
        </w:rPr>
        <w:fldChar w:fldCharType="separate"/>
      </w:r>
      <w:r>
        <w:fldChar w:fldCharType="begin"/>
      </w:r>
      <w:r>
        <w:instrText xml:space="preserve"> HYPERLINK \l "_Toc_3_3_0000000010" </w:instrText>
      </w:r>
      <w:r>
        <w:fldChar w:fldCharType="separate"/>
      </w:r>
      <w:r>
        <w:rPr>
          <w:rFonts w:hint="eastAsia" w:ascii="宋体" w:hAnsi="宋体" w:eastAsia="宋体" w:cs="宋体"/>
        </w:rPr>
        <w:t>一、部门职责及机构设置情况</w:t>
      </w:r>
      <w:r>
        <w:rPr>
          <w:rFonts w:hint="eastAsia" w:ascii="宋体" w:hAnsi="宋体" w:eastAsia="宋体" w:cs="宋体"/>
        </w:rPr>
        <w:tab/>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6</w:t>
      </w:r>
    </w:p>
    <w:p>
      <w:pPr>
        <w:pStyle w:val="4"/>
        <w:tabs>
          <w:tab w:val="right" w:leader="dot" w:pos="14562"/>
        </w:tabs>
        <w:rPr>
          <w:rFonts w:ascii="宋体" w:hAnsi="宋体" w:eastAsia="宋体" w:cs="宋体"/>
        </w:rPr>
      </w:pPr>
      <w:r>
        <w:fldChar w:fldCharType="begin"/>
      </w:r>
      <w:r>
        <w:instrText xml:space="preserve"> HYPERLINK \l "_Toc_3_3_0000000011" </w:instrText>
      </w:r>
      <w:r>
        <w:fldChar w:fldCharType="separate"/>
      </w:r>
      <w:r>
        <w:rPr>
          <w:rFonts w:hint="eastAsia" w:ascii="宋体" w:hAnsi="宋体" w:eastAsia="宋体" w:cs="宋体"/>
        </w:rPr>
        <w:t>二、部门预算安排的总体情况</w:t>
      </w:r>
      <w:r>
        <w:rPr>
          <w:rFonts w:hint="eastAsia" w:ascii="宋体" w:hAnsi="宋体" w:eastAsia="宋体" w:cs="宋体"/>
        </w:rPr>
        <w:tab/>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7</w:t>
      </w:r>
    </w:p>
    <w:p>
      <w:pPr>
        <w:pStyle w:val="4"/>
        <w:tabs>
          <w:tab w:val="right" w:leader="dot" w:pos="14562"/>
        </w:tabs>
        <w:rPr>
          <w:rFonts w:ascii="宋体" w:hAnsi="宋体" w:eastAsia="宋体" w:cs="宋体"/>
        </w:rPr>
      </w:pPr>
      <w:r>
        <w:fldChar w:fldCharType="begin"/>
      </w:r>
      <w:r>
        <w:instrText xml:space="preserve"> HYPERLINK \l "_Toc_3_3_0000000012" </w:instrText>
      </w:r>
      <w:r>
        <w:fldChar w:fldCharType="separate"/>
      </w:r>
      <w:r>
        <w:rPr>
          <w:rFonts w:hint="eastAsia" w:ascii="宋体" w:hAnsi="宋体" w:eastAsia="宋体" w:cs="宋体"/>
        </w:rPr>
        <w:t>三、机关运行经费安排情况</w:t>
      </w:r>
      <w:r>
        <w:rPr>
          <w:rFonts w:hint="eastAsia" w:ascii="宋体" w:hAnsi="宋体" w:eastAsia="宋体" w:cs="宋体"/>
        </w:rPr>
        <w:tab/>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8</w:t>
      </w:r>
    </w:p>
    <w:p>
      <w:pPr>
        <w:pStyle w:val="4"/>
        <w:tabs>
          <w:tab w:val="right" w:leader="dot" w:pos="14562"/>
        </w:tabs>
        <w:rPr>
          <w:rFonts w:ascii="宋体" w:hAnsi="宋体" w:eastAsia="宋体" w:cs="宋体"/>
        </w:rPr>
      </w:pPr>
      <w:r>
        <w:fldChar w:fldCharType="begin"/>
      </w:r>
      <w:r>
        <w:instrText xml:space="preserve"> HYPERLINK \l "_Toc_3_3_0000000013" </w:instrText>
      </w:r>
      <w:r>
        <w:fldChar w:fldCharType="separate"/>
      </w:r>
      <w:r>
        <w:rPr>
          <w:rFonts w:hint="eastAsia" w:ascii="宋体" w:hAnsi="宋体" w:eastAsia="宋体" w:cs="宋体"/>
        </w:rPr>
        <w:t>四、财政拨款“三公”经费预算情况及增减变化原因</w:t>
      </w:r>
      <w:r>
        <w:rPr>
          <w:rFonts w:hint="eastAsia" w:ascii="宋体" w:hAnsi="宋体" w:eastAsia="宋体" w:cs="宋体"/>
        </w:rPr>
        <w:tab/>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8</w:t>
      </w:r>
    </w:p>
    <w:p>
      <w:pPr>
        <w:pStyle w:val="4"/>
        <w:tabs>
          <w:tab w:val="right" w:leader="dot" w:pos="14562"/>
        </w:tabs>
        <w:rPr>
          <w:rFonts w:ascii="宋体" w:hAnsi="宋体" w:eastAsia="宋体" w:cs="宋体"/>
        </w:rPr>
      </w:pPr>
      <w:r>
        <w:fldChar w:fldCharType="begin"/>
      </w:r>
      <w:r>
        <w:instrText xml:space="preserve"> HYPERLINK \l "_Toc_3_3_0000000014" </w:instrText>
      </w:r>
      <w:r>
        <w:fldChar w:fldCharType="separate"/>
      </w:r>
      <w:r>
        <w:rPr>
          <w:rFonts w:hint="eastAsia" w:ascii="宋体" w:hAnsi="宋体" w:eastAsia="宋体" w:cs="宋体"/>
        </w:rPr>
        <w:t>五、预算绩效信息</w:t>
      </w:r>
      <w:r>
        <w:rPr>
          <w:rFonts w:hint="eastAsia" w:ascii="宋体" w:hAnsi="宋体" w:eastAsia="宋体" w:cs="宋体"/>
        </w:rPr>
        <w:tab/>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8</w:t>
      </w:r>
    </w:p>
    <w:p>
      <w:pPr>
        <w:pStyle w:val="4"/>
        <w:tabs>
          <w:tab w:val="right" w:leader="dot" w:pos="14562"/>
        </w:tabs>
        <w:rPr>
          <w:rFonts w:ascii="宋体" w:hAnsi="宋体" w:eastAsia="宋体" w:cs="宋体"/>
        </w:rPr>
      </w:pPr>
      <w:r>
        <w:fldChar w:fldCharType="begin"/>
      </w:r>
      <w:r>
        <w:instrText xml:space="preserve"> HYPERLINK \l "_Toc_3_3_0000000015" </w:instrText>
      </w:r>
      <w:r>
        <w:fldChar w:fldCharType="separate"/>
      </w:r>
      <w:r>
        <w:rPr>
          <w:rFonts w:hint="eastAsia" w:ascii="宋体" w:hAnsi="宋体" w:eastAsia="宋体" w:cs="宋体"/>
        </w:rPr>
        <w:t>六、政府采购预算情况</w:t>
      </w:r>
      <w:r>
        <w:rPr>
          <w:rFonts w:hint="eastAsia" w:ascii="宋体" w:hAnsi="宋体" w:eastAsia="宋体" w:cs="宋体"/>
        </w:rPr>
        <w:tab/>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t>6</w:t>
      </w:r>
    </w:p>
    <w:p>
      <w:pPr>
        <w:pStyle w:val="4"/>
        <w:tabs>
          <w:tab w:val="right" w:leader="dot" w:pos="14562"/>
        </w:tabs>
        <w:rPr>
          <w:rFonts w:ascii="宋体" w:hAnsi="宋体" w:eastAsia="宋体" w:cs="宋体"/>
        </w:rPr>
      </w:pPr>
      <w:r>
        <w:fldChar w:fldCharType="begin"/>
      </w:r>
      <w:r>
        <w:instrText xml:space="preserve"> HYPERLINK \l "_Toc_3_3_0000000016" </w:instrText>
      </w:r>
      <w:r>
        <w:fldChar w:fldCharType="separate"/>
      </w:r>
      <w:r>
        <w:rPr>
          <w:rFonts w:hint="eastAsia" w:ascii="宋体" w:hAnsi="宋体" w:eastAsia="宋体" w:cs="宋体"/>
        </w:rPr>
        <w:t>七、国有资产信息</w:t>
      </w:r>
      <w:r>
        <w:rPr>
          <w:rFonts w:hint="eastAsia" w:ascii="宋体" w:hAnsi="宋体" w:eastAsia="宋体" w:cs="宋体"/>
        </w:rPr>
        <w:tab/>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t>6</w:t>
      </w:r>
    </w:p>
    <w:p>
      <w:pPr>
        <w:pStyle w:val="4"/>
        <w:tabs>
          <w:tab w:val="right" w:leader="dot" w:pos="14562"/>
        </w:tabs>
        <w:rPr>
          <w:rFonts w:ascii="宋体" w:hAnsi="宋体" w:eastAsia="宋体" w:cs="宋体"/>
        </w:rPr>
      </w:pPr>
      <w:r>
        <w:fldChar w:fldCharType="begin"/>
      </w:r>
      <w:r>
        <w:instrText xml:space="preserve"> HYPERLINK \l "_Toc_3_3_0000000017" </w:instrText>
      </w:r>
      <w:r>
        <w:fldChar w:fldCharType="separate"/>
      </w:r>
      <w:r>
        <w:rPr>
          <w:rFonts w:hint="eastAsia" w:ascii="宋体" w:hAnsi="宋体" w:eastAsia="宋体" w:cs="宋体"/>
        </w:rPr>
        <w:t>八、名词解释</w:t>
      </w:r>
      <w:r>
        <w:rPr>
          <w:rFonts w:hint="eastAsia" w:ascii="宋体" w:hAnsi="宋体" w:eastAsia="宋体" w:cs="宋体"/>
        </w:rPr>
        <w:tab/>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t>7</w:t>
      </w:r>
    </w:p>
    <w:p>
      <w:pPr>
        <w:pStyle w:val="4"/>
        <w:tabs>
          <w:tab w:val="right" w:leader="dot" w:pos="14562"/>
        </w:tabs>
        <w:rPr>
          <w:rFonts w:ascii="宋体" w:hAnsi="宋体" w:eastAsia="宋体" w:cs="宋体"/>
        </w:rPr>
      </w:pPr>
      <w:r>
        <w:fldChar w:fldCharType="begin"/>
      </w:r>
      <w:r>
        <w:instrText xml:space="preserve"> HYPERLINK \l "_Toc_3_3_0000000018" </w:instrText>
      </w:r>
      <w:r>
        <w:fldChar w:fldCharType="separate"/>
      </w:r>
      <w:r>
        <w:rPr>
          <w:rFonts w:hint="eastAsia" w:ascii="宋体" w:hAnsi="宋体" w:eastAsia="宋体" w:cs="宋体"/>
        </w:rPr>
        <w:t>九、其他需要说明的事项</w:t>
      </w:r>
      <w:r>
        <w:rPr>
          <w:rFonts w:hint="eastAsia" w:ascii="宋体" w:hAnsi="宋体" w:eastAsia="宋体" w:cs="宋体"/>
        </w:rPr>
        <w:tab/>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t>7</w:t>
      </w:r>
    </w:p>
    <w:p>
      <w:pPr>
        <w:outlineLvl w:val="0"/>
        <w:rPr>
          <w:rFonts w:ascii="宋体" w:hAnsi="宋体" w:eastAsia="宋体" w:cs="宋体"/>
        </w:rPr>
      </w:pPr>
      <w:r>
        <w:rPr>
          <w:rFonts w:hint="eastAsia" w:ascii="宋体" w:hAnsi="宋体" w:eastAsia="宋体" w:cs="宋体"/>
        </w:rPr>
        <w:fldChar w:fldCharType="end"/>
      </w: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tbl>
      <w:tblPr>
        <w:tblStyle w:val="5"/>
        <w:tblW w:w="13940" w:type="dxa"/>
        <w:tblInd w:w="93" w:type="dxa"/>
        <w:tblLayout w:type="autofit"/>
        <w:tblCellMar>
          <w:top w:w="0" w:type="dxa"/>
          <w:left w:w="108" w:type="dxa"/>
          <w:bottom w:w="0" w:type="dxa"/>
          <w:right w:w="108" w:type="dxa"/>
        </w:tblCellMar>
      </w:tblPr>
      <w:tblGrid>
        <w:gridCol w:w="905"/>
        <w:gridCol w:w="4549"/>
        <w:gridCol w:w="1209"/>
        <w:gridCol w:w="4853"/>
        <w:gridCol w:w="2424"/>
      </w:tblGrid>
      <w:tr>
        <w:tblPrEx>
          <w:tblCellMar>
            <w:top w:w="0" w:type="dxa"/>
            <w:left w:w="108" w:type="dxa"/>
            <w:bottom w:w="0" w:type="dxa"/>
            <w:right w:w="108" w:type="dxa"/>
          </w:tblCellMar>
        </w:tblPrEx>
        <w:trPr>
          <w:trHeight w:val="623" w:hRule="atLeast"/>
        </w:trPr>
        <w:tc>
          <w:tcPr>
            <w:tcW w:w="13940" w:type="dxa"/>
            <w:gridSpan w:val="5"/>
            <w:tcBorders>
              <w:top w:val="nil"/>
              <w:left w:val="nil"/>
              <w:bottom w:val="nil"/>
              <w:right w:val="nil"/>
            </w:tcBorders>
            <w:shd w:val="clear" w:color="auto" w:fill="auto"/>
            <w:noWrap/>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b/>
                <w:bCs/>
                <w:color w:val="000000"/>
                <w:kern w:val="0"/>
                <w:sz w:val="36"/>
                <w:szCs w:val="36"/>
              </w:rPr>
              <w:t>部门预算收支总表</w:t>
            </w:r>
          </w:p>
        </w:tc>
      </w:tr>
      <w:tr>
        <w:tblPrEx>
          <w:tblCellMar>
            <w:top w:w="0" w:type="dxa"/>
            <w:left w:w="108" w:type="dxa"/>
            <w:bottom w:w="0" w:type="dxa"/>
            <w:right w:w="108" w:type="dxa"/>
          </w:tblCellMar>
        </w:tblPrEx>
        <w:trPr>
          <w:trHeight w:val="359" w:hRule="atLeast"/>
        </w:trPr>
        <w:tc>
          <w:tcPr>
            <w:tcW w:w="0" w:type="auto"/>
            <w:gridSpan w:val="3"/>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预算单位编码及名称：[287]中国共产党涞源县委员会老干部局</w:t>
            </w:r>
          </w:p>
        </w:tc>
        <w:tc>
          <w:tcPr>
            <w:tcW w:w="0" w:type="auto"/>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预算年度：2022</w:t>
            </w:r>
          </w:p>
        </w:tc>
        <w:tc>
          <w:tcPr>
            <w:tcW w:w="0" w:type="auto"/>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金额单位：万元</w:t>
            </w:r>
          </w:p>
        </w:tc>
      </w:tr>
      <w:tr>
        <w:tblPrEx>
          <w:tblCellMar>
            <w:top w:w="0" w:type="dxa"/>
            <w:left w:w="108" w:type="dxa"/>
            <w:bottom w:w="0" w:type="dxa"/>
            <w:right w:w="108" w:type="dxa"/>
          </w:tblCellMar>
        </w:tblPrEx>
        <w:trPr>
          <w:trHeight w:val="36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支出</w:t>
            </w:r>
          </w:p>
        </w:tc>
      </w:tr>
      <w:tr>
        <w:tblPrEx>
          <w:tblCellMar>
            <w:top w:w="0" w:type="dxa"/>
            <w:left w:w="108" w:type="dxa"/>
            <w:bottom w:w="0" w:type="dxa"/>
            <w:right w:w="108"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预算数</w:t>
            </w:r>
          </w:p>
        </w:tc>
      </w:tr>
      <w:tr>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660.51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16.53</w:t>
            </w: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六、事业单位经营收入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七、上级补助收入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八、附属单位上缴收入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231.26</w:t>
            </w: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九、其他收入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407.20</w:t>
            </w: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5.51</w:t>
            </w: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660.51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660.51</w:t>
            </w: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年终结转结余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660.51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660.51</w:t>
            </w:r>
          </w:p>
        </w:tc>
      </w:tr>
    </w:tbl>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tbl>
      <w:tblPr>
        <w:tblStyle w:val="5"/>
        <w:tblW w:w="13980" w:type="dxa"/>
        <w:tblInd w:w="93" w:type="dxa"/>
        <w:tblLayout w:type="autofit"/>
        <w:tblCellMar>
          <w:top w:w="0" w:type="dxa"/>
          <w:left w:w="108" w:type="dxa"/>
          <w:bottom w:w="0" w:type="dxa"/>
          <w:right w:w="108" w:type="dxa"/>
        </w:tblCellMar>
      </w:tblPr>
      <w:tblGrid>
        <w:gridCol w:w="656"/>
        <w:gridCol w:w="997"/>
        <w:gridCol w:w="3736"/>
        <w:gridCol w:w="963"/>
        <w:gridCol w:w="1167"/>
        <w:gridCol w:w="1182"/>
        <w:gridCol w:w="821"/>
        <w:gridCol w:w="642"/>
        <w:gridCol w:w="717"/>
        <w:gridCol w:w="862"/>
        <w:gridCol w:w="754"/>
        <w:gridCol w:w="739"/>
        <w:gridCol w:w="877"/>
      </w:tblGrid>
      <w:tr>
        <w:tblPrEx>
          <w:tblCellMar>
            <w:top w:w="0" w:type="dxa"/>
            <w:left w:w="108" w:type="dxa"/>
            <w:bottom w:w="0" w:type="dxa"/>
            <w:right w:w="108" w:type="dxa"/>
          </w:tblCellMar>
        </w:tblPrEx>
        <w:trPr>
          <w:trHeight w:val="90" w:hRule="atLeast"/>
        </w:trPr>
        <w:tc>
          <w:tcPr>
            <w:tcW w:w="13980" w:type="dxa"/>
            <w:gridSpan w:val="13"/>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6"/>
                <w:szCs w:val="36"/>
              </w:rPr>
              <w:t>部门预算收入总表</w:t>
            </w:r>
          </w:p>
        </w:tc>
      </w:tr>
      <w:tr>
        <w:tblPrEx>
          <w:tblCellMar>
            <w:top w:w="0" w:type="dxa"/>
            <w:left w:w="108" w:type="dxa"/>
            <w:bottom w:w="0" w:type="dxa"/>
            <w:right w:w="108" w:type="dxa"/>
          </w:tblCellMar>
        </w:tblPrEx>
        <w:trPr>
          <w:trHeight w:val="353" w:hRule="atLeast"/>
        </w:trPr>
        <w:tc>
          <w:tcPr>
            <w:tcW w:w="0" w:type="auto"/>
            <w:gridSpan w:val="9"/>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预算单位编码及名称：[287]中国共产党涞源县委员会老干部局</w:t>
            </w:r>
          </w:p>
        </w:tc>
        <w:tc>
          <w:tcPr>
            <w:tcW w:w="0" w:type="auto"/>
            <w:gridSpan w:val="2"/>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预算年度：2022</w:t>
            </w:r>
          </w:p>
        </w:tc>
        <w:tc>
          <w:tcPr>
            <w:tcW w:w="0" w:type="auto"/>
            <w:gridSpan w:val="2"/>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716" w:hRule="atLeast"/>
        </w:trPr>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4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功能分类科目</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68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本年收入</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上年结转</w:t>
            </w:r>
          </w:p>
        </w:tc>
      </w:tr>
      <w:tr>
        <w:tblPrEx>
          <w:tblCellMar>
            <w:top w:w="0" w:type="dxa"/>
            <w:left w:w="108" w:type="dxa"/>
            <w:bottom w:w="0" w:type="dxa"/>
            <w:right w:w="108" w:type="dxa"/>
          </w:tblCellMar>
        </w:tblPrEx>
        <w:trPr>
          <w:trHeight w:val="1233"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科目编码</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小计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财政拨款收入</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财政专户收入</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事业收入</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经营收入</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上级补助收入</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附属单位上缴收入</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其他收入</w:t>
            </w: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r>
      <w:tr>
        <w:tblPrEx>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660.51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660.51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660.51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20132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2013201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231.26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231.26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231.26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231.26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231.26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231.26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2080503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离退休人员管理机构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178.27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178.27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178.27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407.20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407.20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407.20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其他卫生健康支出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2109999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其他卫生健康支出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bl>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Pr>
        <w:outlineLvl w:val="0"/>
        <w:rPr>
          <w:rFonts w:ascii="宋体" w:hAnsi="宋体" w:eastAsia="宋体" w:cs="宋体"/>
        </w:rPr>
      </w:pPr>
    </w:p>
    <w:p/>
    <w:p/>
    <w:p/>
    <w:p/>
    <w:p/>
    <w:p/>
    <w:p/>
    <w:p/>
    <w:p/>
    <w:p/>
    <w:p/>
    <w:p/>
    <w:p/>
    <w:p/>
    <w:p/>
    <w:p/>
    <w:p/>
    <w:p/>
    <w:p/>
    <w:p/>
    <w:p/>
    <w:p/>
    <w:p/>
    <w:p/>
    <w:p/>
    <w:tbl>
      <w:tblPr>
        <w:tblStyle w:val="5"/>
        <w:tblW w:w="13940" w:type="dxa"/>
        <w:tblInd w:w="93" w:type="dxa"/>
        <w:tblLayout w:type="autofit"/>
        <w:tblCellMar>
          <w:top w:w="0" w:type="dxa"/>
          <w:left w:w="108" w:type="dxa"/>
          <w:bottom w:w="0" w:type="dxa"/>
          <w:right w:w="108" w:type="dxa"/>
        </w:tblCellMar>
      </w:tblPr>
      <w:tblGrid>
        <w:gridCol w:w="656"/>
        <w:gridCol w:w="1096"/>
        <w:gridCol w:w="3736"/>
        <w:gridCol w:w="1536"/>
        <w:gridCol w:w="1096"/>
        <w:gridCol w:w="1096"/>
        <w:gridCol w:w="1096"/>
        <w:gridCol w:w="1756"/>
        <w:gridCol w:w="2196"/>
      </w:tblGrid>
      <w:tr>
        <w:tblPrEx>
          <w:tblCellMar>
            <w:top w:w="0" w:type="dxa"/>
            <w:left w:w="108" w:type="dxa"/>
            <w:bottom w:w="0" w:type="dxa"/>
            <w:right w:w="108" w:type="dxa"/>
          </w:tblCellMar>
        </w:tblPrEx>
        <w:trPr>
          <w:trHeight w:val="621" w:hRule="atLeast"/>
        </w:trPr>
        <w:tc>
          <w:tcPr>
            <w:tcW w:w="13940" w:type="dxa"/>
            <w:gridSpan w:val="9"/>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6"/>
                <w:szCs w:val="36"/>
              </w:rPr>
              <w:t>部门预算支出总表</w:t>
            </w:r>
          </w:p>
        </w:tc>
      </w:tr>
      <w:tr>
        <w:tblPrEx>
          <w:tblCellMar>
            <w:top w:w="0" w:type="dxa"/>
            <w:left w:w="108" w:type="dxa"/>
            <w:bottom w:w="0" w:type="dxa"/>
            <w:right w:w="108" w:type="dxa"/>
          </w:tblCellMar>
        </w:tblPrEx>
        <w:trPr>
          <w:trHeight w:val="358" w:hRule="atLeast"/>
        </w:trPr>
        <w:tc>
          <w:tcPr>
            <w:tcW w:w="0" w:type="auto"/>
            <w:gridSpan w:val="7"/>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预算单位编码及名称：[287]中国共产党涞源县委员会老干部局</w:t>
            </w:r>
          </w:p>
        </w:tc>
        <w:tc>
          <w:tcPr>
            <w:tcW w:w="0" w:type="auto"/>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预算年度：2022</w:t>
            </w:r>
          </w:p>
        </w:tc>
        <w:tc>
          <w:tcPr>
            <w:tcW w:w="0" w:type="auto"/>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金额单位：万元</w:t>
            </w:r>
          </w:p>
        </w:tc>
      </w:tr>
      <w:tr>
        <w:tblPrEx>
          <w:tblCellMar>
            <w:top w:w="0" w:type="dxa"/>
            <w:left w:w="108" w:type="dxa"/>
            <w:bottom w:w="0" w:type="dxa"/>
            <w:right w:w="108" w:type="dxa"/>
          </w:tblCellMar>
        </w:tblPrEx>
        <w:trPr>
          <w:trHeight w:val="36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经营支出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上缴上级支出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对附属单位补助支出</w:t>
            </w:r>
          </w:p>
        </w:tc>
      </w:tr>
      <w:tr>
        <w:tblPrEx>
          <w:tblCellMar>
            <w:top w:w="0" w:type="dxa"/>
            <w:left w:w="108" w:type="dxa"/>
            <w:bottom w:w="0" w:type="dxa"/>
            <w:right w:w="108" w:type="dxa"/>
          </w:tblCellMar>
        </w:tblPrEx>
        <w:trPr>
          <w:trHeight w:val="36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r>
      <w:tr>
        <w:tblPrEx>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660.51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627.49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33.02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20132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2013201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231.26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205.44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25.82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231.26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205.44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25.82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2080503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离退休人员管理机构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178.27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152.45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25.82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407.20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其他卫生健康支出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2109999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其他卫生健康支出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bl>
    <w:p/>
    <w:p/>
    <w:p/>
    <w:p/>
    <w:p/>
    <w:p/>
    <w:tbl>
      <w:tblPr>
        <w:tblStyle w:val="5"/>
        <w:tblW w:w="13920" w:type="dxa"/>
        <w:tblInd w:w="93" w:type="dxa"/>
        <w:tblLayout w:type="autofit"/>
        <w:tblCellMar>
          <w:top w:w="0" w:type="dxa"/>
          <w:left w:w="108" w:type="dxa"/>
          <w:bottom w:w="0" w:type="dxa"/>
          <w:right w:w="108" w:type="dxa"/>
        </w:tblCellMar>
      </w:tblPr>
      <w:tblGrid>
        <w:gridCol w:w="820"/>
        <w:gridCol w:w="2856"/>
        <w:gridCol w:w="834"/>
        <w:gridCol w:w="3547"/>
        <w:gridCol w:w="919"/>
        <w:gridCol w:w="1572"/>
        <w:gridCol w:w="1616"/>
        <w:gridCol w:w="1756"/>
      </w:tblGrid>
      <w:tr>
        <w:tblPrEx>
          <w:tblCellMar>
            <w:top w:w="0" w:type="dxa"/>
            <w:left w:w="108" w:type="dxa"/>
            <w:bottom w:w="0" w:type="dxa"/>
            <w:right w:w="108" w:type="dxa"/>
          </w:tblCellMar>
        </w:tblPrEx>
        <w:trPr>
          <w:trHeight w:val="360" w:hRule="atLeast"/>
        </w:trPr>
        <w:tc>
          <w:tcPr>
            <w:tcW w:w="13920" w:type="dxa"/>
            <w:gridSpan w:val="8"/>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6"/>
                <w:szCs w:val="36"/>
              </w:rPr>
              <w:t>部门预算财政拨款收支总表</w:t>
            </w:r>
          </w:p>
        </w:tc>
      </w:tr>
      <w:tr>
        <w:tblPrEx>
          <w:tblCellMar>
            <w:top w:w="0" w:type="dxa"/>
            <w:left w:w="108" w:type="dxa"/>
            <w:bottom w:w="0" w:type="dxa"/>
            <w:right w:w="108" w:type="dxa"/>
          </w:tblCellMar>
        </w:tblPrEx>
        <w:trPr>
          <w:trHeight w:val="360" w:hRule="atLeast"/>
        </w:trPr>
        <w:tc>
          <w:tcPr>
            <w:tcW w:w="0" w:type="auto"/>
            <w:gridSpan w:val="6"/>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预算单位编码及名称：[287]中国共产党涞源县委员会老干部局</w:t>
            </w:r>
          </w:p>
        </w:tc>
        <w:tc>
          <w:tcPr>
            <w:tcW w:w="0" w:type="auto"/>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预算年度：2022</w:t>
            </w:r>
          </w:p>
        </w:tc>
        <w:tc>
          <w:tcPr>
            <w:tcW w:w="0" w:type="auto"/>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金额单位：万元</w:t>
            </w:r>
          </w:p>
        </w:tc>
      </w:tr>
      <w:tr>
        <w:tblPrEx>
          <w:tblCellMar>
            <w:top w:w="0" w:type="dxa"/>
            <w:left w:w="108" w:type="dxa"/>
            <w:bottom w:w="0" w:type="dxa"/>
            <w:right w:w="108" w:type="dxa"/>
          </w:tblCellMar>
        </w:tblPrEx>
        <w:trPr>
          <w:trHeight w:val="360"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3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收入</w:t>
            </w:r>
          </w:p>
        </w:tc>
        <w:tc>
          <w:tcPr>
            <w:tcW w:w="94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支出</w:t>
            </w:r>
          </w:p>
        </w:tc>
      </w:tr>
      <w:tr>
        <w:tblPrEx>
          <w:tblCellMar>
            <w:top w:w="0" w:type="dxa"/>
            <w:left w:w="108" w:type="dxa"/>
            <w:bottom w:w="0" w:type="dxa"/>
            <w:right w:w="108" w:type="dxa"/>
          </w:tblCellMar>
        </w:tblPrEx>
        <w:trPr>
          <w:trHeight w:val="104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一般公共预算财政拨款</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政府性基金预算财政拨款</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国有资本经营预算财政拨款</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660.51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231.26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231.26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407.20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407.20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660.51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660.51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660.51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660.51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660.51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660.51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bl>
    <w:p/>
    <w:p/>
    <w:p/>
    <w:p/>
    <w:p/>
    <w:p/>
    <w:p/>
    <w:p/>
    <w:p/>
    <w:p/>
    <w:tbl>
      <w:tblPr>
        <w:tblStyle w:val="5"/>
        <w:tblW w:w="13960" w:type="dxa"/>
        <w:tblInd w:w="93" w:type="dxa"/>
        <w:tblLayout w:type="autofit"/>
        <w:tblCellMar>
          <w:top w:w="0" w:type="dxa"/>
          <w:left w:w="108" w:type="dxa"/>
          <w:bottom w:w="0" w:type="dxa"/>
          <w:right w:w="108" w:type="dxa"/>
        </w:tblCellMar>
      </w:tblPr>
      <w:tblGrid>
        <w:gridCol w:w="779"/>
        <w:gridCol w:w="1301"/>
        <w:gridCol w:w="4436"/>
        <w:gridCol w:w="986"/>
        <w:gridCol w:w="986"/>
        <w:gridCol w:w="1301"/>
        <w:gridCol w:w="2085"/>
        <w:gridCol w:w="2086"/>
      </w:tblGrid>
      <w:tr>
        <w:tblPrEx>
          <w:tblCellMar>
            <w:top w:w="0" w:type="dxa"/>
            <w:left w:w="108" w:type="dxa"/>
            <w:bottom w:w="0" w:type="dxa"/>
            <w:right w:w="108" w:type="dxa"/>
          </w:tblCellMar>
        </w:tblPrEx>
        <w:trPr>
          <w:trHeight w:val="360" w:hRule="atLeast"/>
        </w:trPr>
        <w:tc>
          <w:tcPr>
            <w:tcW w:w="13960" w:type="dxa"/>
            <w:gridSpan w:val="8"/>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2"/>
                <w:szCs w:val="32"/>
              </w:rPr>
              <w:t>部门预算一般公共预算财政拨款支出表</w:t>
            </w:r>
          </w:p>
        </w:tc>
      </w:tr>
      <w:tr>
        <w:tblPrEx>
          <w:tblCellMar>
            <w:top w:w="0" w:type="dxa"/>
            <w:left w:w="108" w:type="dxa"/>
            <w:bottom w:w="0" w:type="dxa"/>
            <w:right w:w="108" w:type="dxa"/>
          </w:tblCellMar>
        </w:tblPrEx>
        <w:trPr>
          <w:trHeight w:val="360" w:hRule="atLeast"/>
        </w:trPr>
        <w:tc>
          <w:tcPr>
            <w:tcW w:w="0" w:type="auto"/>
            <w:gridSpan w:val="6"/>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预算单位编码及名称：[287]中国共产党涞源县委员会老干部局</w:t>
            </w:r>
          </w:p>
        </w:tc>
        <w:tc>
          <w:tcPr>
            <w:tcW w:w="0" w:type="auto"/>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预算年度：2022</w:t>
            </w:r>
          </w:p>
        </w:tc>
        <w:tc>
          <w:tcPr>
            <w:tcW w:w="0" w:type="auto"/>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金额单位：万元</w:t>
            </w:r>
          </w:p>
        </w:tc>
      </w:tr>
      <w:tr>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公用经费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660.51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627.49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576.03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33.02</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20132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2013201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231.26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205.44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170.51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34.93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25.82</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231.26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205.44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170.51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34.93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25.82</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2080503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离退休人员管理机构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178.27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152.45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117.52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34.93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25.82</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407.20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7.20</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其他卫生健康支出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7.20</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2109999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其他卫生健康支出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7.20</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bl>
    <w:p/>
    <w:p/>
    <w:p/>
    <w:p/>
    <w:tbl>
      <w:tblPr>
        <w:tblStyle w:val="5"/>
        <w:tblW w:w="14020" w:type="dxa"/>
        <w:tblInd w:w="93" w:type="dxa"/>
        <w:tblLayout w:type="autofit"/>
        <w:tblCellMar>
          <w:top w:w="0" w:type="dxa"/>
          <w:left w:w="108" w:type="dxa"/>
          <w:bottom w:w="0" w:type="dxa"/>
          <w:right w:w="108" w:type="dxa"/>
        </w:tblCellMar>
      </w:tblPr>
      <w:tblGrid>
        <w:gridCol w:w="979"/>
        <w:gridCol w:w="1636"/>
        <w:gridCol w:w="4921"/>
        <w:gridCol w:w="1239"/>
        <w:gridCol w:w="2622"/>
        <w:gridCol w:w="2623"/>
      </w:tblGrid>
      <w:tr>
        <w:tblPrEx>
          <w:tblCellMar>
            <w:top w:w="0" w:type="dxa"/>
            <w:left w:w="108" w:type="dxa"/>
            <w:bottom w:w="0" w:type="dxa"/>
            <w:right w:w="108" w:type="dxa"/>
          </w:tblCellMar>
        </w:tblPrEx>
        <w:trPr>
          <w:trHeight w:val="695" w:hRule="atLeast"/>
        </w:trPr>
        <w:tc>
          <w:tcPr>
            <w:tcW w:w="14020" w:type="dxa"/>
            <w:gridSpan w:val="6"/>
            <w:tcBorders>
              <w:top w:val="nil"/>
              <w:left w:val="nil"/>
              <w:bottom w:val="nil"/>
              <w:right w:val="nil"/>
            </w:tcBorders>
            <w:shd w:val="clear" w:color="auto" w:fill="auto"/>
            <w:noWrap/>
            <w:vAlign w:val="center"/>
          </w:tcPr>
          <w:p>
            <w:pPr>
              <w:widowControl/>
              <w:ind w:firstLine="3534" w:firstLineChars="1100"/>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2"/>
                <w:szCs w:val="32"/>
              </w:rPr>
              <w:t>部门预算一般公共预算财政拨款基本支出表</w:t>
            </w:r>
          </w:p>
        </w:tc>
      </w:tr>
      <w:tr>
        <w:tblPrEx>
          <w:tblCellMar>
            <w:top w:w="0" w:type="dxa"/>
            <w:left w:w="108" w:type="dxa"/>
            <w:bottom w:w="0" w:type="dxa"/>
            <w:right w:w="108" w:type="dxa"/>
          </w:tblCellMar>
        </w:tblPrEx>
        <w:trPr>
          <w:trHeight w:val="363" w:hRule="atLeast"/>
        </w:trPr>
        <w:tc>
          <w:tcPr>
            <w:tcW w:w="0" w:type="auto"/>
            <w:gridSpan w:val="4"/>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预算单位编码及名称：[287]中国共产党涞源县委员会老干部局</w:t>
            </w:r>
          </w:p>
        </w:tc>
        <w:tc>
          <w:tcPr>
            <w:tcW w:w="0" w:type="auto"/>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预算年度：2022</w:t>
            </w:r>
          </w:p>
        </w:tc>
        <w:tc>
          <w:tcPr>
            <w:tcW w:w="0" w:type="auto"/>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金额单位：万元</w:t>
            </w:r>
          </w:p>
        </w:tc>
      </w:tr>
      <w:tr>
        <w:tblPrEx>
          <w:tblCellMar>
            <w:top w:w="0" w:type="dxa"/>
            <w:left w:w="108" w:type="dxa"/>
            <w:bottom w:w="0" w:type="dxa"/>
            <w:right w:w="108" w:type="dxa"/>
          </w:tblCellMar>
        </w:tblPrEx>
        <w:trPr>
          <w:trHeight w:val="37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支出部门经济分类科目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一般公共预算基本支出</w:t>
            </w:r>
          </w:p>
        </w:tc>
      </w:tr>
      <w:tr>
        <w:tblPrEx>
          <w:tblCellMar>
            <w:top w:w="0" w:type="dxa"/>
            <w:left w:w="108" w:type="dxa"/>
            <w:bottom w:w="0" w:type="dxa"/>
            <w:right w:w="108" w:type="dxa"/>
          </w:tblCellMar>
        </w:tblPrEx>
        <w:trPr>
          <w:trHeight w:val="37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公用经费</w:t>
            </w:r>
          </w:p>
        </w:tc>
      </w:tr>
      <w:tr>
        <w:tblPrEx>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r>
      <w:tr>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627.49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576.03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51.46</w:t>
            </w:r>
          </w:p>
        </w:tc>
      </w:tr>
      <w:tr>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519.84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519.84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46.06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46.06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33.43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33.43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城镇职工基本医疗保险缴费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63.55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51.46</w:t>
            </w:r>
          </w:p>
        </w:tc>
      </w:tr>
      <w:tr>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37.99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37.99</w:t>
            </w:r>
          </w:p>
        </w:tc>
      </w:tr>
      <w:tr>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0.61</w:t>
            </w:r>
          </w:p>
        </w:tc>
      </w:tr>
      <w:tr>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1.20</w:t>
            </w:r>
          </w:p>
        </w:tc>
      </w:tr>
      <w:tr>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1.26</w:t>
            </w:r>
          </w:p>
        </w:tc>
      </w:tr>
      <w:tr>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1.00</w:t>
            </w:r>
          </w:p>
        </w:tc>
      </w:tr>
      <w:tr>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2.40</w:t>
            </w:r>
          </w:p>
        </w:tc>
      </w:tr>
      <w:tr>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6.51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6.51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7.00</w:t>
            </w:r>
          </w:p>
        </w:tc>
      </w:tr>
      <w:tr>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44.10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44.10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35.06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35.06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szCs w:val="22"/>
              </w:rPr>
            </w:pPr>
            <w:r>
              <w:rPr>
                <w:rFonts w:ascii="Calibri" w:hAnsi="Calibri" w:eastAsia="宋体" w:cs="Calibri"/>
                <w:color w:val="000000"/>
                <w:kern w:val="0"/>
                <w:sz w:val="22"/>
                <w:szCs w:val="22"/>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szCs w:val="22"/>
              </w:rPr>
            </w:pPr>
            <w:r>
              <w:rPr>
                <w:rFonts w:ascii="Calibri" w:hAnsi="Calibri" w:eastAsia="宋体" w:cs="Calibri"/>
                <w:color w:val="000000"/>
                <w:kern w:val="0"/>
                <w:sz w:val="22"/>
                <w:szCs w:val="22"/>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szCs w:val="22"/>
              </w:rPr>
            </w:pPr>
            <w:r>
              <w:rPr>
                <w:rFonts w:ascii="Calibri" w:hAnsi="Calibri" w:eastAsia="宋体" w:cs="Calibri"/>
                <w:color w:val="000000"/>
                <w:kern w:val="0"/>
                <w:sz w:val="22"/>
                <w:szCs w:val="22"/>
              </w:rPr>
              <w:t>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bl>
    <w:p/>
    <w:p/>
    <w:p/>
    <w:p/>
    <w:p/>
    <w:p/>
    <w:p/>
    <w:p/>
    <w:p/>
    <w:p/>
    <w:p/>
    <w:p/>
    <w:p/>
    <w:p/>
    <w:p/>
    <w:p/>
    <w:p/>
    <w:p/>
    <w:p/>
    <w:p/>
    <w:p/>
    <w:p/>
    <w:p/>
    <w:p/>
    <w:p/>
    <w:p/>
    <w:p/>
    <w:tbl>
      <w:tblPr>
        <w:tblStyle w:val="5"/>
        <w:tblW w:w="13960" w:type="dxa"/>
        <w:tblInd w:w="93" w:type="dxa"/>
        <w:tblLayout w:type="autofit"/>
        <w:tblCellMar>
          <w:top w:w="0" w:type="dxa"/>
          <w:left w:w="108" w:type="dxa"/>
          <w:bottom w:w="0" w:type="dxa"/>
          <w:right w:w="108" w:type="dxa"/>
        </w:tblCellMar>
      </w:tblPr>
      <w:tblGrid>
        <w:gridCol w:w="5878"/>
        <w:gridCol w:w="1393"/>
        <w:gridCol w:w="1393"/>
        <w:gridCol w:w="834"/>
        <w:gridCol w:w="2231"/>
        <w:gridCol w:w="2231"/>
      </w:tblGrid>
      <w:tr>
        <w:tblPrEx>
          <w:tblCellMar>
            <w:top w:w="0" w:type="dxa"/>
            <w:left w:w="108" w:type="dxa"/>
            <w:bottom w:w="0" w:type="dxa"/>
            <w:right w:w="108" w:type="dxa"/>
          </w:tblCellMar>
        </w:tblPrEx>
        <w:trPr>
          <w:trHeight w:val="360" w:hRule="atLeast"/>
        </w:trPr>
        <w:tc>
          <w:tcPr>
            <w:tcW w:w="13960" w:type="dxa"/>
            <w:gridSpan w:val="6"/>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2"/>
                <w:szCs w:val="32"/>
              </w:rPr>
              <w:t>部门预算政府基金预算财政拨款支出表</w:t>
            </w:r>
          </w:p>
        </w:tc>
      </w:tr>
      <w:tr>
        <w:tblPrEx>
          <w:tblCellMar>
            <w:top w:w="0" w:type="dxa"/>
            <w:left w:w="108" w:type="dxa"/>
            <w:bottom w:w="0" w:type="dxa"/>
            <w:right w:w="108" w:type="dxa"/>
          </w:tblCellMar>
        </w:tblPrEx>
        <w:trPr>
          <w:trHeight w:val="360" w:hRule="atLeast"/>
        </w:trPr>
        <w:tc>
          <w:tcPr>
            <w:tcW w:w="0" w:type="auto"/>
            <w:gridSpan w:val="4"/>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预算单位编码及名称：[287]中国共产党涞源县委员会老干部局</w:t>
            </w:r>
          </w:p>
        </w:tc>
        <w:tc>
          <w:tcPr>
            <w:tcW w:w="0" w:type="auto"/>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预算年度：2022</w:t>
            </w:r>
          </w:p>
        </w:tc>
        <w:tc>
          <w:tcPr>
            <w:tcW w:w="0" w:type="auto"/>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金额单位：万元</w:t>
            </w:r>
          </w:p>
        </w:tc>
      </w:tr>
      <w:tr>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tcPr>
          <w:p>
            <w:pPr>
              <w:rPr>
                <w:rFonts w:ascii="Calibri" w:hAnsi="Calibri" w:eastAsia="宋体" w:cs="Calibri"/>
                <w:color w:val="000000"/>
                <w:sz w:val="22"/>
                <w:szCs w:val="22"/>
              </w:rPr>
            </w:pPr>
            <w:r>
              <w:rPr>
                <w:rFonts w:ascii="方正书宋_GBK" w:hAnsi="方正书宋_GBK" w:eastAsia="方正书宋_GBK" w:cs="方正书宋_GBK"/>
                <w:color w:val="000000"/>
                <w:kern w:val="0"/>
                <w:szCs w:val="21"/>
              </w:rPr>
              <w:t>注：无政府基金预算财政拨款预算，空表列示。</w:t>
            </w:r>
          </w:p>
        </w:tc>
        <w:tc>
          <w:tcPr>
            <w:tcW w:w="0" w:type="auto"/>
            <w:tcBorders>
              <w:top w:val="nil"/>
              <w:left w:val="nil"/>
              <w:bottom w:val="nil"/>
              <w:right w:val="nil"/>
            </w:tcBorders>
            <w:shd w:val="clear" w:color="auto" w:fill="auto"/>
            <w:noWrap/>
          </w:tcPr>
          <w:p>
            <w:pPr>
              <w:jc w:val="left"/>
              <w:rPr>
                <w:rFonts w:ascii="Calibri" w:hAnsi="Calibri" w:eastAsia="宋体" w:cs="Calibri"/>
                <w:color w:val="000000"/>
                <w:sz w:val="22"/>
                <w:szCs w:val="22"/>
              </w:rPr>
            </w:pPr>
          </w:p>
        </w:tc>
        <w:tc>
          <w:tcPr>
            <w:tcW w:w="0" w:type="auto"/>
            <w:tcBorders>
              <w:top w:val="nil"/>
              <w:left w:val="nil"/>
              <w:bottom w:val="nil"/>
              <w:right w:val="nil"/>
            </w:tcBorders>
            <w:shd w:val="clear" w:color="auto" w:fill="auto"/>
            <w:noWrap/>
          </w:tcPr>
          <w:p>
            <w:pPr>
              <w:jc w:val="left"/>
              <w:rPr>
                <w:rFonts w:ascii="Calibri" w:hAnsi="Calibri" w:eastAsia="宋体" w:cs="Calibri"/>
                <w:color w:val="000000"/>
                <w:sz w:val="22"/>
                <w:szCs w:val="22"/>
              </w:rPr>
            </w:pPr>
          </w:p>
        </w:tc>
        <w:tc>
          <w:tcPr>
            <w:tcW w:w="0" w:type="auto"/>
            <w:tcBorders>
              <w:top w:val="nil"/>
              <w:left w:val="nil"/>
              <w:bottom w:val="nil"/>
              <w:right w:val="nil"/>
            </w:tcBorders>
            <w:shd w:val="clear" w:color="auto" w:fill="auto"/>
            <w:noWrap/>
          </w:tcPr>
          <w:p>
            <w:pPr>
              <w:jc w:val="right"/>
              <w:rPr>
                <w:rFonts w:ascii="Calibri" w:hAnsi="Calibri" w:eastAsia="宋体" w:cs="Calibri"/>
                <w:color w:val="000000"/>
                <w:sz w:val="22"/>
                <w:szCs w:val="22"/>
              </w:rPr>
            </w:pPr>
          </w:p>
        </w:tc>
        <w:tc>
          <w:tcPr>
            <w:tcW w:w="0" w:type="auto"/>
            <w:tcBorders>
              <w:top w:val="nil"/>
              <w:left w:val="nil"/>
              <w:bottom w:val="nil"/>
              <w:right w:val="nil"/>
            </w:tcBorders>
            <w:shd w:val="clear" w:color="auto" w:fill="auto"/>
            <w:noWrap/>
          </w:tcPr>
          <w:p>
            <w:pPr>
              <w:jc w:val="right"/>
              <w:rPr>
                <w:rFonts w:ascii="Calibri" w:hAnsi="Calibri" w:eastAsia="宋体" w:cs="Calibri"/>
                <w:color w:val="000000"/>
                <w:sz w:val="22"/>
                <w:szCs w:val="22"/>
              </w:rPr>
            </w:pPr>
          </w:p>
        </w:tc>
        <w:tc>
          <w:tcPr>
            <w:tcW w:w="0" w:type="auto"/>
            <w:tcBorders>
              <w:top w:val="nil"/>
              <w:left w:val="nil"/>
              <w:bottom w:val="nil"/>
              <w:right w:val="nil"/>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widowControl/>
              <w:jc w:val="left"/>
              <w:textAlignment w:val="center"/>
              <w:rPr>
                <w:rFonts w:ascii="方正书宋_GBK" w:hAnsi="方正书宋_GBK" w:eastAsia="方正书宋_GBK" w:cs="方正书宋_GBK"/>
                <w:color w:val="000000"/>
                <w:szCs w:val="21"/>
              </w:rPr>
            </w:pPr>
          </w:p>
        </w:tc>
        <w:tc>
          <w:tcPr>
            <w:tcW w:w="0" w:type="auto"/>
            <w:tcBorders>
              <w:top w:val="nil"/>
              <w:left w:val="nil"/>
              <w:bottom w:val="nil"/>
              <w:right w:val="nil"/>
            </w:tcBorders>
            <w:shd w:val="clear" w:color="auto" w:fill="auto"/>
            <w:noWrap/>
            <w:vAlign w:val="center"/>
          </w:tcPr>
          <w:p>
            <w:pPr>
              <w:jc w:val="left"/>
              <w:rPr>
                <w:rFonts w:ascii="方正书宋_GBK" w:hAnsi="方正书宋_GBK" w:eastAsia="方正书宋_GBK" w:cs="方正书宋_GBK"/>
                <w:color w:val="000000"/>
                <w:szCs w:val="21"/>
              </w:rPr>
            </w:pPr>
          </w:p>
        </w:tc>
        <w:tc>
          <w:tcPr>
            <w:tcW w:w="0" w:type="auto"/>
            <w:tcBorders>
              <w:top w:val="nil"/>
              <w:left w:val="nil"/>
              <w:bottom w:val="nil"/>
              <w:right w:val="nil"/>
            </w:tcBorders>
            <w:shd w:val="clear" w:color="auto" w:fill="auto"/>
            <w:noWrap/>
          </w:tcPr>
          <w:p>
            <w:pPr>
              <w:jc w:val="left"/>
              <w:rPr>
                <w:rFonts w:ascii="Calibri" w:hAnsi="Calibri" w:eastAsia="宋体" w:cs="Calibri"/>
                <w:color w:val="000000"/>
                <w:sz w:val="22"/>
                <w:szCs w:val="22"/>
              </w:rPr>
            </w:pPr>
          </w:p>
        </w:tc>
        <w:tc>
          <w:tcPr>
            <w:tcW w:w="0" w:type="auto"/>
            <w:tcBorders>
              <w:top w:val="nil"/>
              <w:left w:val="nil"/>
              <w:bottom w:val="nil"/>
              <w:right w:val="nil"/>
            </w:tcBorders>
            <w:shd w:val="clear" w:color="auto" w:fill="auto"/>
            <w:noWrap/>
          </w:tcPr>
          <w:p>
            <w:pPr>
              <w:jc w:val="right"/>
              <w:rPr>
                <w:rFonts w:ascii="Calibri" w:hAnsi="Calibri" w:eastAsia="宋体" w:cs="Calibri"/>
                <w:color w:val="000000"/>
                <w:sz w:val="22"/>
                <w:szCs w:val="22"/>
              </w:rPr>
            </w:pPr>
          </w:p>
        </w:tc>
        <w:tc>
          <w:tcPr>
            <w:tcW w:w="0" w:type="auto"/>
            <w:tcBorders>
              <w:top w:val="nil"/>
              <w:left w:val="nil"/>
              <w:bottom w:val="nil"/>
              <w:right w:val="nil"/>
            </w:tcBorders>
            <w:shd w:val="clear" w:color="auto" w:fill="auto"/>
            <w:noWrap/>
          </w:tcPr>
          <w:p>
            <w:pPr>
              <w:jc w:val="right"/>
              <w:rPr>
                <w:rFonts w:ascii="Calibri" w:hAnsi="Calibri" w:eastAsia="宋体" w:cs="Calibri"/>
                <w:color w:val="000000"/>
                <w:sz w:val="22"/>
                <w:szCs w:val="22"/>
              </w:rPr>
            </w:pPr>
          </w:p>
        </w:tc>
        <w:tc>
          <w:tcPr>
            <w:tcW w:w="0" w:type="auto"/>
            <w:tcBorders>
              <w:top w:val="nil"/>
              <w:left w:val="nil"/>
              <w:bottom w:val="nil"/>
              <w:right w:val="nil"/>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tcPr>
          <w:p>
            <w:pPr>
              <w:rPr>
                <w:rFonts w:ascii="Calibri" w:hAnsi="Calibri" w:eastAsia="宋体" w:cs="Calibri"/>
                <w:color w:val="000000"/>
                <w:sz w:val="22"/>
                <w:szCs w:val="22"/>
              </w:rPr>
            </w:pPr>
          </w:p>
        </w:tc>
        <w:tc>
          <w:tcPr>
            <w:tcW w:w="0" w:type="auto"/>
            <w:tcBorders>
              <w:top w:val="nil"/>
              <w:left w:val="nil"/>
              <w:bottom w:val="nil"/>
              <w:right w:val="nil"/>
            </w:tcBorders>
            <w:shd w:val="clear" w:color="auto" w:fill="auto"/>
            <w:noWrap/>
          </w:tcPr>
          <w:p>
            <w:pPr>
              <w:jc w:val="left"/>
              <w:rPr>
                <w:rFonts w:ascii="Calibri" w:hAnsi="Calibri" w:eastAsia="宋体" w:cs="Calibri"/>
                <w:color w:val="000000"/>
                <w:sz w:val="22"/>
                <w:szCs w:val="22"/>
              </w:rPr>
            </w:pPr>
          </w:p>
        </w:tc>
        <w:tc>
          <w:tcPr>
            <w:tcW w:w="0" w:type="auto"/>
            <w:tcBorders>
              <w:top w:val="nil"/>
              <w:left w:val="nil"/>
              <w:bottom w:val="nil"/>
              <w:right w:val="nil"/>
            </w:tcBorders>
            <w:shd w:val="clear" w:color="auto" w:fill="auto"/>
            <w:noWrap/>
          </w:tcPr>
          <w:p>
            <w:pPr>
              <w:jc w:val="left"/>
              <w:rPr>
                <w:rFonts w:ascii="Calibri" w:hAnsi="Calibri" w:eastAsia="宋体" w:cs="Calibri"/>
                <w:color w:val="000000"/>
                <w:sz w:val="22"/>
                <w:szCs w:val="22"/>
              </w:rPr>
            </w:pPr>
          </w:p>
        </w:tc>
        <w:tc>
          <w:tcPr>
            <w:tcW w:w="0" w:type="auto"/>
            <w:tcBorders>
              <w:top w:val="nil"/>
              <w:left w:val="nil"/>
              <w:bottom w:val="nil"/>
              <w:right w:val="nil"/>
            </w:tcBorders>
            <w:shd w:val="clear" w:color="auto" w:fill="auto"/>
            <w:noWrap/>
          </w:tcPr>
          <w:p>
            <w:pPr>
              <w:jc w:val="right"/>
              <w:rPr>
                <w:rFonts w:ascii="Calibri" w:hAnsi="Calibri" w:eastAsia="宋体" w:cs="Calibri"/>
                <w:color w:val="000000"/>
                <w:sz w:val="22"/>
                <w:szCs w:val="22"/>
              </w:rPr>
            </w:pPr>
          </w:p>
        </w:tc>
        <w:tc>
          <w:tcPr>
            <w:tcW w:w="0" w:type="auto"/>
            <w:tcBorders>
              <w:top w:val="nil"/>
              <w:left w:val="nil"/>
              <w:bottom w:val="nil"/>
              <w:right w:val="nil"/>
            </w:tcBorders>
            <w:shd w:val="clear" w:color="auto" w:fill="auto"/>
            <w:noWrap/>
          </w:tcPr>
          <w:p>
            <w:pPr>
              <w:jc w:val="right"/>
              <w:rPr>
                <w:rFonts w:ascii="Calibri" w:hAnsi="Calibri" w:eastAsia="宋体" w:cs="Calibri"/>
                <w:color w:val="000000"/>
                <w:sz w:val="22"/>
                <w:szCs w:val="22"/>
              </w:rPr>
            </w:pPr>
          </w:p>
        </w:tc>
        <w:tc>
          <w:tcPr>
            <w:tcW w:w="0" w:type="auto"/>
            <w:tcBorders>
              <w:top w:val="nil"/>
              <w:left w:val="nil"/>
              <w:bottom w:val="nil"/>
              <w:right w:val="nil"/>
            </w:tcBorders>
            <w:shd w:val="clear" w:color="auto" w:fill="auto"/>
            <w:noWrap/>
          </w:tcPr>
          <w:p>
            <w:pPr>
              <w:jc w:val="right"/>
              <w:rPr>
                <w:rFonts w:ascii="Calibri" w:hAnsi="Calibri" w:eastAsia="宋体" w:cs="Calibri"/>
                <w:color w:val="000000"/>
                <w:sz w:val="22"/>
                <w:szCs w:val="22"/>
              </w:rPr>
            </w:pPr>
          </w:p>
        </w:tc>
      </w:tr>
    </w:tbl>
    <w:p/>
    <w:p/>
    <w:p/>
    <w:p/>
    <w:p/>
    <w:p/>
    <w:p/>
    <w:p/>
    <w:p/>
    <w:p/>
    <w:p/>
    <w:p/>
    <w:p/>
    <w:p/>
    <w:p/>
    <w:p/>
    <w:p/>
    <w:p/>
    <w:p/>
    <w:p/>
    <w:p/>
    <w:p/>
    <w:tbl>
      <w:tblPr>
        <w:tblStyle w:val="5"/>
        <w:tblW w:w="13940" w:type="dxa"/>
        <w:tblInd w:w="93" w:type="dxa"/>
        <w:tblLayout w:type="autofit"/>
        <w:tblCellMar>
          <w:top w:w="0" w:type="dxa"/>
          <w:left w:w="108" w:type="dxa"/>
          <w:bottom w:w="0" w:type="dxa"/>
          <w:right w:w="108" w:type="dxa"/>
        </w:tblCellMar>
      </w:tblPr>
      <w:tblGrid>
        <w:gridCol w:w="1303"/>
        <w:gridCol w:w="2178"/>
        <w:gridCol w:w="2178"/>
        <w:gridCol w:w="1303"/>
        <w:gridCol w:w="3489"/>
        <w:gridCol w:w="3489"/>
      </w:tblGrid>
      <w:tr>
        <w:tblPrEx>
          <w:tblCellMar>
            <w:top w:w="0" w:type="dxa"/>
            <w:left w:w="108" w:type="dxa"/>
            <w:bottom w:w="0" w:type="dxa"/>
            <w:right w:w="108" w:type="dxa"/>
          </w:tblCellMar>
        </w:tblPrEx>
        <w:trPr>
          <w:trHeight w:val="621" w:hRule="atLeast"/>
        </w:trPr>
        <w:tc>
          <w:tcPr>
            <w:tcW w:w="13940" w:type="dxa"/>
            <w:gridSpan w:val="6"/>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2"/>
                <w:szCs w:val="32"/>
              </w:rPr>
              <w:t>部门预算国有资本经营预算财政拨款支出表</w:t>
            </w:r>
          </w:p>
        </w:tc>
      </w:tr>
      <w:tr>
        <w:tblPrEx>
          <w:tblCellMar>
            <w:top w:w="0" w:type="dxa"/>
            <w:left w:w="108" w:type="dxa"/>
            <w:bottom w:w="0" w:type="dxa"/>
            <w:right w:w="108" w:type="dxa"/>
          </w:tblCellMar>
        </w:tblPrEx>
        <w:trPr>
          <w:trHeight w:val="358" w:hRule="atLeast"/>
        </w:trPr>
        <w:tc>
          <w:tcPr>
            <w:tcW w:w="0" w:type="auto"/>
            <w:gridSpan w:val="4"/>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预算单位编码及名称：[287]中国共产党涞源县委员会老干部局</w:t>
            </w:r>
          </w:p>
        </w:tc>
        <w:tc>
          <w:tcPr>
            <w:tcW w:w="0" w:type="auto"/>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预算年度：2022</w:t>
            </w:r>
          </w:p>
        </w:tc>
        <w:tc>
          <w:tcPr>
            <w:tcW w:w="0" w:type="auto"/>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金额单位：万元</w:t>
            </w:r>
          </w:p>
        </w:tc>
      </w:tr>
      <w:tr>
        <w:tblPrEx>
          <w:tblCellMar>
            <w:top w:w="0" w:type="dxa"/>
            <w:left w:w="108" w:type="dxa"/>
            <w:bottom w:w="0" w:type="dxa"/>
            <w:right w:w="108" w:type="dxa"/>
          </w:tblCellMar>
        </w:tblPrEx>
        <w:trPr>
          <w:trHeight w:val="36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r>
      <w:tr>
        <w:tblPrEx>
          <w:tblCellMar>
            <w:top w:w="0" w:type="dxa"/>
            <w:left w:w="108" w:type="dxa"/>
            <w:bottom w:w="0" w:type="dxa"/>
            <w:right w:w="108" w:type="dxa"/>
          </w:tblCellMar>
        </w:tblPrEx>
        <w:trPr>
          <w:trHeight w:val="36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r>
      <w:tr>
        <w:tblPrEx>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631" w:hRule="atLeast"/>
        </w:trPr>
        <w:tc>
          <w:tcPr>
            <w:tcW w:w="0" w:type="auto"/>
            <w:gridSpan w:val="6"/>
            <w:tcBorders>
              <w:top w:val="nil"/>
              <w:left w:val="nil"/>
              <w:bottom w:val="nil"/>
              <w:right w:val="nil"/>
            </w:tcBorders>
            <w:shd w:val="clear" w:color="auto" w:fill="auto"/>
            <w:noWrap/>
            <w:vAlign w:val="center"/>
          </w:tcPr>
          <w:p>
            <w:pPr>
              <w:widowControl/>
              <w:jc w:val="left"/>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注：无国有资本经营预算财政拨款预算，空表列示。</w:t>
            </w:r>
          </w:p>
        </w:tc>
      </w:tr>
    </w:tbl>
    <w:p/>
    <w:p/>
    <w:p/>
    <w:p/>
    <w:p/>
    <w:p/>
    <w:p/>
    <w:p/>
    <w:p/>
    <w:p/>
    <w:p/>
    <w:p/>
    <w:p/>
    <w:p/>
    <w:p/>
    <w:p>
      <w:pPr>
        <w:jc w:val="center"/>
        <w:outlineLvl w:val="1"/>
        <w:rPr>
          <w:rFonts w:ascii="方正小标宋_GBK" w:hAnsi="方正小标宋_GBK" w:eastAsia="方正小标宋_GBK" w:cs="方正小标宋_GBK"/>
          <w:color w:val="000000"/>
          <w:sz w:val="36"/>
        </w:rPr>
      </w:pPr>
      <w:bookmarkStart w:id="0" w:name="_Toc_2_2_0000000009"/>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宋体" w:hAnsi="宋体" w:eastAsia="宋体" w:cs="宋体"/>
          <w:b/>
          <w:bCs/>
          <w:sz w:val="32"/>
          <w:szCs w:val="32"/>
        </w:rPr>
      </w:pPr>
      <w:r>
        <w:rPr>
          <w:rFonts w:hint="eastAsia" w:ascii="宋体" w:hAnsi="宋体" w:eastAsia="宋体" w:cs="宋体"/>
          <w:b/>
          <w:bCs/>
          <w:color w:val="000000"/>
          <w:sz w:val="32"/>
          <w:szCs w:val="32"/>
        </w:rPr>
        <w:t>部门预算财政拨款“三公”经费支出表</w:t>
      </w:r>
      <w:bookmarkEnd w:id="0"/>
    </w:p>
    <w:p/>
    <w:tbl>
      <w:tblPr>
        <w:tblStyle w:val="5"/>
        <w:tblW w:w="141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3805"/>
        <w:gridCol w:w="2387"/>
        <w:gridCol w:w="2385"/>
        <w:gridCol w:w="2385"/>
        <w:gridCol w:w="23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tblHeader/>
          <w:jc w:val="center"/>
        </w:trPr>
        <w:tc>
          <w:tcPr>
            <w:tcW w:w="7043" w:type="dxa"/>
            <w:gridSpan w:val="3"/>
            <w:tcBorders>
              <w:top w:val="single" w:color="FFFFFF" w:sz="6" w:space="0"/>
              <w:left w:val="single" w:color="FFFFFF" w:sz="6" w:space="0"/>
              <w:right w:val="single" w:color="FFFFFF" w:sz="6" w:space="0"/>
            </w:tcBorders>
            <w:vAlign w:val="center"/>
          </w:tcPr>
          <w:p>
            <w:pPr>
              <w:pStyle w:val="7"/>
            </w:pPr>
            <w:r>
              <w:rPr>
                <w:rFonts w:hint="eastAsia" w:ascii="宋体" w:hAnsi="宋体" w:eastAsia="宋体" w:cs="宋体"/>
                <w:color w:val="000000"/>
                <w:kern w:val="0"/>
                <w:sz w:val="22"/>
                <w:szCs w:val="22"/>
              </w:rPr>
              <w:t>预算单位编码及名称：[287]中国共产党涞源县委员会老干部局</w:t>
            </w:r>
          </w:p>
        </w:tc>
        <w:tc>
          <w:tcPr>
            <w:tcW w:w="2385" w:type="dxa"/>
            <w:tcBorders>
              <w:top w:val="single" w:color="FFFFFF" w:sz="6" w:space="0"/>
              <w:left w:val="single" w:color="FFFFFF" w:sz="6" w:space="0"/>
              <w:right w:val="single" w:color="FFFFFF" w:sz="6" w:space="0"/>
            </w:tcBorders>
            <w:vAlign w:val="center"/>
          </w:tcPr>
          <w:p>
            <w:pPr>
              <w:pStyle w:val="8"/>
            </w:pPr>
            <w:r>
              <w:t>预算年度：2022</w:t>
            </w:r>
          </w:p>
        </w:tc>
        <w:tc>
          <w:tcPr>
            <w:tcW w:w="477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tblHeader/>
          <w:jc w:val="center"/>
        </w:trPr>
        <w:tc>
          <w:tcPr>
            <w:tcW w:w="851" w:type="dxa"/>
            <w:vMerge w:val="restart"/>
            <w:vAlign w:val="center"/>
          </w:tcPr>
          <w:p>
            <w:pPr>
              <w:pStyle w:val="10"/>
              <w:rPr>
                <w:rFonts w:ascii="宋体" w:hAnsi="宋体" w:eastAsia="宋体" w:cs="宋体"/>
                <w:b w:val="0"/>
                <w:bCs/>
                <w:sz w:val="22"/>
                <w:szCs w:val="22"/>
              </w:rPr>
            </w:pPr>
            <w:r>
              <w:rPr>
                <w:rFonts w:hint="eastAsia" w:ascii="宋体" w:hAnsi="宋体" w:eastAsia="宋体" w:cs="宋体"/>
                <w:b w:val="0"/>
                <w:bCs/>
                <w:sz w:val="22"/>
                <w:szCs w:val="22"/>
              </w:rPr>
              <w:t>序号</w:t>
            </w:r>
          </w:p>
        </w:tc>
        <w:tc>
          <w:tcPr>
            <w:tcW w:w="3805" w:type="dxa"/>
            <w:vMerge w:val="restart"/>
            <w:vAlign w:val="center"/>
          </w:tcPr>
          <w:p>
            <w:pPr>
              <w:pStyle w:val="10"/>
              <w:rPr>
                <w:rFonts w:ascii="宋体" w:hAnsi="宋体" w:eastAsia="宋体" w:cs="宋体"/>
                <w:b w:val="0"/>
                <w:bCs/>
                <w:sz w:val="22"/>
                <w:szCs w:val="22"/>
              </w:rPr>
            </w:pPr>
            <w:r>
              <w:rPr>
                <w:rFonts w:hint="eastAsia" w:ascii="宋体" w:hAnsi="宋体" w:eastAsia="宋体" w:cs="宋体"/>
                <w:b w:val="0"/>
                <w:bCs/>
                <w:sz w:val="22"/>
                <w:szCs w:val="22"/>
              </w:rPr>
              <w:t>项  目</w:t>
            </w:r>
          </w:p>
        </w:tc>
        <w:tc>
          <w:tcPr>
            <w:tcW w:w="9543" w:type="dxa"/>
            <w:gridSpan w:val="4"/>
            <w:vAlign w:val="center"/>
          </w:tcPr>
          <w:p>
            <w:pPr>
              <w:pStyle w:val="10"/>
              <w:rPr>
                <w:rFonts w:ascii="宋体" w:hAnsi="宋体" w:eastAsia="宋体" w:cs="宋体"/>
                <w:b w:val="0"/>
                <w:bCs/>
                <w:sz w:val="22"/>
                <w:szCs w:val="22"/>
              </w:rPr>
            </w:pPr>
            <w:r>
              <w:rPr>
                <w:rFonts w:hint="eastAsia" w:ascii="宋体" w:hAnsi="宋体" w:eastAsia="宋体" w:cs="宋体"/>
                <w:b w:val="0"/>
                <w:bCs/>
                <w:sz w:val="22"/>
                <w:szCs w:val="22"/>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tblHeader/>
          <w:jc w:val="center"/>
        </w:trPr>
        <w:tc>
          <w:tcPr>
            <w:tcW w:w="851" w:type="dxa"/>
            <w:vMerge w:val="continue"/>
          </w:tcPr>
          <w:p>
            <w:pPr>
              <w:rPr>
                <w:rFonts w:ascii="宋体" w:hAnsi="宋体" w:eastAsia="宋体" w:cs="宋体"/>
                <w:bCs/>
                <w:sz w:val="22"/>
                <w:szCs w:val="22"/>
              </w:rPr>
            </w:pPr>
          </w:p>
        </w:tc>
        <w:tc>
          <w:tcPr>
            <w:tcW w:w="3805" w:type="dxa"/>
            <w:vMerge w:val="continue"/>
          </w:tcPr>
          <w:p>
            <w:pPr>
              <w:rPr>
                <w:rFonts w:ascii="宋体" w:hAnsi="宋体" w:eastAsia="宋体" w:cs="宋体"/>
                <w:bCs/>
                <w:sz w:val="22"/>
                <w:szCs w:val="22"/>
              </w:rPr>
            </w:pPr>
          </w:p>
        </w:tc>
        <w:tc>
          <w:tcPr>
            <w:tcW w:w="2387" w:type="dxa"/>
            <w:vAlign w:val="center"/>
          </w:tcPr>
          <w:p>
            <w:pPr>
              <w:pStyle w:val="10"/>
              <w:rPr>
                <w:rFonts w:ascii="宋体" w:hAnsi="宋体" w:eastAsia="宋体" w:cs="宋体"/>
                <w:b w:val="0"/>
                <w:bCs/>
                <w:sz w:val="22"/>
                <w:szCs w:val="22"/>
              </w:rPr>
            </w:pPr>
            <w:r>
              <w:rPr>
                <w:rFonts w:hint="eastAsia" w:ascii="宋体" w:hAnsi="宋体" w:eastAsia="宋体" w:cs="宋体"/>
                <w:b w:val="0"/>
                <w:bCs/>
                <w:sz w:val="22"/>
                <w:szCs w:val="22"/>
              </w:rPr>
              <w:t>合计</w:t>
            </w:r>
          </w:p>
        </w:tc>
        <w:tc>
          <w:tcPr>
            <w:tcW w:w="2385" w:type="dxa"/>
            <w:vAlign w:val="center"/>
          </w:tcPr>
          <w:p>
            <w:pPr>
              <w:pStyle w:val="10"/>
              <w:rPr>
                <w:rFonts w:ascii="宋体" w:hAnsi="宋体" w:eastAsia="宋体" w:cs="宋体"/>
                <w:b w:val="0"/>
                <w:bCs/>
                <w:sz w:val="22"/>
                <w:szCs w:val="22"/>
              </w:rPr>
            </w:pPr>
            <w:r>
              <w:rPr>
                <w:rFonts w:hint="eastAsia" w:ascii="宋体" w:hAnsi="宋体" w:eastAsia="宋体" w:cs="宋体"/>
                <w:b w:val="0"/>
                <w:bCs/>
                <w:sz w:val="22"/>
                <w:szCs w:val="22"/>
              </w:rPr>
              <w:t>一般公共预算              财政拨款</w:t>
            </w:r>
          </w:p>
        </w:tc>
        <w:tc>
          <w:tcPr>
            <w:tcW w:w="2385" w:type="dxa"/>
            <w:vAlign w:val="center"/>
          </w:tcPr>
          <w:p>
            <w:pPr>
              <w:pStyle w:val="10"/>
              <w:rPr>
                <w:rFonts w:ascii="宋体" w:hAnsi="宋体" w:eastAsia="宋体" w:cs="宋体"/>
                <w:b w:val="0"/>
                <w:bCs/>
                <w:sz w:val="22"/>
                <w:szCs w:val="22"/>
              </w:rPr>
            </w:pPr>
            <w:r>
              <w:rPr>
                <w:rFonts w:hint="eastAsia" w:ascii="宋体" w:hAnsi="宋体" w:eastAsia="宋体" w:cs="宋体"/>
                <w:b w:val="0"/>
                <w:bCs/>
                <w:sz w:val="22"/>
                <w:szCs w:val="22"/>
              </w:rPr>
              <w:t>政府性基金                  预算拨款</w:t>
            </w:r>
          </w:p>
        </w:tc>
        <w:tc>
          <w:tcPr>
            <w:tcW w:w="2386" w:type="dxa"/>
            <w:vAlign w:val="center"/>
          </w:tcPr>
          <w:p>
            <w:pPr>
              <w:pStyle w:val="10"/>
              <w:rPr>
                <w:rFonts w:ascii="宋体" w:hAnsi="宋体" w:eastAsia="宋体" w:cs="宋体"/>
                <w:b w:val="0"/>
                <w:bCs/>
                <w:sz w:val="22"/>
                <w:szCs w:val="22"/>
              </w:rPr>
            </w:pPr>
            <w:r>
              <w:rPr>
                <w:rFonts w:hint="eastAsia" w:ascii="宋体" w:hAnsi="宋体" w:eastAsia="宋体" w:cs="宋体"/>
                <w:b w:val="0"/>
                <w:bCs/>
                <w:sz w:val="22"/>
                <w:szCs w:val="22"/>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tblHeader/>
          <w:jc w:val="center"/>
        </w:trPr>
        <w:tc>
          <w:tcPr>
            <w:tcW w:w="851" w:type="dxa"/>
            <w:vAlign w:val="center"/>
          </w:tcPr>
          <w:p>
            <w:pPr>
              <w:pStyle w:val="10"/>
            </w:pPr>
            <w:r>
              <w:t>栏次</w:t>
            </w:r>
          </w:p>
        </w:tc>
        <w:tc>
          <w:tcPr>
            <w:tcW w:w="3805" w:type="dxa"/>
            <w:vAlign w:val="center"/>
          </w:tcPr>
          <w:p>
            <w:pPr>
              <w:pStyle w:val="10"/>
            </w:pPr>
            <w:r>
              <w:t>1</w:t>
            </w:r>
          </w:p>
        </w:tc>
        <w:tc>
          <w:tcPr>
            <w:tcW w:w="2387" w:type="dxa"/>
            <w:vAlign w:val="center"/>
          </w:tcPr>
          <w:p>
            <w:pPr>
              <w:pStyle w:val="10"/>
            </w:pPr>
            <w:r>
              <w:t>2</w:t>
            </w:r>
          </w:p>
        </w:tc>
        <w:tc>
          <w:tcPr>
            <w:tcW w:w="2385" w:type="dxa"/>
            <w:vAlign w:val="center"/>
          </w:tcPr>
          <w:p>
            <w:pPr>
              <w:pStyle w:val="10"/>
            </w:pPr>
            <w:r>
              <w:t>3</w:t>
            </w:r>
          </w:p>
        </w:tc>
        <w:tc>
          <w:tcPr>
            <w:tcW w:w="2385" w:type="dxa"/>
            <w:vAlign w:val="center"/>
          </w:tcPr>
          <w:p>
            <w:pPr>
              <w:pStyle w:val="10"/>
            </w:pPr>
            <w:r>
              <w:t>4</w:t>
            </w:r>
          </w:p>
        </w:tc>
        <w:tc>
          <w:tcPr>
            <w:tcW w:w="238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851" w:type="dxa"/>
            <w:vAlign w:val="center"/>
          </w:tcPr>
          <w:p>
            <w:pPr>
              <w:pStyle w:val="11"/>
            </w:pPr>
            <w:r>
              <w:t>1</w:t>
            </w:r>
          </w:p>
        </w:tc>
        <w:tc>
          <w:tcPr>
            <w:tcW w:w="3805" w:type="dxa"/>
            <w:vAlign w:val="center"/>
          </w:tcPr>
          <w:p>
            <w:pPr>
              <w:pStyle w:val="12"/>
            </w:pPr>
            <w:r>
              <w:t>合计</w:t>
            </w:r>
          </w:p>
        </w:tc>
        <w:tc>
          <w:tcPr>
            <w:tcW w:w="2387" w:type="dxa"/>
            <w:vAlign w:val="center"/>
          </w:tcPr>
          <w:p>
            <w:pPr>
              <w:pStyle w:val="13"/>
            </w:pPr>
            <w:r>
              <w:rPr>
                <w:rFonts w:hint="eastAsia"/>
              </w:rPr>
              <w:t>9.4</w:t>
            </w:r>
          </w:p>
        </w:tc>
        <w:tc>
          <w:tcPr>
            <w:tcW w:w="2385" w:type="dxa"/>
            <w:vAlign w:val="center"/>
          </w:tcPr>
          <w:p>
            <w:pPr>
              <w:pStyle w:val="13"/>
            </w:pPr>
            <w:r>
              <w:rPr>
                <w:rFonts w:hint="eastAsia"/>
              </w:rPr>
              <w:t>9.4</w:t>
            </w:r>
          </w:p>
        </w:tc>
        <w:tc>
          <w:tcPr>
            <w:tcW w:w="2385" w:type="dxa"/>
            <w:vAlign w:val="center"/>
          </w:tcPr>
          <w:p>
            <w:pPr>
              <w:pStyle w:val="13"/>
            </w:pPr>
          </w:p>
        </w:tc>
        <w:tc>
          <w:tcPr>
            <w:tcW w:w="2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851" w:type="dxa"/>
            <w:vAlign w:val="center"/>
          </w:tcPr>
          <w:p>
            <w:pPr>
              <w:pStyle w:val="11"/>
            </w:pPr>
            <w:r>
              <w:t>2</w:t>
            </w:r>
          </w:p>
        </w:tc>
        <w:tc>
          <w:tcPr>
            <w:tcW w:w="3805" w:type="dxa"/>
            <w:vAlign w:val="center"/>
          </w:tcPr>
          <w:p>
            <w:pPr>
              <w:pStyle w:val="14"/>
            </w:pPr>
            <w:r>
              <w:t>一、因公出国（境）费</w:t>
            </w:r>
          </w:p>
        </w:tc>
        <w:tc>
          <w:tcPr>
            <w:tcW w:w="2387" w:type="dxa"/>
            <w:vAlign w:val="center"/>
          </w:tcPr>
          <w:p>
            <w:pPr>
              <w:pStyle w:val="15"/>
            </w:pPr>
          </w:p>
        </w:tc>
        <w:tc>
          <w:tcPr>
            <w:tcW w:w="2385" w:type="dxa"/>
            <w:vAlign w:val="center"/>
          </w:tcPr>
          <w:p>
            <w:pPr>
              <w:pStyle w:val="15"/>
            </w:pPr>
          </w:p>
        </w:tc>
        <w:tc>
          <w:tcPr>
            <w:tcW w:w="2385" w:type="dxa"/>
            <w:vAlign w:val="center"/>
          </w:tcPr>
          <w:p>
            <w:pPr>
              <w:pStyle w:val="15"/>
            </w:pPr>
          </w:p>
        </w:tc>
        <w:tc>
          <w:tcPr>
            <w:tcW w:w="23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851" w:type="dxa"/>
            <w:vAlign w:val="center"/>
          </w:tcPr>
          <w:p>
            <w:pPr>
              <w:pStyle w:val="11"/>
            </w:pPr>
            <w:r>
              <w:rPr>
                <w:rFonts w:hint="eastAsia"/>
              </w:rPr>
              <w:t>3</w:t>
            </w:r>
          </w:p>
        </w:tc>
        <w:tc>
          <w:tcPr>
            <w:tcW w:w="3805" w:type="dxa"/>
            <w:vAlign w:val="center"/>
          </w:tcPr>
          <w:p>
            <w:pPr>
              <w:pStyle w:val="14"/>
            </w:pPr>
            <w:r>
              <w:t>二、公务用车购置及运维费</w:t>
            </w:r>
          </w:p>
        </w:tc>
        <w:tc>
          <w:tcPr>
            <w:tcW w:w="2387" w:type="dxa"/>
            <w:vAlign w:val="center"/>
          </w:tcPr>
          <w:p>
            <w:pPr>
              <w:pStyle w:val="15"/>
            </w:pPr>
          </w:p>
        </w:tc>
        <w:tc>
          <w:tcPr>
            <w:tcW w:w="2385" w:type="dxa"/>
            <w:vAlign w:val="center"/>
          </w:tcPr>
          <w:p>
            <w:pPr>
              <w:pStyle w:val="15"/>
            </w:pPr>
          </w:p>
        </w:tc>
        <w:tc>
          <w:tcPr>
            <w:tcW w:w="2385" w:type="dxa"/>
            <w:vAlign w:val="center"/>
          </w:tcPr>
          <w:p>
            <w:pPr>
              <w:pStyle w:val="15"/>
            </w:pPr>
          </w:p>
        </w:tc>
        <w:tc>
          <w:tcPr>
            <w:tcW w:w="23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851" w:type="dxa"/>
            <w:vAlign w:val="center"/>
          </w:tcPr>
          <w:p>
            <w:pPr>
              <w:pStyle w:val="11"/>
            </w:pPr>
            <w:r>
              <w:rPr>
                <w:rFonts w:hint="eastAsia"/>
              </w:rPr>
              <w:t>4</w:t>
            </w:r>
          </w:p>
        </w:tc>
        <w:tc>
          <w:tcPr>
            <w:tcW w:w="3805" w:type="dxa"/>
            <w:vAlign w:val="center"/>
          </w:tcPr>
          <w:p>
            <w:pPr>
              <w:pStyle w:val="14"/>
            </w:pPr>
            <w:r>
              <w:t xml:space="preserve">    其中：公务用车购置费</w:t>
            </w:r>
          </w:p>
        </w:tc>
        <w:tc>
          <w:tcPr>
            <w:tcW w:w="2387" w:type="dxa"/>
            <w:vAlign w:val="center"/>
          </w:tcPr>
          <w:p>
            <w:pPr>
              <w:pStyle w:val="15"/>
            </w:pPr>
          </w:p>
        </w:tc>
        <w:tc>
          <w:tcPr>
            <w:tcW w:w="2385" w:type="dxa"/>
            <w:vAlign w:val="center"/>
          </w:tcPr>
          <w:p>
            <w:pPr>
              <w:pStyle w:val="15"/>
            </w:pPr>
          </w:p>
        </w:tc>
        <w:tc>
          <w:tcPr>
            <w:tcW w:w="2385" w:type="dxa"/>
            <w:vAlign w:val="center"/>
          </w:tcPr>
          <w:p>
            <w:pPr>
              <w:pStyle w:val="15"/>
            </w:pPr>
          </w:p>
        </w:tc>
        <w:tc>
          <w:tcPr>
            <w:tcW w:w="23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851" w:type="dxa"/>
            <w:vAlign w:val="center"/>
          </w:tcPr>
          <w:p>
            <w:pPr>
              <w:pStyle w:val="11"/>
            </w:pPr>
            <w:r>
              <w:rPr>
                <w:rFonts w:hint="eastAsia"/>
              </w:rPr>
              <w:t>5</w:t>
            </w:r>
          </w:p>
        </w:tc>
        <w:tc>
          <w:tcPr>
            <w:tcW w:w="3805" w:type="dxa"/>
            <w:vAlign w:val="center"/>
          </w:tcPr>
          <w:p>
            <w:pPr>
              <w:pStyle w:val="14"/>
            </w:pPr>
            <w:r>
              <w:t xml:space="preserve">          公务用车运行维护费</w:t>
            </w:r>
          </w:p>
        </w:tc>
        <w:tc>
          <w:tcPr>
            <w:tcW w:w="2387" w:type="dxa"/>
            <w:vAlign w:val="center"/>
          </w:tcPr>
          <w:p>
            <w:pPr>
              <w:pStyle w:val="15"/>
            </w:pPr>
            <w:r>
              <w:rPr>
                <w:rFonts w:hint="eastAsia"/>
              </w:rPr>
              <w:t>7</w:t>
            </w:r>
          </w:p>
        </w:tc>
        <w:tc>
          <w:tcPr>
            <w:tcW w:w="2385" w:type="dxa"/>
            <w:vAlign w:val="center"/>
          </w:tcPr>
          <w:p>
            <w:pPr>
              <w:pStyle w:val="15"/>
            </w:pPr>
            <w:r>
              <w:rPr>
                <w:rFonts w:hint="eastAsia"/>
              </w:rPr>
              <w:t>7</w:t>
            </w:r>
          </w:p>
        </w:tc>
        <w:tc>
          <w:tcPr>
            <w:tcW w:w="2385" w:type="dxa"/>
            <w:vAlign w:val="center"/>
          </w:tcPr>
          <w:p>
            <w:pPr>
              <w:pStyle w:val="15"/>
            </w:pPr>
          </w:p>
        </w:tc>
        <w:tc>
          <w:tcPr>
            <w:tcW w:w="23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851" w:type="dxa"/>
            <w:vAlign w:val="center"/>
          </w:tcPr>
          <w:p>
            <w:pPr>
              <w:pStyle w:val="11"/>
            </w:pPr>
            <w:r>
              <w:rPr>
                <w:rFonts w:hint="eastAsia"/>
              </w:rPr>
              <w:t>6</w:t>
            </w:r>
          </w:p>
        </w:tc>
        <w:tc>
          <w:tcPr>
            <w:tcW w:w="3805" w:type="dxa"/>
            <w:vAlign w:val="center"/>
          </w:tcPr>
          <w:p>
            <w:pPr>
              <w:pStyle w:val="14"/>
            </w:pPr>
            <w:r>
              <w:t>三、公务接待费</w:t>
            </w:r>
          </w:p>
        </w:tc>
        <w:tc>
          <w:tcPr>
            <w:tcW w:w="2387" w:type="dxa"/>
            <w:vAlign w:val="center"/>
          </w:tcPr>
          <w:p>
            <w:pPr>
              <w:pStyle w:val="15"/>
            </w:pPr>
            <w:r>
              <w:rPr>
                <w:rFonts w:hint="eastAsia"/>
              </w:rPr>
              <w:t>2.4</w:t>
            </w:r>
          </w:p>
        </w:tc>
        <w:tc>
          <w:tcPr>
            <w:tcW w:w="2385" w:type="dxa"/>
            <w:vAlign w:val="center"/>
          </w:tcPr>
          <w:p>
            <w:pPr>
              <w:pStyle w:val="15"/>
            </w:pPr>
            <w:r>
              <w:rPr>
                <w:rFonts w:hint="eastAsia"/>
              </w:rPr>
              <w:t>2.4</w:t>
            </w:r>
          </w:p>
        </w:tc>
        <w:tc>
          <w:tcPr>
            <w:tcW w:w="2385" w:type="dxa"/>
            <w:vAlign w:val="center"/>
          </w:tcPr>
          <w:p>
            <w:pPr>
              <w:pStyle w:val="15"/>
            </w:pPr>
          </w:p>
        </w:tc>
        <w:tc>
          <w:tcPr>
            <w:tcW w:w="2386" w:type="dxa"/>
            <w:vAlign w:val="center"/>
          </w:tcPr>
          <w:p>
            <w:pPr>
              <w:pStyle w:val="15"/>
            </w:pPr>
          </w:p>
        </w:tc>
      </w:tr>
    </w:tbl>
    <w:p/>
    <w:p/>
    <w:p/>
    <w:p>
      <w:pPr>
        <w:widowControl/>
        <w:spacing w:line="480" w:lineRule="atLeast"/>
        <w:jc w:val="center"/>
        <w:rPr>
          <w:rFonts w:ascii="宋体" w:hAnsi="宋体" w:cs="宋体"/>
          <w:b/>
          <w:bCs/>
          <w:color w:val="111111"/>
          <w:kern w:val="0"/>
          <w:sz w:val="44"/>
          <w:szCs w:val="44"/>
        </w:rPr>
      </w:pPr>
    </w:p>
    <w:p>
      <w:pPr>
        <w:widowControl/>
        <w:spacing w:line="480" w:lineRule="atLeast"/>
        <w:jc w:val="center"/>
        <w:rPr>
          <w:rFonts w:ascii="宋体" w:hAnsi="宋体" w:cs="宋体"/>
          <w:b/>
          <w:bCs/>
          <w:color w:val="111111"/>
          <w:kern w:val="0"/>
          <w:sz w:val="44"/>
          <w:szCs w:val="44"/>
        </w:rPr>
      </w:pPr>
    </w:p>
    <w:p>
      <w:pPr>
        <w:widowControl/>
        <w:spacing w:line="480" w:lineRule="atLeast"/>
        <w:jc w:val="center"/>
        <w:rPr>
          <w:rFonts w:ascii="宋体" w:hAnsi="宋体" w:cs="宋体"/>
          <w:b/>
          <w:bCs/>
          <w:color w:val="111111"/>
          <w:kern w:val="0"/>
          <w:sz w:val="44"/>
          <w:szCs w:val="44"/>
        </w:rPr>
      </w:pPr>
      <w:r>
        <w:rPr>
          <w:rFonts w:hint="eastAsia" w:ascii="宋体" w:hAnsi="宋体" w:cs="宋体"/>
          <w:b/>
          <w:bCs/>
          <w:color w:val="111111"/>
          <w:kern w:val="0"/>
          <w:sz w:val="44"/>
          <w:szCs w:val="44"/>
        </w:rPr>
        <w:t>中国共产党涞源县委员会老干部局</w:t>
      </w:r>
    </w:p>
    <w:p>
      <w:pPr>
        <w:widowControl/>
        <w:spacing w:line="480" w:lineRule="atLeast"/>
        <w:jc w:val="center"/>
        <w:rPr>
          <w:rFonts w:ascii="宋体" w:cs="Times New Roman"/>
          <w:color w:val="111111"/>
          <w:kern w:val="0"/>
        </w:rPr>
      </w:pPr>
      <w:r>
        <w:rPr>
          <w:rFonts w:ascii="宋体" w:hAnsi="宋体" w:cs="宋体"/>
          <w:b/>
          <w:bCs/>
          <w:color w:val="111111"/>
          <w:kern w:val="0"/>
          <w:sz w:val="44"/>
          <w:szCs w:val="44"/>
        </w:rPr>
        <w:t>20</w:t>
      </w:r>
      <w:r>
        <w:rPr>
          <w:rFonts w:hint="eastAsia" w:ascii="宋体" w:hAnsi="宋体" w:cs="宋体"/>
          <w:b/>
          <w:bCs/>
          <w:color w:val="111111"/>
          <w:kern w:val="0"/>
          <w:sz w:val="44"/>
          <w:szCs w:val="44"/>
        </w:rPr>
        <w:t>22年部门预算信息公开</w:t>
      </w:r>
      <w:r>
        <w:rPr>
          <w:rFonts w:hint="eastAsia" w:ascii="宋体" w:hAnsi="宋体"/>
          <w:b/>
          <w:sz w:val="44"/>
        </w:rPr>
        <w:t>情况说明</w:t>
      </w:r>
    </w:p>
    <w:p>
      <w:pPr>
        <w:widowControl/>
        <w:spacing w:line="480" w:lineRule="atLeast"/>
        <w:ind w:firstLine="645"/>
        <w:rPr>
          <w:rFonts w:ascii="宋体" w:hAnsi="宋体" w:eastAsia="宋体" w:cs="宋体"/>
          <w:sz w:val="32"/>
        </w:rPr>
      </w:pPr>
    </w:p>
    <w:p>
      <w:pPr>
        <w:widowControl/>
        <w:spacing w:line="480" w:lineRule="atLeast"/>
        <w:ind w:firstLine="645"/>
        <w:rPr>
          <w:rFonts w:ascii="宋体" w:hAnsi="宋体" w:eastAsia="宋体" w:cs="宋体"/>
          <w:b/>
          <w:bCs/>
          <w:kern w:val="0"/>
          <w:sz w:val="36"/>
          <w:szCs w:val="36"/>
        </w:rPr>
      </w:pPr>
      <w:r>
        <w:rPr>
          <w:rFonts w:hint="eastAsia" w:ascii="宋体" w:hAnsi="宋体" w:eastAsia="宋体" w:cs="宋体"/>
          <w:sz w:val="32"/>
        </w:rPr>
        <w:t>按照</w:t>
      </w:r>
      <w:r>
        <w:rPr>
          <w:rFonts w:hint="eastAsia" w:ascii="宋体" w:hAnsi="宋体" w:eastAsia="宋体" w:cs="宋体"/>
          <w:sz w:val="32"/>
          <w:lang w:eastAsia="zh-CN"/>
        </w:rPr>
        <w:t>《中华人民共和国预算法》</w:t>
      </w:r>
      <w:r>
        <w:rPr>
          <w:rFonts w:hint="eastAsia" w:ascii="宋体" w:hAnsi="宋体" w:eastAsia="宋体" w:cs="宋体"/>
          <w:sz w:val="32"/>
        </w:rPr>
        <w:t>、《地方预决算公开操作规程》和《河北省省级预算公开办法》规定，</w:t>
      </w:r>
      <w:r>
        <w:rPr>
          <w:rFonts w:hint="eastAsia" w:ascii="宋体" w:hAnsi="宋体" w:eastAsia="宋体" w:cs="宋体"/>
          <w:kern w:val="0"/>
          <w:sz w:val="32"/>
          <w:szCs w:val="32"/>
        </w:rPr>
        <w:t>现将中国共产党涞源县委员会老干部局2022年部门预算公开如下：</w:t>
      </w:r>
    </w:p>
    <w:p>
      <w:pPr>
        <w:widowControl/>
        <w:spacing w:line="560" w:lineRule="atLeast"/>
        <w:ind w:firstLine="643" w:firstLineChars="200"/>
        <w:jc w:val="left"/>
        <w:rPr>
          <w:rFonts w:ascii="宋体" w:hAnsi="宋体" w:eastAsia="宋体" w:cs="宋体"/>
          <w:b/>
          <w:bCs/>
          <w:color w:val="111111"/>
          <w:kern w:val="0"/>
          <w:sz w:val="32"/>
          <w:szCs w:val="32"/>
        </w:rPr>
      </w:pPr>
      <w:r>
        <w:rPr>
          <w:rFonts w:hint="eastAsia" w:ascii="宋体" w:hAnsi="宋体" w:eastAsia="宋体" w:cs="宋体"/>
          <w:b/>
          <w:bCs/>
          <w:color w:val="111111"/>
          <w:kern w:val="0"/>
          <w:sz w:val="32"/>
          <w:szCs w:val="32"/>
        </w:rPr>
        <w:t>一、部门职责及机构设置情况</w:t>
      </w:r>
    </w:p>
    <w:p>
      <w:pPr>
        <w:widowControl/>
        <w:spacing w:line="560" w:lineRule="atLeast"/>
        <w:ind w:firstLine="643" w:firstLineChars="200"/>
        <w:jc w:val="left"/>
        <w:rPr>
          <w:rFonts w:ascii="宋体" w:hAnsi="宋体" w:eastAsia="宋体" w:cs="宋体"/>
          <w:sz w:val="32"/>
          <w:szCs w:val="32"/>
        </w:rPr>
      </w:pPr>
      <w:r>
        <w:rPr>
          <w:rFonts w:hint="eastAsia" w:ascii="宋体" w:hAnsi="宋体" w:eastAsia="宋体" w:cs="宋体"/>
          <w:b/>
          <w:bCs/>
          <w:color w:val="111111"/>
          <w:kern w:val="0"/>
          <w:sz w:val="32"/>
          <w:szCs w:val="32"/>
        </w:rPr>
        <w:t>部门职责</w:t>
      </w:r>
    </w:p>
    <w:p>
      <w:pPr>
        <w:ind w:firstLine="640" w:firstLineChars="200"/>
        <w:rPr>
          <w:rFonts w:ascii="宋体" w:hAnsi="宋体" w:eastAsia="宋体" w:cs="宋体"/>
          <w:sz w:val="32"/>
          <w:szCs w:val="32"/>
        </w:rPr>
      </w:pPr>
      <w:r>
        <w:rPr>
          <w:rFonts w:hint="eastAsia" w:ascii="宋体" w:hAnsi="宋体" w:eastAsia="宋体" w:cs="宋体"/>
          <w:sz w:val="32"/>
          <w:szCs w:val="32"/>
        </w:rPr>
        <w:t>（一）保障离退休干部各项政策的落实，贯彻中央、国务院和省委、省政府、市委、市政府以及县委、县政府关于离退休干部工作的方针政策，组织落实离退休干部的政治、生活待遇，让每位老干部感受到政治上的关心、生活上的爱护。</w:t>
      </w:r>
    </w:p>
    <w:p>
      <w:pPr>
        <w:rPr>
          <w:rFonts w:ascii="宋体" w:hAnsi="宋体" w:eastAsia="宋体" w:cs="宋体"/>
          <w:sz w:val="32"/>
          <w:szCs w:val="32"/>
        </w:rPr>
      </w:pPr>
      <w:r>
        <w:rPr>
          <w:rFonts w:hint="eastAsia" w:ascii="宋体" w:hAnsi="宋体" w:eastAsia="宋体" w:cs="宋体"/>
          <w:sz w:val="32"/>
          <w:szCs w:val="32"/>
        </w:rPr>
        <w:t xml:space="preserve">   （二）建设、管理、使用好老年活动阵地，组织老干部参加社会、文体等各项活动，并指导全县阵地建设。贯彻执行老年教育、老区建设和老干部工作方针，构建终身教育体系；开展全县关心下一代工作，组织老同志参加青少年教育工作。</w:t>
      </w:r>
    </w:p>
    <w:p>
      <w:pPr>
        <w:jc w:val="left"/>
        <w:rPr>
          <w:rFonts w:ascii="宋体" w:hAnsi="宋体" w:eastAsia="宋体" w:cs="宋体"/>
          <w:sz w:val="32"/>
          <w:szCs w:val="32"/>
        </w:rPr>
      </w:pPr>
      <w:r>
        <w:rPr>
          <w:rFonts w:hint="eastAsia" w:ascii="宋体" w:hAnsi="宋体" w:eastAsia="宋体" w:cs="宋体"/>
          <w:sz w:val="32"/>
          <w:szCs w:val="32"/>
        </w:rPr>
        <w:t xml:space="preserve">   （三）检查、督促、指导离退休干部的党组织建设加强离退休干部的学习教育，做好思想政治工作；组织指导离退休干部在两个文明建设中发挥作用。</w:t>
      </w:r>
    </w:p>
    <w:p>
      <w:pPr>
        <w:rPr>
          <w:rFonts w:ascii="宋体" w:hAnsi="宋体" w:eastAsia="宋体" w:cs="宋体"/>
          <w:sz w:val="32"/>
          <w:szCs w:val="32"/>
        </w:rPr>
      </w:pPr>
      <w:r>
        <w:rPr>
          <w:rFonts w:hint="eastAsia" w:ascii="宋体" w:hAnsi="宋体" w:eastAsia="宋体" w:cs="宋体"/>
          <w:sz w:val="32"/>
          <w:szCs w:val="32"/>
        </w:rPr>
        <w:t xml:space="preserve">   （四）负责组织指导离退休干部的文体健身活动及医疗保健工作。  　　</w:t>
      </w:r>
    </w:p>
    <w:p>
      <w:pPr>
        <w:ind w:firstLine="640" w:firstLineChars="200"/>
        <w:rPr>
          <w:rFonts w:ascii="宋体" w:hAnsi="宋体" w:eastAsia="宋体" w:cs="宋体"/>
          <w:sz w:val="32"/>
          <w:szCs w:val="32"/>
        </w:rPr>
      </w:pPr>
      <w:r>
        <w:rPr>
          <w:rFonts w:hint="eastAsia" w:ascii="宋体" w:hAnsi="宋体" w:eastAsia="宋体" w:cs="宋体"/>
          <w:sz w:val="32"/>
          <w:szCs w:val="32"/>
        </w:rPr>
        <w:t>（五）完成县委交办的其他工作。</w:t>
      </w:r>
    </w:p>
    <w:p>
      <w:pPr>
        <w:ind w:firstLine="643" w:firstLineChars="200"/>
        <w:rPr>
          <w:rFonts w:ascii="宋体" w:hAnsi="宋体" w:eastAsia="宋体" w:cs="宋体"/>
          <w:b/>
          <w:bCs/>
          <w:sz w:val="32"/>
          <w:szCs w:val="32"/>
        </w:rPr>
      </w:pPr>
    </w:p>
    <w:p>
      <w:pPr>
        <w:ind w:firstLine="643" w:firstLineChars="200"/>
        <w:rPr>
          <w:rFonts w:ascii="宋体" w:hAnsi="宋体" w:eastAsia="宋体" w:cs="宋体"/>
          <w:b/>
          <w:bCs/>
          <w:sz w:val="32"/>
          <w:szCs w:val="32"/>
        </w:rPr>
      </w:pPr>
      <w:r>
        <w:rPr>
          <w:rFonts w:hint="eastAsia" w:ascii="宋体" w:hAnsi="宋体" w:eastAsia="宋体" w:cs="宋体"/>
          <w:b/>
          <w:bCs/>
          <w:sz w:val="32"/>
          <w:szCs w:val="32"/>
        </w:rPr>
        <w:t>机构设置</w:t>
      </w:r>
    </w:p>
    <w:p>
      <w:pPr>
        <w:jc w:val="center"/>
        <w:rPr>
          <w:rFonts w:ascii="宋体" w:hAnsi="宋体" w:eastAsia="宋体" w:cs="宋体"/>
          <w:sz w:val="32"/>
          <w:szCs w:val="32"/>
        </w:rPr>
      </w:pPr>
      <w:r>
        <w:rPr>
          <w:rFonts w:hint="eastAsia" w:ascii="宋体" w:hAnsi="宋体" w:eastAsia="宋体" w:cs="宋体"/>
          <w:sz w:val="32"/>
          <w:szCs w:val="32"/>
        </w:rPr>
        <w:t>部门机构设置情况</w:t>
      </w:r>
    </w:p>
    <w:tbl>
      <w:tblPr>
        <w:tblStyle w:val="5"/>
        <w:tblpPr w:leftFromText="180" w:rightFromText="180" w:vertAnchor="text" w:horzAnchor="page" w:tblpX="1837" w:tblpY="591"/>
        <w:tblOverlap w:val="never"/>
        <w:tblW w:w="13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1"/>
        <w:gridCol w:w="2138"/>
        <w:gridCol w:w="2236"/>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361" w:type="dxa"/>
          </w:tcPr>
          <w:p>
            <w:pPr>
              <w:jc w:val="center"/>
              <w:rPr>
                <w:rFonts w:ascii="宋体" w:hAnsi="宋体" w:eastAsia="宋体" w:cs="宋体"/>
              </w:rPr>
            </w:pPr>
            <w:r>
              <w:rPr>
                <w:rFonts w:hint="eastAsia" w:ascii="宋体" w:hAnsi="宋体" w:eastAsia="宋体" w:cs="宋体"/>
              </w:rPr>
              <w:t>单位名称</w:t>
            </w:r>
          </w:p>
        </w:tc>
        <w:tc>
          <w:tcPr>
            <w:tcW w:w="2138" w:type="dxa"/>
          </w:tcPr>
          <w:p>
            <w:pPr>
              <w:jc w:val="center"/>
              <w:rPr>
                <w:rFonts w:ascii="宋体" w:hAnsi="宋体" w:eastAsia="宋体" w:cs="宋体"/>
              </w:rPr>
            </w:pPr>
            <w:r>
              <w:rPr>
                <w:rFonts w:hint="eastAsia" w:ascii="宋体" w:hAnsi="宋体" w:eastAsia="宋体" w:cs="宋体"/>
              </w:rPr>
              <w:t>单位性质</w:t>
            </w:r>
          </w:p>
        </w:tc>
        <w:tc>
          <w:tcPr>
            <w:tcW w:w="2236" w:type="dxa"/>
          </w:tcPr>
          <w:p>
            <w:pPr>
              <w:jc w:val="center"/>
              <w:rPr>
                <w:rFonts w:ascii="宋体" w:hAnsi="宋体" w:eastAsia="宋体" w:cs="宋体"/>
              </w:rPr>
            </w:pPr>
            <w:r>
              <w:rPr>
                <w:rFonts w:hint="eastAsia" w:ascii="宋体" w:hAnsi="宋体" w:eastAsia="宋体" w:cs="宋体"/>
              </w:rPr>
              <w:t>单位规格</w:t>
            </w:r>
          </w:p>
        </w:tc>
        <w:tc>
          <w:tcPr>
            <w:tcW w:w="2963" w:type="dxa"/>
          </w:tcPr>
          <w:p>
            <w:pPr>
              <w:jc w:val="center"/>
              <w:rPr>
                <w:rFonts w:ascii="宋体" w:hAnsi="宋体" w:eastAsia="宋体" w:cs="宋体"/>
              </w:rPr>
            </w:pPr>
            <w:r>
              <w:rPr>
                <w:rFonts w:hint="eastAsia" w:ascii="宋体" w:hAnsi="宋体" w:eastAsia="宋体" w:cs="宋体"/>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361" w:type="dxa"/>
          </w:tcPr>
          <w:p>
            <w:pPr>
              <w:jc w:val="center"/>
              <w:rPr>
                <w:rFonts w:ascii="宋体" w:hAnsi="宋体" w:eastAsia="宋体" w:cs="宋体"/>
              </w:rPr>
            </w:pPr>
            <w:r>
              <w:rPr>
                <w:rFonts w:hint="eastAsia" w:ascii="宋体" w:hAnsi="宋体" w:eastAsia="宋体" w:cs="宋体"/>
              </w:rPr>
              <w:t>中国共产党涞源县委员会老干部局</w:t>
            </w:r>
          </w:p>
        </w:tc>
        <w:tc>
          <w:tcPr>
            <w:tcW w:w="2138" w:type="dxa"/>
          </w:tcPr>
          <w:p>
            <w:pPr>
              <w:jc w:val="center"/>
              <w:rPr>
                <w:rFonts w:ascii="宋体" w:hAnsi="宋体" w:eastAsia="宋体" w:cs="宋体"/>
              </w:rPr>
            </w:pPr>
            <w:r>
              <w:rPr>
                <w:rFonts w:hint="eastAsia" w:ascii="宋体" w:hAnsi="宋体" w:eastAsia="宋体" w:cs="宋体"/>
              </w:rPr>
              <w:t>行政</w:t>
            </w:r>
          </w:p>
        </w:tc>
        <w:tc>
          <w:tcPr>
            <w:tcW w:w="2236" w:type="dxa"/>
          </w:tcPr>
          <w:p>
            <w:pPr>
              <w:jc w:val="center"/>
              <w:rPr>
                <w:rFonts w:ascii="宋体" w:hAnsi="宋体" w:eastAsia="宋体" w:cs="宋体"/>
              </w:rPr>
            </w:pPr>
            <w:r>
              <w:rPr>
                <w:rFonts w:hint="eastAsia" w:ascii="宋体" w:hAnsi="宋体" w:eastAsia="宋体" w:cs="宋体"/>
              </w:rPr>
              <w:t>正科级</w:t>
            </w:r>
          </w:p>
        </w:tc>
        <w:tc>
          <w:tcPr>
            <w:tcW w:w="2963" w:type="dxa"/>
          </w:tcPr>
          <w:p>
            <w:pPr>
              <w:jc w:val="center"/>
              <w:rPr>
                <w:rFonts w:ascii="宋体" w:hAnsi="宋体" w:eastAsia="宋体" w:cs="宋体"/>
              </w:rPr>
            </w:pPr>
            <w:r>
              <w:rPr>
                <w:rFonts w:hint="eastAsia" w:ascii="宋体" w:hAnsi="宋体" w:eastAsia="宋体" w:cs="宋体"/>
              </w:rPr>
              <w:t>财政拨款</w:t>
            </w:r>
          </w:p>
        </w:tc>
      </w:tr>
    </w:tbl>
    <w:p>
      <w:pPr>
        <w:rPr>
          <w:rFonts w:ascii="宋体" w:hAnsi="宋体" w:eastAsia="宋体" w:cs="宋体"/>
          <w:sz w:val="36"/>
          <w:szCs w:val="36"/>
        </w:rPr>
      </w:pPr>
    </w:p>
    <w:p>
      <w:pPr>
        <w:ind w:firstLine="643" w:firstLineChars="200"/>
        <w:rPr>
          <w:rFonts w:ascii="宋体" w:hAnsi="宋体" w:eastAsia="宋体" w:cs="宋体"/>
          <w:b/>
          <w:bCs/>
          <w:sz w:val="32"/>
          <w:szCs w:val="32"/>
        </w:rPr>
      </w:pPr>
      <w:r>
        <w:rPr>
          <w:rFonts w:hint="eastAsia" w:ascii="宋体" w:hAnsi="宋体" w:eastAsia="宋体" w:cs="宋体"/>
          <w:b/>
          <w:bCs/>
          <w:sz w:val="32"/>
          <w:szCs w:val="32"/>
        </w:rPr>
        <w:t>二</w:t>
      </w:r>
    </w:p>
    <w:p>
      <w:pPr>
        <w:ind w:left="638" w:leftChars="304"/>
        <w:rPr>
          <w:rFonts w:ascii="宋体" w:hAnsi="宋体" w:eastAsia="宋体" w:cs="宋体"/>
          <w:b/>
          <w:bCs/>
          <w:sz w:val="32"/>
          <w:szCs w:val="32"/>
        </w:rPr>
      </w:pPr>
      <w:r>
        <w:rPr>
          <w:rFonts w:hint="eastAsia" w:ascii="宋体" w:hAnsi="宋体" w:eastAsia="宋体" w:cs="宋体"/>
          <w:b/>
          <w:bCs/>
          <w:sz w:val="32"/>
          <w:szCs w:val="32"/>
        </w:rPr>
        <w:t>部</w:t>
      </w:r>
    </w:p>
    <w:p>
      <w:pPr>
        <w:ind w:left="638" w:leftChars="304"/>
        <w:rPr>
          <w:rFonts w:ascii="宋体" w:hAnsi="宋体" w:eastAsia="宋体" w:cs="宋体"/>
          <w:b/>
          <w:bCs/>
          <w:sz w:val="32"/>
          <w:szCs w:val="32"/>
        </w:rPr>
      </w:pPr>
    </w:p>
    <w:p>
      <w:pPr>
        <w:ind w:left="638" w:leftChars="304"/>
        <w:rPr>
          <w:rFonts w:ascii="宋体" w:hAnsi="宋体" w:eastAsia="宋体" w:cs="宋体"/>
          <w:b/>
          <w:bCs/>
          <w:sz w:val="32"/>
          <w:szCs w:val="32"/>
        </w:rPr>
      </w:pPr>
      <w:r>
        <w:rPr>
          <w:rFonts w:hint="eastAsia" w:ascii="宋体" w:hAnsi="宋体" w:eastAsia="宋体" w:cs="宋体"/>
          <w:b/>
          <w:bCs/>
          <w:sz w:val="32"/>
          <w:szCs w:val="32"/>
        </w:rPr>
        <w:t>二、部门预算安排的总体情况</w:t>
      </w:r>
    </w:p>
    <w:p>
      <w:pPr>
        <w:spacing w:line="600" w:lineRule="exact"/>
        <w:ind w:firstLine="640" w:firstLineChars="200"/>
        <w:rPr>
          <w:rFonts w:ascii="宋体" w:hAnsi="宋体" w:eastAsia="宋体" w:cs="宋体"/>
          <w:sz w:val="32"/>
          <w:szCs w:val="32"/>
        </w:rPr>
      </w:pPr>
      <w:r>
        <w:rPr>
          <w:rFonts w:hint="eastAsia" w:ascii="宋体" w:hAnsi="宋体" w:eastAsia="宋体" w:cs="宋体"/>
          <w:sz w:val="32"/>
          <w:szCs w:val="32"/>
        </w:rPr>
        <w:t>按照预算管理有关规定，目前我部门预算的编制实行综合预算制度，即全部收入和支出都反映在预算中。 中国共产党涞源县委员会老干部局收支包含在部门预算中。</w:t>
      </w:r>
    </w:p>
    <w:p>
      <w:pPr>
        <w:ind w:firstLine="643" w:firstLineChars="200"/>
        <w:rPr>
          <w:rFonts w:ascii="宋体" w:hAnsi="宋体" w:eastAsia="宋体" w:cs="宋体"/>
          <w:b/>
          <w:bCs/>
          <w:sz w:val="32"/>
          <w:szCs w:val="32"/>
        </w:rPr>
      </w:pPr>
      <w:r>
        <w:rPr>
          <w:rFonts w:hint="eastAsia" w:ascii="宋体" w:hAnsi="宋体" w:eastAsia="宋体" w:cs="宋体"/>
          <w:b/>
          <w:bCs/>
          <w:sz w:val="32"/>
          <w:szCs w:val="32"/>
        </w:rPr>
        <w:t>1、收入说明</w:t>
      </w:r>
    </w:p>
    <w:p>
      <w:pPr>
        <w:spacing w:line="520" w:lineRule="exact"/>
        <w:ind w:firstLine="640" w:firstLineChars="200"/>
        <w:rPr>
          <w:rFonts w:ascii="宋体" w:hAnsi="宋体" w:eastAsia="宋体" w:cs="宋体"/>
          <w:sz w:val="32"/>
          <w:szCs w:val="32"/>
        </w:rPr>
      </w:pPr>
      <w:r>
        <w:rPr>
          <w:rFonts w:hint="eastAsia" w:ascii="宋体" w:hAnsi="宋体" w:eastAsia="宋体" w:cs="宋体"/>
          <w:sz w:val="32"/>
          <w:szCs w:val="32"/>
        </w:rPr>
        <w:t>反映本部门当年全部收入。2022年预算收入660.51万元。其中一般公共预算收入660.51万元。</w:t>
      </w:r>
    </w:p>
    <w:p>
      <w:pPr>
        <w:spacing w:line="520" w:lineRule="exact"/>
        <w:ind w:firstLine="643" w:firstLineChars="200"/>
        <w:rPr>
          <w:rFonts w:ascii="宋体" w:hAnsi="宋体" w:eastAsia="宋体" w:cs="宋体"/>
          <w:b/>
          <w:bCs/>
          <w:sz w:val="32"/>
          <w:szCs w:val="32"/>
        </w:rPr>
      </w:pPr>
      <w:r>
        <w:rPr>
          <w:rFonts w:hint="eastAsia" w:ascii="宋体" w:hAnsi="宋体" w:eastAsia="宋体" w:cs="宋体"/>
          <w:b/>
          <w:bCs/>
          <w:sz w:val="32"/>
          <w:szCs w:val="32"/>
        </w:rPr>
        <w:t>2、支出说明</w:t>
      </w:r>
    </w:p>
    <w:p>
      <w:pPr>
        <w:spacing w:line="520" w:lineRule="exact"/>
        <w:ind w:firstLine="640" w:firstLineChars="200"/>
        <w:rPr>
          <w:rFonts w:ascii="宋体" w:hAnsi="宋体" w:eastAsia="宋体" w:cs="宋体"/>
          <w:sz w:val="32"/>
          <w:szCs w:val="32"/>
        </w:rPr>
      </w:pPr>
      <w:r>
        <w:rPr>
          <w:rFonts w:hint="eastAsia" w:ascii="宋体" w:hAnsi="宋体" w:eastAsia="宋体" w:cs="宋体"/>
          <w:sz w:val="32"/>
          <w:szCs w:val="32"/>
        </w:rPr>
        <w:t>收支预算总表支出栏、基本支出表、项目支出表按经济分类和支出功能分类科目编制，反映中国共产党涞源县委员会老干部局年度部门预算中支出预算的总体情况。2022年支出预算660.51万元,其中基本支出627.49万元,包括人员经费 576.03万元,日常公用经费51.46万元;项目支出 36.02万元。</w:t>
      </w:r>
    </w:p>
    <w:p>
      <w:pPr>
        <w:tabs>
          <w:tab w:val="left" w:pos="916"/>
        </w:tabs>
        <w:spacing w:line="560" w:lineRule="exact"/>
        <w:ind w:firstLine="643" w:firstLineChars="200"/>
        <w:jc w:val="left"/>
        <w:rPr>
          <w:rFonts w:ascii="宋体" w:hAnsi="宋体" w:eastAsia="宋体" w:cs="宋体"/>
          <w:b/>
          <w:bCs/>
          <w:sz w:val="32"/>
          <w:szCs w:val="32"/>
        </w:rPr>
      </w:pPr>
      <w:r>
        <w:rPr>
          <w:rFonts w:hint="eastAsia" w:ascii="宋体" w:hAnsi="宋体" w:eastAsia="宋体" w:cs="宋体"/>
          <w:b/>
          <w:bCs/>
          <w:sz w:val="32"/>
          <w:szCs w:val="32"/>
        </w:rPr>
        <w:t>3、比上年增减情况</w:t>
      </w:r>
    </w:p>
    <w:p>
      <w:pPr>
        <w:pStyle w:val="16"/>
        <w:rPr>
          <w:rFonts w:ascii="宋体" w:hAnsi="宋体" w:eastAsia="宋体" w:cs="宋体"/>
          <w:sz w:val="32"/>
          <w:szCs w:val="32"/>
        </w:rPr>
      </w:pPr>
      <w:r>
        <w:rPr>
          <w:rFonts w:hint="eastAsia" w:ascii="宋体" w:hAnsi="宋体" w:eastAsia="宋体" w:cs="宋体"/>
          <w:sz w:val="32"/>
          <w:szCs w:val="32"/>
        </w:rPr>
        <w:t>2022年预算收支安排660.51万元，较2021年预算减少118.39万元，其中：基本支出减少116.79万元，主要为人员经费减少支出；项目支出减少1.6万元，主要为离休人员自然减员，省财政补助脱贫县离休医药费相应减少。</w:t>
      </w:r>
    </w:p>
    <w:p>
      <w:pPr>
        <w:spacing w:line="520" w:lineRule="exact"/>
        <w:ind w:firstLine="643" w:firstLineChars="200"/>
        <w:outlineLvl w:val="0"/>
        <w:rPr>
          <w:rFonts w:ascii="宋体" w:hAnsi="宋体" w:eastAsia="宋体" w:cs="宋体"/>
          <w:b/>
          <w:bCs/>
          <w:sz w:val="32"/>
          <w:szCs w:val="32"/>
        </w:rPr>
      </w:pPr>
      <w:r>
        <w:rPr>
          <w:rFonts w:hint="eastAsia" w:ascii="宋体" w:hAnsi="宋体" w:eastAsia="宋体" w:cs="宋体"/>
          <w:b/>
          <w:bCs/>
          <w:sz w:val="32"/>
          <w:szCs w:val="32"/>
        </w:rPr>
        <w:t>三、机关运行经费安排情况</w:t>
      </w:r>
    </w:p>
    <w:p>
      <w:pPr>
        <w:spacing w:line="520" w:lineRule="exact"/>
        <w:ind w:firstLine="640" w:firstLineChars="200"/>
        <w:jc w:val="left"/>
        <w:outlineLvl w:val="0"/>
        <w:rPr>
          <w:rFonts w:ascii="宋体" w:hAnsi="宋体" w:eastAsia="宋体" w:cs="宋体"/>
          <w:sz w:val="32"/>
          <w:szCs w:val="32"/>
        </w:rPr>
      </w:pPr>
      <w:r>
        <w:rPr>
          <w:rFonts w:hint="eastAsia"/>
          <w:color w:val="000000" w:themeColor="text1"/>
          <w:sz w:val="32"/>
          <w:szCs w:val="32"/>
          <w14:textFill>
            <w14:solidFill>
              <w14:schemeClr w14:val="tx1"/>
            </w14:solidFill>
          </w14:textFill>
        </w:rPr>
        <w:t>2</w:t>
      </w:r>
      <w:r>
        <w:rPr>
          <w:color w:val="000000" w:themeColor="text1"/>
          <w:sz w:val="32"/>
          <w:szCs w:val="32"/>
          <w14:textFill>
            <w14:solidFill>
              <w14:schemeClr w14:val="tx1"/>
            </w14:solidFill>
          </w14:textFill>
        </w:rPr>
        <w:t>022年，我部门运行经费共计安排</w:t>
      </w:r>
      <w:r>
        <w:rPr>
          <w:rFonts w:hint="eastAsia"/>
          <w:color w:val="000000" w:themeColor="text1"/>
          <w:sz w:val="32"/>
          <w:szCs w:val="32"/>
          <w14:textFill>
            <w14:solidFill>
              <w14:schemeClr w14:val="tx1"/>
            </w14:solidFill>
          </w14:textFill>
        </w:rPr>
        <w:t>51.46</w:t>
      </w:r>
      <w:r>
        <w:rPr>
          <w:color w:val="000000" w:themeColor="text1"/>
          <w:sz w:val="32"/>
          <w:szCs w:val="32"/>
          <w14:textFill>
            <w14:solidFill>
              <w14:schemeClr w14:val="tx1"/>
            </w14:solidFill>
          </w14:textFill>
        </w:rPr>
        <w:t>万元，</w:t>
      </w:r>
      <w:r>
        <w:rPr>
          <w:rFonts w:hint="eastAsia" w:ascii="宋体" w:hAnsi="宋体" w:eastAsia="宋体" w:cs="宋体"/>
          <w:color w:val="000000" w:themeColor="text1"/>
          <w:sz w:val="32"/>
          <w:szCs w:val="32"/>
          <w14:textFill>
            <w14:solidFill>
              <w14:schemeClr w14:val="tx1"/>
            </w14:solidFill>
          </w14:textFill>
        </w:rPr>
        <w:t>其</w:t>
      </w:r>
      <w:r>
        <w:rPr>
          <w:rFonts w:hint="eastAsia" w:ascii="宋体" w:hAnsi="宋体" w:eastAsia="宋体" w:cs="宋体"/>
          <w:sz w:val="32"/>
          <w:szCs w:val="32"/>
        </w:rPr>
        <w:t>中办公费37.99万元，水费0.61万元，电费1.2万元，邮电费1.26万元，差旅费2.4万元，公务接待费2.4万元，公务用车运行维护费7万元。</w:t>
      </w:r>
    </w:p>
    <w:p>
      <w:pPr>
        <w:spacing w:before="10" w:after="10" w:line="360" w:lineRule="auto"/>
        <w:ind w:firstLine="640"/>
        <w:outlineLvl w:val="2"/>
      </w:pPr>
      <w:bookmarkStart w:id="1" w:name="_Toc_3_3_0000000013"/>
      <w:r>
        <w:rPr>
          <w:rFonts w:ascii="黑体" w:hAnsi="黑体" w:eastAsia="黑体" w:cs="黑体"/>
          <w:color w:val="000000"/>
          <w:sz w:val="32"/>
        </w:rPr>
        <w:t>四、财政拨款“三公”经费预算情况及增减变化原因</w:t>
      </w:r>
      <w:bookmarkEnd w:id="1"/>
    </w:p>
    <w:p>
      <w:pPr>
        <w:pStyle w:val="18"/>
        <w:rPr>
          <w:rFonts w:ascii="黑体" w:hAnsi="黑体" w:eastAsia="黑体" w:cs="黑体"/>
          <w:color w:val="000000"/>
          <w:sz w:val="32"/>
        </w:rPr>
      </w:pPr>
      <w:r>
        <w:rPr>
          <w:rFonts w:hint="eastAsia" w:ascii="宋体" w:hAnsi="宋体" w:eastAsia="宋体" w:cs="宋体"/>
          <w:sz w:val="32"/>
          <w:szCs w:val="32"/>
        </w:rPr>
        <w:t>2022年，我部门财政拨款“三公”经费预算安排9.6万元，其中因公出国（境）费0万元；公务用车购置及运维费7万元（其中：公务用车购置费为0万元，公务用车运维费7万元)；公务接待费2.4万元。与2021年相比没有变化。</w:t>
      </w:r>
      <w:bookmarkStart w:id="2" w:name="_Toc_3_3_0000000014"/>
    </w:p>
    <w:p>
      <w:pPr>
        <w:spacing w:before="10" w:after="10" w:line="360" w:lineRule="auto"/>
        <w:ind w:firstLine="640"/>
        <w:outlineLvl w:val="2"/>
      </w:pPr>
      <w:r>
        <w:rPr>
          <w:rFonts w:ascii="黑体" w:hAnsi="黑体" w:eastAsia="黑体" w:cs="黑体"/>
          <w:color w:val="000000"/>
          <w:sz w:val="32"/>
        </w:rPr>
        <w:t>五、预算绩效信息</w:t>
      </w:r>
      <w:bookmarkEnd w:id="2"/>
    </w:p>
    <w:p>
      <w:pPr>
        <w:ind w:firstLine="640"/>
      </w:pPr>
      <w:r>
        <w:rPr>
          <w:rFonts w:ascii="方正楷体_GBK" w:hAnsi="方正楷体_GBK" w:eastAsia="方正楷体_GBK" w:cs="方正楷体_GBK"/>
          <w:b/>
          <w:color w:val="000000"/>
          <w:sz w:val="32"/>
        </w:rPr>
        <w:t>第一部分 部门整体绩效目标</w:t>
      </w:r>
    </w:p>
    <w:p>
      <w:pPr>
        <w:spacing w:line="520" w:lineRule="exact"/>
        <w:ind w:firstLine="560"/>
        <w:rPr>
          <w:rFonts w:ascii="宋体" w:hAnsi="宋体" w:eastAsia="宋体" w:cs="宋体"/>
          <w:b/>
          <w:bCs/>
          <w:sz w:val="32"/>
          <w:szCs w:val="32"/>
        </w:rPr>
      </w:pPr>
      <w:r>
        <w:rPr>
          <w:rFonts w:hint="eastAsia" w:ascii="宋体" w:hAnsi="宋体" w:eastAsia="宋体" w:cs="宋体"/>
          <w:color w:val="000000"/>
          <w:sz w:val="32"/>
          <w:szCs w:val="32"/>
        </w:rPr>
        <w:t>（一）总体绩效目标</w:t>
      </w:r>
    </w:p>
    <w:p>
      <w:pPr>
        <w:pStyle w:val="19"/>
        <w:spacing w:line="520" w:lineRule="exact"/>
        <w:ind w:firstLine="640" w:firstLineChars="200"/>
        <w:rPr>
          <w:rFonts w:ascii="宋体" w:hAnsi="宋体" w:eastAsia="宋体" w:cs="宋体"/>
          <w:sz w:val="32"/>
          <w:szCs w:val="32"/>
        </w:rPr>
      </w:pPr>
      <w:r>
        <w:rPr>
          <w:rFonts w:hint="eastAsia" w:ascii="宋体" w:hAnsi="宋体" w:eastAsia="宋体" w:cs="宋体"/>
          <w:sz w:val="32"/>
          <w:szCs w:val="32"/>
        </w:rPr>
        <w:t>2022年紧紧围绕</w:t>
      </w:r>
      <w:r>
        <w:rPr>
          <w:rFonts w:hint="eastAsia" w:ascii="宋体" w:hAnsi="宋体" w:eastAsia="宋体" w:cs="宋体"/>
          <w:sz w:val="32"/>
          <w:szCs w:val="32"/>
          <w:lang w:eastAsia="zh-CN"/>
        </w:rPr>
        <w:t>县委、县政府</w:t>
      </w:r>
      <w:r>
        <w:rPr>
          <w:rFonts w:hint="eastAsia" w:ascii="宋体" w:hAnsi="宋体" w:eastAsia="宋体" w:cs="宋体"/>
          <w:sz w:val="32"/>
          <w:szCs w:val="32"/>
        </w:rPr>
        <w:t>中心工作，按照中央和省、市委关于做好老干部工作的部署要求，牢固树立老干部工作为党的事业增添正能量的价值取向，进一步落实离退休干部政治、生活待遇，抓好老干部党建工作；做好老干部活动中心和老年大学工作，开展寓教于乐的文体活动，丰富老干部晚年生活；走访慰问老干部，为离休和副县老干部生日送蛋糕、住院看望、定期体检等系列亲情服务活动；召开老干部工作会议；帮扶特困离退休干部；按规定核销离休干部医药费，并及时发放；继续做好关心下一代工作；改善办公条件和老干部娱乐环境，对老干部局大院和办公楼进行必要的修缮。</w:t>
      </w:r>
    </w:p>
    <w:p>
      <w:pPr>
        <w:spacing w:line="500" w:lineRule="exact"/>
        <w:ind w:firstLine="560"/>
        <w:rPr>
          <w:rFonts w:ascii="宋体" w:hAnsi="宋体" w:eastAsia="宋体" w:cs="宋体"/>
          <w:sz w:val="32"/>
          <w:szCs w:val="32"/>
        </w:rPr>
      </w:pPr>
      <w:r>
        <w:rPr>
          <w:rFonts w:hint="eastAsia" w:ascii="宋体" w:hAnsi="宋体" w:eastAsia="宋体" w:cs="宋体"/>
          <w:color w:val="000000"/>
          <w:sz w:val="32"/>
          <w:szCs w:val="32"/>
        </w:rPr>
        <w:t>（二）分项绩效目标</w:t>
      </w:r>
    </w:p>
    <w:p>
      <w:pPr>
        <w:pStyle w:val="20"/>
        <w:spacing w:line="520" w:lineRule="exact"/>
        <w:rPr>
          <w:rFonts w:ascii="宋体" w:hAnsi="宋体" w:eastAsia="宋体" w:cs="宋体"/>
          <w:sz w:val="32"/>
          <w:szCs w:val="32"/>
        </w:rPr>
      </w:pPr>
      <w:r>
        <w:rPr>
          <w:rFonts w:hint="eastAsia" w:ascii="宋体" w:hAnsi="宋体" w:eastAsia="宋体" w:cs="宋体"/>
          <w:sz w:val="32"/>
          <w:szCs w:val="32"/>
        </w:rPr>
        <w:t>一、进一步落实离退休干部政治、生活待遇</w:t>
      </w:r>
    </w:p>
    <w:p>
      <w:pPr>
        <w:pStyle w:val="20"/>
        <w:spacing w:line="520" w:lineRule="exact"/>
        <w:rPr>
          <w:rFonts w:ascii="宋体" w:hAnsi="宋体" w:eastAsia="宋体" w:cs="宋体"/>
          <w:sz w:val="32"/>
          <w:szCs w:val="32"/>
        </w:rPr>
      </w:pPr>
      <w:r>
        <w:rPr>
          <w:rFonts w:hint="eastAsia" w:ascii="宋体" w:hAnsi="宋体" w:eastAsia="宋体" w:cs="宋体"/>
          <w:sz w:val="32"/>
          <w:szCs w:val="32"/>
        </w:rPr>
        <w:t>1、进一步抓好老干部党建工作。拓宽渠道加强组织建设，为老干部搞好配套服务，计划成立老干部党工委，由党工委服务管理退休党员干部。采取多种形式开展好组织生活。</w:t>
      </w:r>
    </w:p>
    <w:p>
      <w:pPr>
        <w:pStyle w:val="20"/>
        <w:spacing w:line="520" w:lineRule="exact"/>
        <w:rPr>
          <w:rFonts w:ascii="宋体" w:hAnsi="宋体" w:eastAsia="宋体" w:cs="宋体"/>
          <w:sz w:val="32"/>
          <w:szCs w:val="32"/>
        </w:rPr>
      </w:pPr>
      <w:r>
        <w:rPr>
          <w:rFonts w:hint="eastAsia" w:ascii="宋体" w:hAnsi="宋体" w:eastAsia="宋体" w:cs="宋体"/>
          <w:sz w:val="32"/>
          <w:szCs w:val="32"/>
        </w:rPr>
        <w:t>2.开展庆祝重阳节活动。在重阳节到来之际，召开向老干部通报县经济社会发展情况通报会或座谈会。</w:t>
      </w:r>
    </w:p>
    <w:p>
      <w:pPr>
        <w:pStyle w:val="20"/>
        <w:spacing w:line="520" w:lineRule="exact"/>
        <w:rPr>
          <w:rFonts w:ascii="宋体" w:hAnsi="宋体" w:eastAsia="宋体" w:cs="宋体"/>
          <w:sz w:val="32"/>
          <w:szCs w:val="32"/>
        </w:rPr>
      </w:pPr>
      <w:r>
        <w:rPr>
          <w:rFonts w:hint="eastAsia" w:ascii="宋体" w:hAnsi="宋体" w:eastAsia="宋体" w:cs="宋体"/>
          <w:sz w:val="32"/>
          <w:szCs w:val="32"/>
        </w:rPr>
        <w:t>3.做好任过县级实职离退休干部的体检工作。</w:t>
      </w:r>
    </w:p>
    <w:p>
      <w:pPr>
        <w:pStyle w:val="20"/>
        <w:spacing w:line="520" w:lineRule="exact"/>
        <w:rPr>
          <w:rFonts w:ascii="宋体" w:hAnsi="宋体" w:eastAsia="宋体" w:cs="宋体"/>
          <w:sz w:val="32"/>
          <w:szCs w:val="32"/>
        </w:rPr>
      </w:pPr>
      <w:r>
        <w:rPr>
          <w:rFonts w:hint="eastAsia" w:ascii="宋体" w:hAnsi="宋体" w:eastAsia="宋体" w:cs="宋体"/>
          <w:sz w:val="32"/>
          <w:szCs w:val="32"/>
        </w:rPr>
        <w:t>4.强化老干部活动中心工作。继续开展好老干部文体活动。以金色夕阳艺术团、老年书画研究会、老年体育协会、台球门球队、象棋组为平台，组织开展多种活动，丰富老干部的精神生活，展示老干部“老有所为、老有所乐”的精神面貌。在重大节日如妇女节、劳动节、七一、国庆节、重阳节举办老干部棋类、球类比赛、书法展览、文艺联欢活动，并加大对老干活动中心的投入，购买图书、演出服装，娱乐器材，丰富老干部晚年生活。</w:t>
      </w:r>
    </w:p>
    <w:p>
      <w:pPr>
        <w:pStyle w:val="20"/>
        <w:spacing w:line="520" w:lineRule="exact"/>
        <w:rPr>
          <w:rFonts w:ascii="宋体" w:hAnsi="宋体" w:eastAsia="宋体" w:cs="宋体"/>
          <w:sz w:val="32"/>
          <w:szCs w:val="32"/>
        </w:rPr>
      </w:pPr>
      <w:r>
        <w:rPr>
          <w:rFonts w:hint="eastAsia" w:ascii="宋体" w:hAnsi="宋体" w:eastAsia="宋体" w:cs="宋体"/>
          <w:sz w:val="32"/>
          <w:szCs w:val="32"/>
        </w:rPr>
        <w:t>5.按规定核销离休干部医药费，每年4月和10月老干部局收离休干部药费单据，会同财政局、卫健局进行审核，老干部局负责发放。</w:t>
      </w:r>
    </w:p>
    <w:p>
      <w:pPr>
        <w:pStyle w:val="20"/>
        <w:spacing w:line="520" w:lineRule="exact"/>
        <w:rPr>
          <w:rFonts w:ascii="宋体" w:hAnsi="宋体" w:eastAsia="宋体" w:cs="宋体"/>
          <w:sz w:val="32"/>
          <w:szCs w:val="32"/>
        </w:rPr>
      </w:pPr>
      <w:r>
        <w:rPr>
          <w:rFonts w:hint="eastAsia" w:ascii="宋体" w:hAnsi="宋体" w:eastAsia="宋体" w:cs="宋体"/>
          <w:sz w:val="32"/>
          <w:szCs w:val="32"/>
        </w:rPr>
        <w:t>6.进一步落实老干部政治生活待遇。一是坚持元旦、春节、中秋节、重阳节等重大节日走访慰问老干部制度，坚持看望住院生病老干部制度，加大对特困离退休干部的帮扶机制。二是坚持“以人为本，服务为先”原则，尊重老干部、热爱老干部，对老干部态度要热情和蔼。三是继续深化为离休和副县老干部生日送蛋糕、住院看望、节日慰问、定期体检等系列亲情服务活动。</w:t>
      </w:r>
    </w:p>
    <w:p>
      <w:pPr>
        <w:pStyle w:val="20"/>
        <w:spacing w:line="520" w:lineRule="exact"/>
        <w:rPr>
          <w:rFonts w:ascii="宋体" w:hAnsi="宋体" w:eastAsia="宋体" w:cs="宋体"/>
          <w:sz w:val="32"/>
          <w:szCs w:val="32"/>
        </w:rPr>
      </w:pPr>
      <w:r>
        <w:rPr>
          <w:rFonts w:hint="eastAsia" w:ascii="宋体" w:hAnsi="宋体" w:eastAsia="宋体" w:cs="宋体"/>
          <w:sz w:val="32"/>
          <w:szCs w:val="32"/>
        </w:rPr>
        <w:t>二、务实创新做好关心下一代工作</w:t>
      </w:r>
    </w:p>
    <w:p>
      <w:pPr>
        <w:pStyle w:val="20"/>
        <w:spacing w:line="520" w:lineRule="exact"/>
        <w:rPr>
          <w:rFonts w:ascii="宋体" w:hAnsi="宋体" w:eastAsia="宋体" w:cs="宋体"/>
          <w:sz w:val="32"/>
          <w:szCs w:val="32"/>
        </w:rPr>
      </w:pPr>
      <w:r>
        <w:rPr>
          <w:rFonts w:hint="eastAsia" w:ascii="宋体" w:hAnsi="宋体" w:eastAsia="宋体" w:cs="宋体"/>
          <w:sz w:val="32"/>
          <w:szCs w:val="32"/>
        </w:rPr>
        <w:t xml:space="preserve">继续加强基层关工委组织建设：重点打造一个高标准五老关爱阵地，培养树立一个关爱帮扶工作品牌；改善关工委办公条件，购买必要的办公设备和专用设备。 </w:t>
      </w:r>
    </w:p>
    <w:p>
      <w:pPr>
        <w:pStyle w:val="20"/>
        <w:spacing w:line="520" w:lineRule="exact"/>
        <w:rPr>
          <w:rFonts w:ascii="宋体" w:hAnsi="宋体" w:eastAsia="宋体" w:cs="宋体"/>
          <w:sz w:val="32"/>
          <w:szCs w:val="32"/>
        </w:rPr>
      </w:pPr>
      <w:r>
        <w:rPr>
          <w:rFonts w:hint="eastAsia" w:ascii="宋体" w:hAnsi="宋体" w:eastAsia="宋体" w:cs="宋体"/>
          <w:sz w:val="32"/>
          <w:szCs w:val="32"/>
        </w:rPr>
        <w:t>三、加大投入做好综合事务管理</w:t>
      </w:r>
    </w:p>
    <w:p>
      <w:pPr>
        <w:pStyle w:val="20"/>
        <w:spacing w:line="520" w:lineRule="exact"/>
        <w:rPr>
          <w:rFonts w:ascii="宋体" w:hAnsi="宋体" w:eastAsia="宋体" w:cs="宋体"/>
          <w:sz w:val="32"/>
          <w:szCs w:val="32"/>
        </w:rPr>
      </w:pPr>
      <w:r>
        <w:rPr>
          <w:rFonts w:hint="eastAsia" w:ascii="宋体" w:hAnsi="宋体" w:eastAsia="宋体" w:cs="宋体"/>
          <w:sz w:val="32"/>
          <w:szCs w:val="32"/>
        </w:rPr>
        <w:t>改善办公条件和老干部娱乐环境，对老干部局大院和办公楼进行必要的修缮。</w:t>
      </w:r>
    </w:p>
    <w:p>
      <w:pPr>
        <w:spacing w:line="500" w:lineRule="exact"/>
        <w:ind w:firstLine="640" w:firstLineChars="200"/>
        <w:jc w:val="left"/>
        <w:outlineLvl w:val="1"/>
        <w:rPr>
          <w:rFonts w:ascii="宋体" w:hAnsi="宋体" w:eastAsia="宋体" w:cs="宋体"/>
          <w:sz w:val="32"/>
          <w:szCs w:val="32"/>
        </w:rPr>
      </w:pPr>
      <w:r>
        <w:rPr>
          <w:rFonts w:hint="eastAsia" w:ascii="宋体" w:hAnsi="宋体" w:eastAsia="宋体" w:cs="宋体"/>
          <w:sz w:val="32"/>
          <w:szCs w:val="32"/>
        </w:rPr>
        <w:t>（三）工作保障措施</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TC 工作保障措施 \f A \l 1 </w:instrText>
      </w:r>
      <w:r>
        <w:rPr>
          <w:rFonts w:hint="eastAsia" w:ascii="宋体" w:hAnsi="宋体" w:eastAsia="宋体" w:cs="宋体"/>
          <w:sz w:val="32"/>
          <w:szCs w:val="32"/>
        </w:rPr>
        <w:fldChar w:fldCharType="end"/>
      </w:r>
    </w:p>
    <w:p>
      <w:pPr>
        <w:spacing w:line="500" w:lineRule="exact"/>
        <w:ind w:firstLine="640" w:firstLineChars="200"/>
        <w:jc w:val="left"/>
        <w:rPr>
          <w:rFonts w:ascii="宋体" w:hAnsi="宋体" w:eastAsia="宋体" w:cs="宋体"/>
          <w:sz w:val="32"/>
          <w:szCs w:val="32"/>
        </w:rPr>
      </w:pPr>
      <w:r>
        <w:rPr>
          <w:rFonts w:hint="eastAsia" w:ascii="宋体" w:hAnsi="宋体" w:eastAsia="宋体" w:cs="宋体"/>
          <w:sz w:val="32"/>
          <w:szCs w:val="32"/>
        </w:rPr>
        <w:t>1.加强组织领导，建立考核制度。局领导班子将预算工作列入重要议事日程，成立了以局长为组长的领导小组，分解年度发展规划目标，责任到人，每半年考核一次。</w:t>
      </w:r>
    </w:p>
    <w:p>
      <w:pPr>
        <w:spacing w:line="500" w:lineRule="exact"/>
        <w:ind w:firstLine="640" w:firstLineChars="200"/>
        <w:jc w:val="left"/>
        <w:rPr>
          <w:rFonts w:ascii="宋体" w:hAnsi="宋体" w:eastAsia="宋体" w:cs="宋体"/>
          <w:sz w:val="32"/>
          <w:szCs w:val="32"/>
        </w:rPr>
      </w:pPr>
      <w:r>
        <w:rPr>
          <w:rFonts w:hint="eastAsia" w:ascii="宋体" w:hAnsi="宋体" w:eastAsia="宋体" w:cs="宋体"/>
          <w:sz w:val="32"/>
          <w:szCs w:val="32"/>
        </w:rPr>
        <w:t>2.提高人员素质，建立学习制度。以“政治坚定、求实创新，尊老敬老、优质服务，爱岗敬业、无私奉献，清正廉洁、奋发有为”的32字老干部工作者职业道德规范为目标，加强工作人员思想政治教育和职业道德教育，每星期五下午集体学习半天，努力打造一支廉洁高效、求真务实、开拓创新的老干部工作队伍，努力完成年初制定发展规划目标，再创老干部工作新局面。</w:t>
      </w:r>
    </w:p>
    <w:p>
      <w:pPr>
        <w:spacing w:line="500" w:lineRule="exact"/>
        <w:ind w:firstLine="640" w:firstLineChars="200"/>
        <w:jc w:val="left"/>
        <w:rPr>
          <w:rFonts w:ascii="宋体" w:hAnsi="宋体" w:eastAsia="宋体" w:cs="宋体"/>
          <w:sz w:val="32"/>
          <w:szCs w:val="32"/>
        </w:rPr>
      </w:pPr>
      <w:r>
        <w:rPr>
          <w:rFonts w:hint="eastAsia" w:ascii="宋体" w:hAnsi="宋体" w:eastAsia="宋体" w:cs="宋体"/>
          <w:sz w:val="32"/>
          <w:szCs w:val="32"/>
        </w:rPr>
        <w:t>3.广泛征求意见，建立监督制度。我局将对全年的工作目标，以主动入户、电话征询、走访慰问、发短信等多种形式，向老干部征求意见，聘请身体好、党性强、作风实的老干部为监督员。</w:t>
      </w:r>
    </w:p>
    <w:p>
      <w:pPr>
        <w:spacing w:line="500" w:lineRule="exact"/>
        <w:ind w:firstLine="640" w:firstLineChars="200"/>
        <w:jc w:val="left"/>
        <w:rPr>
          <w:rFonts w:ascii="宋体" w:hAnsi="宋体" w:eastAsia="宋体" w:cs="宋体"/>
          <w:sz w:val="32"/>
          <w:szCs w:val="32"/>
        </w:rPr>
      </w:pPr>
      <w:r>
        <w:rPr>
          <w:rFonts w:hint="eastAsia" w:ascii="宋体" w:hAnsi="宋体" w:eastAsia="宋体" w:cs="宋体"/>
          <w:sz w:val="32"/>
          <w:szCs w:val="32"/>
        </w:rPr>
        <w:t>4.完善管理制度，建立长效机制。健全内部管理制度是促进老干部工作规范、务实、高效的重要保证，本年度将继续完善考勤制度、公务接待制度、公车使用管理等制度，使老干部工作人员明确岗位职责、掌握工作标准、严守工作纪律、规范日常行为，做到各项工作有章可循、规范有序，形成用制度规范行为、按制度管人办事的长效机制。</w:t>
      </w: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第二部分  专项资金绩效目标</w:t>
      </w:r>
    </w:p>
    <w:p>
      <w:pPr>
        <w:ind w:firstLine="560"/>
        <w:jc w:val="left"/>
        <w:outlineLvl w:val="3"/>
      </w:pPr>
      <w:bookmarkStart w:id="3" w:name="_Toc_4_4_0000000004"/>
      <w:r>
        <w:rPr>
          <w:rFonts w:ascii="方正仿宋_GBK" w:hAnsi="方正仿宋_GBK" w:eastAsia="方正仿宋_GBK" w:cs="方正仿宋_GBK"/>
          <w:color w:val="000000"/>
          <w:sz w:val="28"/>
        </w:rPr>
        <w:t>1.冀财社（2021）194号提前下达2022年脱贫县离休干部医药费不足和资金绩效目标表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287001中国共产党涞源县委员会老干部局本级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4"/>
            </w:pPr>
            <w:r>
              <w:t>13063022P00373610001X</w:t>
            </w:r>
          </w:p>
        </w:tc>
        <w:tc>
          <w:tcPr>
            <w:tcW w:w="1587" w:type="dxa"/>
            <w:vAlign w:val="center"/>
          </w:tcPr>
          <w:p>
            <w:pPr>
              <w:pStyle w:val="10"/>
            </w:pPr>
            <w:r>
              <w:t>项目名称</w:t>
            </w:r>
          </w:p>
        </w:tc>
        <w:tc>
          <w:tcPr>
            <w:tcW w:w="4422" w:type="dxa"/>
            <w:gridSpan w:val="3"/>
            <w:vAlign w:val="center"/>
          </w:tcPr>
          <w:p>
            <w:pPr>
              <w:pStyle w:val="14"/>
            </w:pPr>
            <w:r>
              <w:t>冀财社（2021）194号提前下达2022年脱贫县离休干部医药费不足和资金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4"/>
            </w:pPr>
            <w:r>
              <w:t>7.20</w:t>
            </w:r>
          </w:p>
        </w:tc>
        <w:tc>
          <w:tcPr>
            <w:tcW w:w="1587" w:type="dxa"/>
            <w:vAlign w:val="center"/>
          </w:tcPr>
          <w:p>
            <w:pPr>
              <w:pStyle w:val="10"/>
            </w:pPr>
            <w:r>
              <w:t>其中：财政    资金</w:t>
            </w:r>
          </w:p>
        </w:tc>
        <w:tc>
          <w:tcPr>
            <w:tcW w:w="1304" w:type="dxa"/>
            <w:vAlign w:val="center"/>
          </w:tcPr>
          <w:p>
            <w:pPr>
              <w:pStyle w:val="14"/>
            </w:pPr>
            <w:r>
              <w:t>7.20</w:t>
            </w:r>
          </w:p>
        </w:tc>
        <w:tc>
          <w:tcPr>
            <w:tcW w:w="1276" w:type="dxa"/>
            <w:vAlign w:val="center"/>
          </w:tcPr>
          <w:p>
            <w:pPr>
              <w:pStyle w:val="10"/>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用于离休干部医药费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4"/>
            </w:pPr>
            <w:r>
              <w:t>1.全额用于离休干部医药费</w:t>
            </w:r>
          </w:p>
          <w:p>
            <w:pPr>
              <w:pStyle w:val="14"/>
            </w:pPr>
            <w:r>
              <w:t>2.全额用于离休干部医药费</w:t>
            </w:r>
          </w:p>
          <w:p>
            <w:pPr>
              <w:pStyle w:val="14"/>
            </w:pPr>
            <w:r>
              <w:t>3.全额用于离休干部医药费</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4"/>
            </w:pPr>
            <w:r>
              <w:t>质量指标</w:t>
            </w:r>
          </w:p>
        </w:tc>
        <w:tc>
          <w:tcPr>
            <w:tcW w:w="1332" w:type="dxa"/>
            <w:vAlign w:val="center"/>
          </w:tcPr>
          <w:p>
            <w:pPr>
              <w:pStyle w:val="14"/>
            </w:pPr>
            <w:r>
              <w:t>覆盖率</w:t>
            </w:r>
          </w:p>
        </w:tc>
        <w:tc>
          <w:tcPr>
            <w:tcW w:w="2891" w:type="dxa"/>
            <w:vAlign w:val="center"/>
          </w:tcPr>
          <w:p>
            <w:pPr>
              <w:pStyle w:val="14"/>
            </w:pPr>
            <w:r>
              <w:t>覆盖率</w:t>
            </w:r>
          </w:p>
        </w:tc>
        <w:tc>
          <w:tcPr>
            <w:tcW w:w="1276" w:type="dxa"/>
            <w:vAlign w:val="center"/>
          </w:tcPr>
          <w:p>
            <w:pPr>
              <w:pStyle w:val="14"/>
            </w:pPr>
            <w:r>
              <w:t>100百分比</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≥95百分比</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完成率</w:t>
            </w:r>
          </w:p>
        </w:tc>
        <w:tc>
          <w:tcPr>
            <w:tcW w:w="2891" w:type="dxa"/>
            <w:vAlign w:val="center"/>
          </w:tcPr>
          <w:p>
            <w:pPr>
              <w:pStyle w:val="14"/>
            </w:pPr>
            <w:r>
              <w:t>完成率</w:t>
            </w:r>
          </w:p>
        </w:tc>
        <w:tc>
          <w:tcPr>
            <w:tcW w:w="1276" w:type="dxa"/>
            <w:vAlign w:val="center"/>
          </w:tcPr>
          <w:p>
            <w:pPr>
              <w:pStyle w:val="14"/>
            </w:pPr>
            <w:r>
              <w:t>100百分比</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完成率</w:t>
            </w:r>
          </w:p>
        </w:tc>
        <w:tc>
          <w:tcPr>
            <w:tcW w:w="2891" w:type="dxa"/>
            <w:vAlign w:val="center"/>
          </w:tcPr>
          <w:p>
            <w:pPr>
              <w:pStyle w:val="14"/>
            </w:pPr>
            <w:r>
              <w:t>完成率</w:t>
            </w:r>
          </w:p>
        </w:tc>
        <w:tc>
          <w:tcPr>
            <w:tcW w:w="1276" w:type="dxa"/>
            <w:vAlign w:val="center"/>
          </w:tcPr>
          <w:p>
            <w:pPr>
              <w:pStyle w:val="14"/>
            </w:pPr>
            <w:r>
              <w:t>100百分比</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4"/>
            </w:pPr>
            <w:r>
              <w:t>经济效益指标</w:t>
            </w:r>
          </w:p>
        </w:tc>
        <w:tc>
          <w:tcPr>
            <w:tcW w:w="1332" w:type="dxa"/>
            <w:vAlign w:val="center"/>
          </w:tcPr>
          <w:p>
            <w:pPr>
              <w:pStyle w:val="14"/>
            </w:pPr>
            <w:r>
              <w:t>资金的使用效率</w:t>
            </w:r>
          </w:p>
        </w:tc>
        <w:tc>
          <w:tcPr>
            <w:tcW w:w="2891" w:type="dxa"/>
            <w:vAlign w:val="center"/>
          </w:tcPr>
          <w:p>
            <w:pPr>
              <w:pStyle w:val="14"/>
            </w:pPr>
            <w:r>
              <w:t>资金的使用效率</w:t>
            </w:r>
          </w:p>
        </w:tc>
        <w:tc>
          <w:tcPr>
            <w:tcW w:w="1276" w:type="dxa"/>
            <w:vAlign w:val="center"/>
          </w:tcPr>
          <w:p>
            <w:pPr>
              <w:pStyle w:val="14"/>
            </w:pPr>
            <w:r>
              <w:t>100百分比</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服务效率</w:t>
            </w:r>
          </w:p>
        </w:tc>
        <w:tc>
          <w:tcPr>
            <w:tcW w:w="2891" w:type="dxa"/>
            <w:vAlign w:val="center"/>
          </w:tcPr>
          <w:p>
            <w:pPr>
              <w:pStyle w:val="14"/>
            </w:pPr>
            <w:r>
              <w:t>服务效率</w:t>
            </w:r>
          </w:p>
        </w:tc>
        <w:tc>
          <w:tcPr>
            <w:tcW w:w="1276" w:type="dxa"/>
            <w:vAlign w:val="center"/>
          </w:tcPr>
          <w:p>
            <w:pPr>
              <w:pStyle w:val="14"/>
            </w:pPr>
            <w:r>
              <w:t>≥95百分比</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示范带动作用</w:t>
            </w:r>
          </w:p>
        </w:tc>
        <w:tc>
          <w:tcPr>
            <w:tcW w:w="2891" w:type="dxa"/>
            <w:vAlign w:val="center"/>
          </w:tcPr>
          <w:p>
            <w:pPr>
              <w:pStyle w:val="14"/>
            </w:pPr>
            <w:r>
              <w:t>示范带动作用</w:t>
            </w:r>
          </w:p>
        </w:tc>
        <w:tc>
          <w:tcPr>
            <w:tcW w:w="1276" w:type="dxa"/>
            <w:vAlign w:val="center"/>
          </w:tcPr>
          <w:p>
            <w:pPr>
              <w:pStyle w:val="14"/>
            </w:pPr>
            <w:r>
              <w:t>≥95百分比</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4"/>
            </w:pPr>
            <w:r>
              <w:t>服务对象满意度指标</w:t>
            </w:r>
          </w:p>
        </w:tc>
        <w:tc>
          <w:tcPr>
            <w:tcW w:w="1332" w:type="dxa"/>
            <w:vAlign w:val="center"/>
          </w:tcPr>
          <w:p>
            <w:pPr>
              <w:pStyle w:val="14"/>
            </w:pPr>
            <w:r>
              <w:t>服务对象的满意度</w:t>
            </w:r>
          </w:p>
        </w:tc>
        <w:tc>
          <w:tcPr>
            <w:tcW w:w="2891" w:type="dxa"/>
            <w:vAlign w:val="center"/>
          </w:tcPr>
          <w:p>
            <w:pPr>
              <w:pStyle w:val="14"/>
            </w:pPr>
            <w:r>
              <w:t>服务对象的满意度</w:t>
            </w:r>
          </w:p>
        </w:tc>
        <w:tc>
          <w:tcPr>
            <w:tcW w:w="1276" w:type="dxa"/>
            <w:vAlign w:val="center"/>
          </w:tcPr>
          <w:p>
            <w:pPr>
              <w:pStyle w:val="14"/>
            </w:pPr>
            <w:r>
              <w:t>≥98百分比</w:t>
            </w:r>
          </w:p>
        </w:tc>
        <w:tc>
          <w:tcPr>
            <w:tcW w:w="1843" w:type="dxa"/>
            <w:vAlign w:val="center"/>
          </w:tcPr>
          <w:p>
            <w:pPr>
              <w:pStyle w:val="14"/>
            </w:pPr>
          </w:p>
        </w:tc>
      </w:tr>
    </w:tbl>
    <w:p>
      <w:pPr>
        <w:sectPr>
          <w:footerReference r:id="rId3" w:type="default"/>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jc w:val="left"/>
        <w:outlineLvl w:val="3"/>
      </w:pPr>
      <w:bookmarkStart w:id="4" w:name="_Toc_4_4_0000000005"/>
      <w:r>
        <w:rPr>
          <w:rFonts w:ascii="方正仿宋_GBK" w:hAnsi="方正仿宋_GBK" w:eastAsia="方正仿宋_GBK" w:cs="方正仿宋_GBK"/>
          <w:color w:val="000000"/>
          <w:sz w:val="28"/>
        </w:rPr>
        <w:t>2.老干部活动经费绩效目标表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287001中国共产党涞源县委员会老干部局本级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4"/>
            </w:pPr>
            <w:r>
              <w:t>13063022P004395100017</w:t>
            </w:r>
          </w:p>
        </w:tc>
        <w:tc>
          <w:tcPr>
            <w:tcW w:w="1587" w:type="dxa"/>
            <w:vAlign w:val="center"/>
          </w:tcPr>
          <w:p>
            <w:pPr>
              <w:pStyle w:val="10"/>
            </w:pPr>
            <w:r>
              <w:t>项目名称</w:t>
            </w:r>
          </w:p>
        </w:tc>
        <w:tc>
          <w:tcPr>
            <w:tcW w:w="4422" w:type="dxa"/>
            <w:gridSpan w:val="3"/>
            <w:vAlign w:val="center"/>
          </w:tcPr>
          <w:p>
            <w:pPr>
              <w:pStyle w:val="14"/>
            </w:pPr>
            <w:r>
              <w:t>老干部活动经费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4"/>
            </w:pPr>
            <w:r>
              <w:t>5.00</w:t>
            </w:r>
          </w:p>
        </w:tc>
        <w:tc>
          <w:tcPr>
            <w:tcW w:w="1587" w:type="dxa"/>
            <w:vAlign w:val="center"/>
          </w:tcPr>
          <w:p>
            <w:pPr>
              <w:pStyle w:val="10"/>
            </w:pPr>
            <w:r>
              <w:t>其中：财政    资金</w:t>
            </w:r>
          </w:p>
        </w:tc>
        <w:tc>
          <w:tcPr>
            <w:tcW w:w="1304" w:type="dxa"/>
            <w:vAlign w:val="center"/>
          </w:tcPr>
          <w:p>
            <w:pPr>
              <w:pStyle w:val="14"/>
            </w:pPr>
            <w:r>
              <w:t>5.00</w:t>
            </w:r>
          </w:p>
        </w:tc>
        <w:tc>
          <w:tcPr>
            <w:tcW w:w="1276" w:type="dxa"/>
            <w:vAlign w:val="center"/>
          </w:tcPr>
          <w:p>
            <w:pPr>
              <w:pStyle w:val="10"/>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用于老干部重大节日开展文体活动或组织老干部参观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4"/>
            </w:pPr>
            <w:r>
              <w:t>1.目标内容1重大节日组织老干部开展各项文体活动，不定期组织老干部参观考察。</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4"/>
            </w:pPr>
            <w:r>
              <w:t>数量指标</w:t>
            </w:r>
          </w:p>
        </w:tc>
        <w:tc>
          <w:tcPr>
            <w:tcW w:w="1332" w:type="dxa"/>
            <w:vAlign w:val="center"/>
          </w:tcPr>
          <w:p>
            <w:pPr>
              <w:pStyle w:val="14"/>
            </w:pPr>
            <w:r>
              <w:t>举办活动场次</w:t>
            </w:r>
          </w:p>
        </w:tc>
        <w:tc>
          <w:tcPr>
            <w:tcW w:w="2891" w:type="dxa"/>
            <w:vAlign w:val="center"/>
          </w:tcPr>
          <w:p>
            <w:pPr>
              <w:pStyle w:val="14"/>
            </w:pPr>
            <w:r>
              <w:t>举办活动场次</w:t>
            </w:r>
          </w:p>
        </w:tc>
        <w:tc>
          <w:tcPr>
            <w:tcW w:w="1276" w:type="dxa"/>
            <w:vAlign w:val="center"/>
          </w:tcPr>
          <w:p>
            <w:pPr>
              <w:pStyle w:val="14"/>
            </w:pPr>
            <w:r>
              <w:t>≥3次</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检查项目完成率</w:t>
            </w:r>
          </w:p>
        </w:tc>
        <w:tc>
          <w:tcPr>
            <w:tcW w:w="2891" w:type="dxa"/>
            <w:vAlign w:val="center"/>
          </w:tcPr>
          <w:p>
            <w:pPr>
              <w:pStyle w:val="14"/>
            </w:pPr>
            <w:r>
              <w:t>项目完成率</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服务的完成度</w:t>
            </w:r>
          </w:p>
        </w:tc>
        <w:tc>
          <w:tcPr>
            <w:tcW w:w="2891" w:type="dxa"/>
            <w:vAlign w:val="center"/>
          </w:tcPr>
          <w:p>
            <w:pPr>
              <w:pStyle w:val="14"/>
            </w:pPr>
            <w:r>
              <w:t>服务的完成度</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5万元</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社会影响力</w:t>
            </w:r>
          </w:p>
        </w:tc>
        <w:tc>
          <w:tcPr>
            <w:tcW w:w="2891" w:type="dxa"/>
            <w:vAlign w:val="center"/>
          </w:tcPr>
          <w:p>
            <w:pPr>
              <w:pStyle w:val="14"/>
            </w:pPr>
            <w:r>
              <w:t>社会影响力</w:t>
            </w:r>
          </w:p>
        </w:tc>
        <w:tc>
          <w:tcPr>
            <w:tcW w:w="1276" w:type="dxa"/>
            <w:vAlign w:val="center"/>
          </w:tcPr>
          <w:p>
            <w:pPr>
              <w:pStyle w:val="14"/>
            </w:pPr>
            <w:r>
              <w:t>≥90%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≥90%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可持续性</w:t>
            </w:r>
          </w:p>
        </w:tc>
        <w:tc>
          <w:tcPr>
            <w:tcW w:w="2891" w:type="dxa"/>
            <w:vAlign w:val="center"/>
          </w:tcPr>
          <w:p>
            <w:pPr>
              <w:pStyle w:val="14"/>
            </w:pPr>
            <w:r>
              <w:t>可持续性</w:t>
            </w:r>
          </w:p>
        </w:tc>
        <w:tc>
          <w:tcPr>
            <w:tcW w:w="1276" w:type="dxa"/>
            <w:vAlign w:val="center"/>
          </w:tcPr>
          <w:p>
            <w:pPr>
              <w:pStyle w:val="14"/>
            </w:pPr>
            <w:r>
              <w:t>≥90%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4"/>
            </w:pPr>
            <w:r>
              <w:t>服务对象满意度指标</w:t>
            </w:r>
          </w:p>
        </w:tc>
        <w:tc>
          <w:tcPr>
            <w:tcW w:w="1332" w:type="dxa"/>
            <w:vAlign w:val="center"/>
          </w:tcPr>
          <w:p>
            <w:pPr>
              <w:pStyle w:val="14"/>
            </w:pPr>
            <w:r>
              <w:t>满意率</w:t>
            </w:r>
          </w:p>
        </w:tc>
        <w:tc>
          <w:tcPr>
            <w:tcW w:w="2891" w:type="dxa"/>
            <w:vAlign w:val="center"/>
          </w:tcPr>
          <w:p>
            <w:pPr>
              <w:pStyle w:val="14"/>
            </w:pPr>
            <w:r>
              <w:t>满意率</w:t>
            </w:r>
          </w:p>
        </w:tc>
        <w:tc>
          <w:tcPr>
            <w:tcW w:w="1276" w:type="dxa"/>
            <w:vAlign w:val="center"/>
          </w:tcPr>
          <w:p>
            <w:pPr>
              <w:pStyle w:val="14"/>
            </w:pPr>
            <w:r>
              <w:t>≥90%</w:t>
            </w:r>
          </w:p>
        </w:tc>
        <w:tc>
          <w:tcPr>
            <w:tcW w:w="1843" w:type="dxa"/>
            <w:vAlign w:val="center"/>
          </w:tcPr>
          <w:p>
            <w:pPr>
              <w:pStyle w:val="14"/>
            </w:pP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jc w:val="left"/>
        <w:outlineLvl w:val="3"/>
      </w:pPr>
      <w:bookmarkStart w:id="5" w:name="_Toc_4_4_0000000006"/>
      <w:r>
        <w:rPr>
          <w:rFonts w:ascii="方正仿宋_GBK" w:hAnsi="方正仿宋_GBK" w:eastAsia="方正仿宋_GBK" w:cs="方正仿宋_GBK"/>
          <w:color w:val="000000"/>
          <w:sz w:val="28"/>
        </w:rPr>
        <w:t>3.老干部局春节慰问老干部及遗属经费绩效目标表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287001中国共产党涞源县委员会老干部局本级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4"/>
            </w:pPr>
            <w:r>
              <w:t>13063022P00439910001X</w:t>
            </w:r>
          </w:p>
        </w:tc>
        <w:tc>
          <w:tcPr>
            <w:tcW w:w="1587" w:type="dxa"/>
            <w:vAlign w:val="center"/>
          </w:tcPr>
          <w:p>
            <w:pPr>
              <w:pStyle w:val="10"/>
            </w:pPr>
            <w:r>
              <w:t>项目名称</w:t>
            </w:r>
          </w:p>
        </w:tc>
        <w:tc>
          <w:tcPr>
            <w:tcW w:w="4422" w:type="dxa"/>
            <w:gridSpan w:val="3"/>
            <w:vAlign w:val="center"/>
          </w:tcPr>
          <w:p>
            <w:pPr>
              <w:pStyle w:val="14"/>
            </w:pPr>
            <w:r>
              <w:t>老干部局春节慰问老干部及遗属经费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4"/>
            </w:pPr>
            <w:r>
              <w:t>1.62</w:t>
            </w:r>
          </w:p>
        </w:tc>
        <w:tc>
          <w:tcPr>
            <w:tcW w:w="1587" w:type="dxa"/>
            <w:vAlign w:val="center"/>
          </w:tcPr>
          <w:p>
            <w:pPr>
              <w:pStyle w:val="10"/>
            </w:pPr>
            <w:r>
              <w:t>其中：财政    资金</w:t>
            </w:r>
          </w:p>
        </w:tc>
        <w:tc>
          <w:tcPr>
            <w:tcW w:w="1304" w:type="dxa"/>
            <w:vAlign w:val="center"/>
          </w:tcPr>
          <w:p>
            <w:pPr>
              <w:pStyle w:val="14"/>
            </w:pPr>
            <w:r>
              <w:t>1.62</w:t>
            </w:r>
          </w:p>
        </w:tc>
        <w:tc>
          <w:tcPr>
            <w:tcW w:w="1276" w:type="dxa"/>
            <w:vAlign w:val="center"/>
          </w:tcPr>
          <w:p>
            <w:pPr>
              <w:pStyle w:val="10"/>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春节期间慰问县级实职老干部和局机关离退休人员及遗属</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4"/>
            </w:pPr>
            <w:r>
              <w:t>1.目标内容1建立长效机制，每年春节慰问1次</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4"/>
            </w:pPr>
            <w:r>
              <w:t>数量指标</w:t>
            </w:r>
          </w:p>
        </w:tc>
        <w:tc>
          <w:tcPr>
            <w:tcW w:w="1332" w:type="dxa"/>
            <w:vAlign w:val="center"/>
          </w:tcPr>
          <w:p>
            <w:pPr>
              <w:pStyle w:val="14"/>
            </w:pPr>
            <w:r>
              <w:t>举办活动场次</w:t>
            </w:r>
          </w:p>
        </w:tc>
        <w:tc>
          <w:tcPr>
            <w:tcW w:w="2891" w:type="dxa"/>
            <w:vAlign w:val="center"/>
          </w:tcPr>
          <w:p>
            <w:pPr>
              <w:pStyle w:val="14"/>
            </w:pPr>
            <w:r>
              <w:t>举办活动场次</w:t>
            </w:r>
          </w:p>
        </w:tc>
        <w:tc>
          <w:tcPr>
            <w:tcW w:w="1276" w:type="dxa"/>
            <w:vAlign w:val="center"/>
          </w:tcPr>
          <w:p>
            <w:pPr>
              <w:pStyle w:val="14"/>
            </w:pPr>
            <w:r>
              <w:t>1次</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符合标准</w:t>
            </w:r>
          </w:p>
        </w:tc>
        <w:tc>
          <w:tcPr>
            <w:tcW w:w="2891" w:type="dxa"/>
            <w:vAlign w:val="center"/>
          </w:tcPr>
          <w:p>
            <w:pPr>
              <w:pStyle w:val="14"/>
            </w:pPr>
            <w:r>
              <w:t>符合标准</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按期完成率</w:t>
            </w:r>
          </w:p>
        </w:tc>
        <w:tc>
          <w:tcPr>
            <w:tcW w:w="2891" w:type="dxa"/>
            <w:vAlign w:val="center"/>
          </w:tcPr>
          <w:p>
            <w:pPr>
              <w:pStyle w:val="14"/>
            </w:pPr>
            <w:r>
              <w:t>按期完成率</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1.62万元</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4"/>
            </w:pPr>
            <w:r>
              <w:t>经济效益指标</w:t>
            </w:r>
          </w:p>
        </w:tc>
        <w:tc>
          <w:tcPr>
            <w:tcW w:w="1332" w:type="dxa"/>
            <w:vAlign w:val="center"/>
          </w:tcPr>
          <w:p>
            <w:pPr>
              <w:pStyle w:val="14"/>
            </w:pPr>
            <w:r>
              <w:t>资金的使用效率</w:t>
            </w:r>
          </w:p>
        </w:tc>
        <w:tc>
          <w:tcPr>
            <w:tcW w:w="2891" w:type="dxa"/>
            <w:vAlign w:val="center"/>
          </w:tcPr>
          <w:p>
            <w:pPr>
              <w:pStyle w:val="14"/>
            </w:pPr>
            <w:r>
              <w:t>资金的使用效率</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社会影响力</w:t>
            </w:r>
          </w:p>
        </w:tc>
        <w:tc>
          <w:tcPr>
            <w:tcW w:w="2891" w:type="dxa"/>
            <w:vAlign w:val="center"/>
          </w:tcPr>
          <w:p>
            <w:pPr>
              <w:pStyle w:val="14"/>
            </w:pPr>
            <w:r>
              <w:t>社会影响力</w:t>
            </w:r>
          </w:p>
        </w:tc>
        <w:tc>
          <w:tcPr>
            <w:tcW w:w="1276" w:type="dxa"/>
            <w:vAlign w:val="center"/>
          </w:tcPr>
          <w:p>
            <w:pPr>
              <w:pStyle w:val="14"/>
            </w:pPr>
            <w:r>
              <w:t>≥90%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结果准确性</w:t>
            </w:r>
          </w:p>
        </w:tc>
        <w:tc>
          <w:tcPr>
            <w:tcW w:w="2891" w:type="dxa"/>
            <w:vAlign w:val="center"/>
          </w:tcPr>
          <w:p>
            <w:pPr>
              <w:pStyle w:val="14"/>
            </w:pPr>
            <w:r>
              <w:t>结果准确性</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增强影响力</w:t>
            </w:r>
          </w:p>
        </w:tc>
        <w:tc>
          <w:tcPr>
            <w:tcW w:w="2891" w:type="dxa"/>
            <w:vAlign w:val="center"/>
          </w:tcPr>
          <w:p>
            <w:pPr>
              <w:pStyle w:val="14"/>
            </w:pPr>
            <w:r>
              <w:t>增强影响力</w:t>
            </w:r>
          </w:p>
        </w:tc>
        <w:tc>
          <w:tcPr>
            <w:tcW w:w="1276" w:type="dxa"/>
            <w:vAlign w:val="center"/>
          </w:tcPr>
          <w:p>
            <w:pPr>
              <w:pStyle w:val="14"/>
            </w:pPr>
            <w:r>
              <w:t>≥90%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4"/>
            </w:pPr>
            <w:r>
              <w:t>服务对象满意度指标</w:t>
            </w:r>
          </w:p>
        </w:tc>
        <w:tc>
          <w:tcPr>
            <w:tcW w:w="1332" w:type="dxa"/>
            <w:vAlign w:val="center"/>
          </w:tcPr>
          <w:p>
            <w:pPr>
              <w:pStyle w:val="14"/>
            </w:pPr>
            <w:r>
              <w:t>满意率</w:t>
            </w:r>
          </w:p>
        </w:tc>
        <w:tc>
          <w:tcPr>
            <w:tcW w:w="2891" w:type="dxa"/>
            <w:vAlign w:val="center"/>
          </w:tcPr>
          <w:p>
            <w:pPr>
              <w:pStyle w:val="14"/>
            </w:pPr>
            <w:r>
              <w:t>满意率</w:t>
            </w:r>
          </w:p>
        </w:tc>
        <w:tc>
          <w:tcPr>
            <w:tcW w:w="1276" w:type="dxa"/>
            <w:vAlign w:val="center"/>
          </w:tcPr>
          <w:p>
            <w:pPr>
              <w:pStyle w:val="14"/>
            </w:pPr>
            <w:r>
              <w:t>≥90%</w:t>
            </w:r>
          </w:p>
        </w:tc>
        <w:tc>
          <w:tcPr>
            <w:tcW w:w="1843" w:type="dxa"/>
            <w:vAlign w:val="center"/>
          </w:tcPr>
          <w:p>
            <w:pPr>
              <w:pStyle w:val="14"/>
            </w:pP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jc w:val="left"/>
        <w:outlineLvl w:val="3"/>
      </w:pPr>
      <w:bookmarkStart w:id="6" w:name="_Toc_4_4_0000000007"/>
      <w:r>
        <w:rPr>
          <w:rFonts w:ascii="方正仿宋_GBK" w:hAnsi="方正仿宋_GBK" w:eastAsia="方正仿宋_GBK" w:cs="方正仿宋_GBK"/>
          <w:color w:val="000000"/>
          <w:sz w:val="28"/>
        </w:rPr>
        <w:t>4.老干部局关心下一代及老促会工作经费绩效目标表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287001中国共产党涞源县委员会老干部局本级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4"/>
            </w:pPr>
            <w:r>
              <w:t>13063022P00440510001X</w:t>
            </w:r>
          </w:p>
        </w:tc>
        <w:tc>
          <w:tcPr>
            <w:tcW w:w="1587" w:type="dxa"/>
            <w:vAlign w:val="center"/>
          </w:tcPr>
          <w:p>
            <w:pPr>
              <w:pStyle w:val="10"/>
            </w:pPr>
            <w:r>
              <w:t>项目名称</w:t>
            </w:r>
          </w:p>
        </w:tc>
        <w:tc>
          <w:tcPr>
            <w:tcW w:w="4422" w:type="dxa"/>
            <w:gridSpan w:val="3"/>
            <w:vAlign w:val="center"/>
          </w:tcPr>
          <w:p>
            <w:pPr>
              <w:pStyle w:val="14"/>
            </w:pPr>
            <w:r>
              <w:t>老干部局关心下一代及老促会工作经费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4"/>
            </w:pPr>
            <w:r>
              <w:t>10.00</w:t>
            </w:r>
          </w:p>
        </w:tc>
        <w:tc>
          <w:tcPr>
            <w:tcW w:w="1587" w:type="dxa"/>
            <w:vAlign w:val="center"/>
          </w:tcPr>
          <w:p>
            <w:pPr>
              <w:pStyle w:val="10"/>
            </w:pPr>
            <w:r>
              <w:t>其中：财政    资金</w:t>
            </w:r>
          </w:p>
        </w:tc>
        <w:tc>
          <w:tcPr>
            <w:tcW w:w="1304" w:type="dxa"/>
            <w:vAlign w:val="center"/>
          </w:tcPr>
          <w:p>
            <w:pPr>
              <w:pStyle w:val="14"/>
            </w:pPr>
            <w:r>
              <w:t>10.00</w:t>
            </w:r>
          </w:p>
        </w:tc>
        <w:tc>
          <w:tcPr>
            <w:tcW w:w="1276" w:type="dxa"/>
            <w:vAlign w:val="center"/>
          </w:tcPr>
          <w:p>
            <w:pPr>
              <w:pStyle w:val="10"/>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用于日常活动和改善办公条件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4"/>
            </w:pPr>
            <w:r>
              <w:t>1.目标内容1开展各项关心下一代活动，改善办公条件</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4"/>
            </w:pPr>
            <w:r>
              <w:t>数量指标</w:t>
            </w:r>
          </w:p>
        </w:tc>
        <w:tc>
          <w:tcPr>
            <w:tcW w:w="1332" w:type="dxa"/>
            <w:vAlign w:val="center"/>
          </w:tcPr>
          <w:p>
            <w:pPr>
              <w:pStyle w:val="14"/>
            </w:pPr>
            <w:r>
              <w:t>举办活动场次</w:t>
            </w:r>
          </w:p>
        </w:tc>
        <w:tc>
          <w:tcPr>
            <w:tcW w:w="2891" w:type="dxa"/>
            <w:vAlign w:val="center"/>
          </w:tcPr>
          <w:p>
            <w:pPr>
              <w:pStyle w:val="14"/>
            </w:pPr>
            <w:r>
              <w:t>举办活动场次</w:t>
            </w:r>
          </w:p>
        </w:tc>
        <w:tc>
          <w:tcPr>
            <w:tcW w:w="1276" w:type="dxa"/>
            <w:vAlign w:val="center"/>
          </w:tcPr>
          <w:p>
            <w:pPr>
              <w:pStyle w:val="14"/>
            </w:pPr>
            <w:r>
              <w:t>≥1次</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专款专用率</w:t>
            </w:r>
          </w:p>
        </w:tc>
        <w:tc>
          <w:tcPr>
            <w:tcW w:w="2891" w:type="dxa"/>
            <w:vAlign w:val="center"/>
          </w:tcPr>
          <w:p>
            <w:pPr>
              <w:pStyle w:val="14"/>
            </w:pPr>
            <w:r>
              <w:t>专款专用率</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工作任务完成及时率</w:t>
            </w:r>
          </w:p>
        </w:tc>
        <w:tc>
          <w:tcPr>
            <w:tcW w:w="2891" w:type="dxa"/>
            <w:vAlign w:val="center"/>
          </w:tcPr>
          <w:p>
            <w:pPr>
              <w:pStyle w:val="14"/>
            </w:pPr>
            <w:r>
              <w:t>工作任务完成及时率</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总成本</w:t>
            </w:r>
          </w:p>
        </w:tc>
        <w:tc>
          <w:tcPr>
            <w:tcW w:w="2891" w:type="dxa"/>
            <w:vAlign w:val="center"/>
          </w:tcPr>
          <w:p>
            <w:pPr>
              <w:pStyle w:val="14"/>
            </w:pPr>
            <w:r>
              <w:t>总成本</w:t>
            </w:r>
          </w:p>
        </w:tc>
        <w:tc>
          <w:tcPr>
            <w:tcW w:w="1276" w:type="dxa"/>
            <w:vAlign w:val="center"/>
          </w:tcPr>
          <w:p>
            <w:pPr>
              <w:pStyle w:val="14"/>
            </w:pPr>
            <w:r>
              <w:t>≤10万元</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4"/>
            </w:pPr>
            <w:r>
              <w:t>经济效益指标</w:t>
            </w:r>
          </w:p>
        </w:tc>
        <w:tc>
          <w:tcPr>
            <w:tcW w:w="1332" w:type="dxa"/>
            <w:vAlign w:val="center"/>
          </w:tcPr>
          <w:p>
            <w:pPr>
              <w:pStyle w:val="14"/>
            </w:pPr>
            <w:r>
              <w:t>成本利用率</w:t>
            </w:r>
          </w:p>
        </w:tc>
        <w:tc>
          <w:tcPr>
            <w:tcW w:w="2891" w:type="dxa"/>
            <w:vAlign w:val="center"/>
          </w:tcPr>
          <w:p>
            <w:pPr>
              <w:pStyle w:val="14"/>
            </w:pPr>
            <w:r>
              <w:t>成本利用率</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社会影响力</w:t>
            </w:r>
          </w:p>
        </w:tc>
        <w:tc>
          <w:tcPr>
            <w:tcW w:w="2891" w:type="dxa"/>
            <w:vAlign w:val="center"/>
          </w:tcPr>
          <w:p>
            <w:pPr>
              <w:pStyle w:val="14"/>
            </w:pPr>
            <w:r>
              <w:t>社会影响力</w:t>
            </w:r>
          </w:p>
        </w:tc>
        <w:tc>
          <w:tcPr>
            <w:tcW w:w="1276" w:type="dxa"/>
            <w:vAlign w:val="center"/>
          </w:tcPr>
          <w:p>
            <w:pPr>
              <w:pStyle w:val="14"/>
            </w:pPr>
            <w:r>
              <w:t>≥90%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≥90%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持续发展作用力</w:t>
            </w:r>
          </w:p>
        </w:tc>
        <w:tc>
          <w:tcPr>
            <w:tcW w:w="2891" w:type="dxa"/>
            <w:vAlign w:val="center"/>
          </w:tcPr>
          <w:p>
            <w:pPr>
              <w:pStyle w:val="14"/>
            </w:pPr>
            <w:r>
              <w:t>持续发展作用力</w:t>
            </w:r>
          </w:p>
        </w:tc>
        <w:tc>
          <w:tcPr>
            <w:tcW w:w="1276" w:type="dxa"/>
            <w:vAlign w:val="center"/>
          </w:tcPr>
          <w:p>
            <w:pPr>
              <w:pStyle w:val="14"/>
            </w:pPr>
            <w:r>
              <w:t>≥90%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4"/>
            </w:pPr>
            <w:r>
              <w:t>服务对象满意度指标</w:t>
            </w:r>
          </w:p>
        </w:tc>
        <w:tc>
          <w:tcPr>
            <w:tcW w:w="1332" w:type="dxa"/>
            <w:vAlign w:val="center"/>
          </w:tcPr>
          <w:p>
            <w:pPr>
              <w:pStyle w:val="14"/>
            </w:pPr>
            <w:r>
              <w:t>满意率</w:t>
            </w:r>
          </w:p>
        </w:tc>
        <w:tc>
          <w:tcPr>
            <w:tcW w:w="2891" w:type="dxa"/>
            <w:vAlign w:val="center"/>
          </w:tcPr>
          <w:p>
            <w:pPr>
              <w:pStyle w:val="14"/>
            </w:pPr>
            <w:r>
              <w:t>满意率</w:t>
            </w:r>
          </w:p>
        </w:tc>
        <w:tc>
          <w:tcPr>
            <w:tcW w:w="1276" w:type="dxa"/>
            <w:vAlign w:val="center"/>
          </w:tcPr>
          <w:p>
            <w:pPr>
              <w:pStyle w:val="14"/>
            </w:pPr>
            <w:r>
              <w:t>≥90%</w:t>
            </w:r>
          </w:p>
        </w:tc>
        <w:tc>
          <w:tcPr>
            <w:tcW w:w="1843" w:type="dxa"/>
            <w:vAlign w:val="center"/>
          </w:tcPr>
          <w:p>
            <w:pPr>
              <w:pStyle w:val="14"/>
            </w:pP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jc w:val="left"/>
        <w:outlineLvl w:val="3"/>
      </w:pPr>
      <w:bookmarkStart w:id="7" w:name="_Toc_4_4_0000000008"/>
      <w:r>
        <w:rPr>
          <w:rFonts w:ascii="方正仿宋_GBK" w:hAnsi="方正仿宋_GBK" w:eastAsia="方正仿宋_GBK" w:cs="方正仿宋_GBK"/>
          <w:color w:val="000000"/>
          <w:sz w:val="28"/>
        </w:rPr>
        <w:t>5.老干部局任过副县级及其以上离退休老干部体检费2.6万绩效目标表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287001中国共产党涞源县委员会老干部局本级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4"/>
            </w:pPr>
            <w:r>
              <w:t>13063022P00439710001J</w:t>
            </w:r>
          </w:p>
        </w:tc>
        <w:tc>
          <w:tcPr>
            <w:tcW w:w="1587" w:type="dxa"/>
            <w:vAlign w:val="center"/>
          </w:tcPr>
          <w:p>
            <w:pPr>
              <w:pStyle w:val="10"/>
            </w:pPr>
            <w:r>
              <w:t>项目名称</w:t>
            </w:r>
          </w:p>
        </w:tc>
        <w:tc>
          <w:tcPr>
            <w:tcW w:w="4422" w:type="dxa"/>
            <w:gridSpan w:val="3"/>
            <w:vAlign w:val="center"/>
          </w:tcPr>
          <w:p>
            <w:pPr>
              <w:pStyle w:val="14"/>
            </w:pPr>
            <w:r>
              <w:t>老干部局任过副县级及其以上离退休老干部体检费2.6万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4"/>
            </w:pPr>
            <w:r>
              <w:t>2.60</w:t>
            </w:r>
          </w:p>
        </w:tc>
        <w:tc>
          <w:tcPr>
            <w:tcW w:w="1587" w:type="dxa"/>
            <w:vAlign w:val="center"/>
          </w:tcPr>
          <w:p>
            <w:pPr>
              <w:pStyle w:val="10"/>
            </w:pPr>
            <w:r>
              <w:t>其中：财政    资金</w:t>
            </w:r>
          </w:p>
        </w:tc>
        <w:tc>
          <w:tcPr>
            <w:tcW w:w="1304" w:type="dxa"/>
            <w:vAlign w:val="center"/>
          </w:tcPr>
          <w:p>
            <w:pPr>
              <w:pStyle w:val="14"/>
            </w:pPr>
            <w:r>
              <w:t>2.60</w:t>
            </w:r>
          </w:p>
        </w:tc>
        <w:tc>
          <w:tcPr>
            <w:tcW w:w="1276" w:type="dxa"/>
            <w:vAlign w:val="center"/>
          </w:tcPr>
          <w:p>
            <w:pPr>
              <w:pStyle w:val="10"/>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用于县级实职离退休干部体检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4"/>
            </w:pPr>
            <w:r>
              <w:t>1.目标内容1建立长效机制，每年县级实职离退休干部体检1次</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4"/>
            </w:pPr>
            <w:r>
              <w:t>数量指标</w:t>
            </w:r>
          </w:p>
        </w:tc>
        <w:tc>
          <w:tcPr>
            <w:tcW w:w="1332" w:type="dxa"/>
            <w:vAlign w:val="center"/>
          </w:tcPr>
          <w:p>
            <w:pPr>
              <w:pStyle w:val="14"/>
            </w:pPr>
            <w:r>
              <w:t>体检次数</w:t>
            </w:r>
          </w:p>
        </w:tc>
        <w:tc>
          <w:tcPr>
            <w:tcW w:w="2891" w:type="dxa"/>
            <w:vAlign w:val="center"/>
          </w:tcPr>
          <w:p>
            <w:pPr>
              <w:pStyle w:val="14"/>
            </w:pPr>
            <w:r>
              <w:t>体检次数</w:t>
            </w:r>
          </w:p>
        </w:tc>
        <w:tc>
          <w:tcPr>
            <w:tcW w:w="1276" w:type="dxa"/>
            <w:vAlign w:val="center"/>
          </w:tcPr>
          <w:p>
            <w:pPr>
              <w:pStyle w:val="14"/>
            </w:pPr>
            <w:r>
              <w:t>1次</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项目完成率</w:t>
            </w:r>
          </w:p>
        </w:tc>
        <w:tc>
          <w:tcPr>
            <w:tcW w:w="2891" w:type="dxa"/>
            <w:vAlign w:val="center"/>
          </w:tcPr>
          <w:p>
            <w:pPr>
              <w:pStyle w:val="14"/>
            </w:pPr>
            <w:r>
              <w:t>项目完成率</w:t>
            </w:r>
          </w:p>
        </w:tc>
        <w:tc>
          <w:tcPr>
            <w:tcW w:w="1276" w:type="dxa"/>
            <w:vAlign w:val="center"/>
          </w:tcPr>
          <w:p>
            <w:pPr>
              <w:pStyle w:val="14"/>
            </w:pPr>
            <w:r>
              <w:t>≥80%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工作任务完成及时率</w:t>
            </w:r>
          </w:p>
        </w:tc>
        <w:tc>
          <w:tcPr>
            <w:tcW w:w="2891" w:type="dxa"/>
            <w:vAlign w:val="center"/>
          </w:tcPr>
          <w:p>
            <w:pPr>
              <w:pStyle w:val="14"/>
            </w:pPr>
            <w:r>
              <w:t>工作任务完成及时率</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≤2.6万元</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4"/>
            </w:pPr>
            <w:r>
              <w:t>经济效益指标</w:t>
            </w:r>
          </w:p>
        </w:tc>
        <w:tc>
          <w:tcPr>
            <w:tcW w:w="1332" w:type="dxa"/>
            <w:vAlign w:val="center"/>
          </w:tcPr>
          <w:p>
            <w:pPr>
              <w:pStyle w:val="14"/>
            </w:pPr>
            <w:r>
              <w:t>资金的使用效率</w:t>
            </w:r>
          </w:p>
        </w:tc>
        <w:tc>
          <w:tcPr>
            <w:tcW w:w="2891" w:type="dxa"/>
            <w:vAlign w:val="center"/>
          </w:tcPr>
          <w:p>
            <w:pPr>
              <w:pStyle w:val="14"/>
            </w:pPr>
            <w:r>
              <w:t>资金的使用效率</w:t>
            </w:r>
          </w:p>
        </w:tc>
        <w:tc>
          <w:tcPr>
            <w:tcW w:w="1276" w:type="dxa"/>
            <w:vAlign w:val="center"/>
          </w:tcPr>
          <w:p>
            <w:pPr>
              <w:pStyle w:val="14"/>
            </w:pPr>
            <w:r>
              <w:t>≥80%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受益人数</w:t>
            </w:r>
          </w:p>
        </w:tc>
        <w:tc>
          <w:tcPr>
            <w:tcW w:w="2891" w:type="dxa"/>
            <w:vAlign w:val="center"/>
          </w:tcPr>
          <w:p>
            <w:pPr>
              <w:pStyle w:val="14"/>
            </w:pPr>
            <w:r>
              <w:t>受益人数</w:t>
            </w:r>
          </w:p>
        </w:tc>
        <w:tc>
          <w:tcPr>
            <w:tcW w:w="1276" w:type="dxa"/>
            <w:vAlign w:val="center"/>
          </w:tcPr>
          <w:p>
            <w:pPr>
              <w:pStyle w:val="14"/>
            </w:pPr>
            <w:r>
              <w:t>≥15人</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可持续性服务</w:t>
            </w:r>
          </w:p>
        </w:tc>
        <w:tc>
          <w:tcPr>
            <w:tcW w:w="2891" w:type="dxa"/>
            <w:vAlign w:val="center"/>
          </w:tcPr>
          <w:p>
            <w:pPr>
              <w:pStyle w:val="14"/>
            </w:pPr>
            <w:r>
              <w:t>可持续性服务</w:t>
            </w:r>
          </w:p>
        </w:tc>
        <w:tc>
          <w:tcPr>
            <w:tcW w:w="1276" w:type="dxa"/>
            <w:vAlign w:val="center"/>
          </w:tcPr>
          <w:p>
            <w:pPr>
              <w:pStyle w:val="14"/>
            </w:pPr>
            <w:r>
              <w:t>1次</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4"/>
            </w:pPr>
            <w:r>
              <w:t>服务对象满意度指标</w:t>
            </w:r>
          </w:p>
        </w:tc>
        <w:tc>
          <w:tcPr>
            <w:tcW w:w="1332" w:type="dxa"/>
            <w:vAlign w:val="center"/>
          </w:tcPr>
          <w:p>
            <w:pPr>
              <w:pStyle w:val="14"/>
            </w:pPr>
            <w:r>
              <w:t>满意率</w:t>
            </w:r>
          </w:p>
        </w:tc>
        <w:tc>
          <w:tcPr>
            <w:tcW w:w="2891" w:type="dxa"/>
            <w:vAlign w:val="center"/>
          </w:tcPr>
          <w:p>
            <w:pPr>
              <w:pStyle w:val="14"/>
            </w:pPr>
            <w:r>
              <w:t>满意率</w:t>
            </w:r>
          </w:p>
        </w:tc>
        <w:tc>
          <w:tcPr>
            <w:tcW w:w="1276" w:type="dxa"/>
            <w:vAlign w:val="center"/>
          </w:tcPr>
          <w:p>
            <w:pPr>
              <w:pStyle w:val="14"/>
            </w:pPr>
            <w:r>
              <w:t>≥90%</w:t>
            </w:r>
          </w:p>
        </w:tc>
        <w:tc>
          <w:tcPr>
            <w:tcW w:w="1843" w:type="dxa"/>
            <w:vAlign w:val="center"/>
          </w:tcPr>
          <w:p>
            <w:pPr>
              <w:pStyle w:val="14"/>
            </w:pP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jc w:val="left"/>
        <w:outlineLvl w:val="3"/>
      </w:pPr>
      <w:bookmarkStart w:id="8" w:name="_Toc_4_4_0000000009"/>
      <w:r>
        <w:rPr>
          <w:rFonts w:ascii="方正仿宋_GBK" w:hAnsi="方正仿宋_GBK" w:eastAsia="方正仿宋_GBK" w:cs="方正仿宋_GBK"/>
          <w:color w:val="000000"/>
          <w:sz w:val="28"/>
        </w:rPr>
        <w:t>6.离退休干部特困救助绩效目标表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287001中国共产党涞源县委员会老干部局本级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4"/>
            </w:pPr>
            <w:r>
              <w:t>13063022P003XY410002K</w:t>
            </w:r>
          </w:p>
        </w:tc>
        <w:tc>
          <w:tcPr>
            <w:tcW w:w="1587" w:type="dxa"/>
            <w:vAlign w:val="center"/>
          </w:tcPr>
          <w:p>
            <w:pPr>
              <w:pStyle w:val="10"/>
            </w:pPr>
            <w:r>
              <w:t>项目名称</w:t>
            </w:r>
          </w:p>
        </w:tc>
        <w:tc>
          <w:tcPr>
            <w:tcW w:w="4422" w:type="dxa"/>
            <w:gridSpan w:val="3"/>
            <w:vAlign w:val="center"/>
          </w:tcPr>
          <w:p>
            <w:pPr>
              <w:pStyle w:val="14"/>
            </w:pPr>
            <w:r>
              <w:t>离退休干部特困救助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4"/>
            </w:pPr>
            <w:r>
              <w:t>5.00</w:t>
            </w:r>
          </w:p>
        </w:tc>
        <w:tc>
          <w:tcPr>
            <w:tcW w:w="1587" w:type="dxa"/>
            <w:vAlign w:val="center"/>
          </w:tcPr>
          <w:p>
            <w:pPr>
              <w:pStyle w:val="10"/>
            </w:pPr>
            <w:r>
              <w:t>其中：财政    资金</w:t>
            </w:r>
          </w:p>
        </w:tc>
        <w:tc>
          <w:tcPr>
            <w:tcW w:w="1304" w:type="dxa"/>
            <w:vAlign w:val="center"/>
          </w:tcPr>
          <w:p>
            <w:pPr>
              <w:pStyle w:val="14"/>
            </w:pPr>
            <w:r>
              <w:t>5.00</w:t>
            </w:r>
          </w:p>
        </w:tc>
        <w:tc>
          <w:tcPr>
            <w:tcW w:w="1276" w:type="dxa"/>
            <w:vAlign w:val="center"/>
          </w:tcPr>
          <w:p>
            <w:pPr>
              <w:pStyle w:val="10"/>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用于帮扶生活困难离退休干部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4"/>
            </w:pPr>
            <w:r>
              <w:t>1.目标内容1解决离退休干部实际生活困难，建立长效机制。</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4"/>
            </w:pPr>
            <w:r>
              <w:t>数量指标</w:t>
            </w:r>
          </w:p>
        </w:tc>
        <w:tc>
          <w:tcPr>
            <w:tcW w:w="1332" w:type="dxa"/>
            <w:vAlign w:val="center"/>
          </w:tcPr>
          <w:p>
            <w:pPr>
              <w:pStyle w:val="14"/>
            </w:pPr>
            <w:r>
              <w:t>每年特困帮扶次数</w:t>
            </w:r>
          </w:p>
        </w:tc>
        <w:tc>
          <w:tcPr>
            <w:tcW w:w="2891" w:type="dxa"/>
            <w:vAlign w:val="center"/>
          </w:tcPr>
          <w:p>
            <w:pPr>
              <w:pStyle w:val="14"/>
            </w:pPr>
            <w:r>
              <w:t>每年特困帮扶次数</w:t>
            </w:r>
          </w:p>
        </w:tc>
        <w:tc>
          <w:tcPr>
            <w:tcW w:w="1276" w:type="dxa"/>
            <w:vAlign w:val="center"/>
          </w:tcPr>
          <w:p>
            <w:pPr>
              <w:pStyle w:val="14"/>
            </w:pPr>
            <w:r>
              <w:t>1次</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完成率</w:t>
            </w:r>
          </w:p>
        </w:tc>
        <w:tc>
          <w:tcPr>
            <w:tcW w:w="2891" w:type="dxa"/>
            <w:vAlign w:val="center"/>
          </w:tcPr>
          <w:p>
            <w:pPr>
              <w:pStyle w:val="14"/>
            </w:pPr>
            <w:r>
              <w:t>完成率</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按期完成率</w:t>
            </w:r>
          </w:p>
        </w:tc>
        <w:tc>
          <w:tcPr>
            <w:tcW w:w="2891" w:type="dxa"/>
            <w:vAlign w:val="center"/>
          </w:tcPr>
          <w:p>
            <w:pPr>
              <w:pStyle w:val="14"/>
            </w:pPr>
            <w:r>
              <w:t>按期完成率</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5万元</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4"/>
            </w:pPr>
            <w:r>
              <w:t>经济效益指标</w:t>
            </w:r>
          </w:p>
        </w:tc>
        <w:tc>
          <w:tcPr>
            <w:tcW w:w="1332" w:type="dxa"/>
            <w:vAlign w:val="center"/>
          </w:tcPr>
          <w:p>
            <w:pPr>
              <w:pStyle w:val="14"/>
            </w:pPr>
            <w:r>
              <w:t>资金的使用效率</w:t>
            </w:r>
          </w:p>
        </w:tc>
        <w:tc>
          <w:tcPr>
            <w:tcW w:w="2891" w:type="dxa"/>
            <w:vAlign w:val="center"/>
          </w:tcPr>
          <w:p>
            <w:pPr>
              <w:pStyle w:val="14"/>
            </w:pPr>
            <w:r>
              <w:t>资金的使用效率</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受益总人数</w:t>
            </w:r>
          </w:p>
        </w:tc>
        <w:tc>
          <w:tcPr>
            <w:tcW w:w="2891" w:type="dxa"/>
            <w:vAlign w:val="center"/>
          </w:tcPr>
          <w:p>
            <w:pPr>
              <w:pStyle w:val="14"/>
            </w:pPr>
            <w:r>
              <w:t>受益总人数</w:t>
            </w:r>
          </w:p>
        </w:tc>
        <w:tc>
          <w:tcPr>
            <w:tcW w:w="1276" w:type="dxa"/>
            <w:vAlign w:val="center"/>
          </w:tcPr>
          <w:p>
            <w:pPr>
              <w:pStyle w:val="14"/>
            </w:pPr>
            <w:r>
              <w:t>≥40人</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≥90%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可持续性服务</w:t>
            </w:r>
          </w:p>
        </w:tc>
        <w:tc>
          <w:tcPr>
            <w:tcW w:w="2891" w:type="dxa"/>
            <w:vAlign w:val="center"/>
          </w:tcPr>
          <w:p>
            <w:pPr>
              <w:pStyle w:val="14"/>
            </w:pPr>
            <w:r>
              <w:t>可持续性服务</w:t>
            </w:r>
          </w:p>
        </w:tc>
        <w:tc>
          <w:tcPr>
            <w:tcW w:w="1276" w:type="dxa"/>
            <w:vAlign w:val="center"/>
          </w:tcPr>
          <w:p>
            <w:pPr>
              <w:pStyle w:val="14"/>
            </w:pPr>
            <w:r>
              <w:t>≥90%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4"/>
            </w:pPr>
            <w:r>
              <w:t>服务对象满意度指标</w:t>
            </w:r>
          </w:p>
        </w:tc>
        <w:tc>
          <w:tcPr>
            <w:tcW w:w="1332" w:type="dxa"/>
            <w:vAlign w:val="center"/>
          </w:tcPr>
          <w:p>
            <w:pPr>
              <w:pStyle w:val="14"/>
            </w:pPr>
            <w:r>
              <w:t>满意率</w:t>
            </w:r>
          </w:p>
        </w:tc>
        <w:tc>
          <w:tcPr>
            <w:tcW w:w="2891" w:type="dxa"/>
            <w:vAlign w:val="center"/>
          </w:tcPr>
          <w:p>
            <w:pPr>
              <w:pStyle w:val="14"/>
            </w:pPr>
            <w:r>
              <w:t>满意率</w:t>
            </w:r>
          </w:p>
        </w:tc>
        <w:tc>
          <w:tcPr>
            <w:tcW w:w="1276" w:type="dxa"/>
            <w:vAlign w:val="center"/>
          </w:tcPr>
          <w:p>
            <w:pPr>
              <w:pStyle w:val="14"/>
            </w:pPr>
            <w:r>
              <w:t>≥90%</w:t>
            </w:r>
          </w:p>
        </w:tc>
        <w:tc>
          <w:tcPr>
            <w:tcW w:w="1843" w:type="dxa"/>
            <w:vAlign w:val="center"/>
          </w:tcPr>
          <w:p>
            <w:pPr>
              <w:pStyle w:val="14"/>
            </w:pP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jc w:val="left"/>
        <w:outlineLvl w:val="3"/>
      </w:pPr>
      <w:bookmarkStart w:id="9" w:name="_Toc_4_4_0000000010"/>
      <w:r>
        <w:rPr>
          <w:rFonts w:ascii="方正仿宋_GBK" w:hAnsi="方正仿宋_GBK" w:eastAsia="方正仿宋_GBK" w:cs="方正仿宋_GBK"/>
          <w:color w:val="000000"/>
          <w:sz w:val="28"/>
        </w:rPr>
        <w:t>7.重阳节老干部工作会议绩效目标表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287001中国共产党涞源县委员会老干部局本级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4"/>
            </w:pPr>
            <w:r>
              <w:t>13063022P006A4W10002L</w:t>
            </w:r>
          </w:p>
        </w:tc>
        <w:tc>
          <w:tcPr>
            <w:tcW w:w="1587" w:type="dxa"/>
            <w:vAlign w:val="center"/>
          </w:tcPr>
          <w:p>
            <w:pPr>
              <w:pStyle w:val="10"/>
            </w:pPr>
            <w:r>
              <w:t>项目名称</w:t>
            </w:r>
          </w:p>
        </w:tc>
        <w:tc>
          <w:tcPr>
            <w:tcW w:w="4422" w:type="dxa"/>
            <w:gridSpan w:val="3"/>
            <w:vAlign w:val="center"/>
          </w:tcPr>
          <w:p>
            <w:pPr>
              <w:pStyle w:val="14"/>
            </w:pPr>
            <w:r>
              <w:t>重阳节老干部工作会议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4"/>
            </w:pPr>
            <w:r>
              <w:t>1.60</w:t>
            </w:r>
          </w:p>
        </w:tc>
        <w:tc>
          <w:tcPr>
            <w:tcW w:w="1587" w:type="dxa"/>
            <w:vAlign w:val="center"/>
          </w:tcPr>
          <w:p>
            <w:pPr>
              <w:pStyle w:val="10"/>
            </w:pPr>
            <w:r>
              <w:t>其中：财政    资金</w:t>
            </w:r>
          </w:p>
        </w:tc>
        <w:tc>
          <w:tcPr>
            <w:tcW w:w="1304" w:type="dxa"/>
            <w:vAlign w:val="center"/>
          </w:tcPr>
          <w:p>
            <w:pPr>
              <w:pStyle w:val="14"/>
            </w:pPr>
            <w:r>
              <w:t>1.60</w:t>
            </w:r>
          </w:p>
        </w:tc>
        <w:tc>
          <w:tcPr>
            <w:tcW w:w="1276" w:type="dxa"/>
            <w:vAlign w:val="center"/>
          </w:tcPr>
          <w:p>
            <w:pPr>
              <w:pStyle w:val="10"/>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重阳节召开老干部工作会议或座谈会</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4"/>
            </w:pPr>
            <w:r>
              <w:t>1.目标内容1.建立长效机制，每年召开1次老干工作会议或座谈会。</w:t>
            </w:r>
          </w:p>
          <w:p>
            <w:pPr>
              <w:pStyle w:val="14"/>
            </w:pPr>
            <w:r>
              <w:t>2.目标内容2.弘扬敬老助老风尚，为老干部多办实事好事</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4"/>
            </w:pPr>
            <w:r>
              <w:t>数量指标</w:t>
            </w:r>
          </w:p>
        </w:tc>
        <w:tc>
          <w:tcPr>
            <w:tcW w:w="1332" w:type="dxa"/>
            <w:vAlign w:val="center"/>
          </w:tcPr>
          <w:p>
            <w:pPr>
              <w:pStyle w:val="14"/>
            </w:pPr>
            <w:r>
              <w:t>会议召开次数</w:t>
            </w:r>
          </w:p>
        </w:tc>
        <w:tc>
          <w:tcPr>
            <w:tcW w:w="2891" w:type="dxa"/>
            <w:vAlign w:val="center"/>
          </w:tcPr>
          <w:p>
            <w:pPr>
              <w:pStyle w:val="14"/>
            </w:pPr>
            <w:r>
              <w:t>会议召开次数</w:t>
            </w:r>
          </w:p>
        </w:tc>
        <w:tc>
          <w:tcPr>
            <w:tcW w:w="1276" w:type="dxa"/>
            <w:vAlign w:val="center"/>
          </w:tcPr>
          <w:p>
            <w:pPr>
              <w:pStyle w:val="14"/>
            </w:pPr>
            <w:r>
              <w:t>1次</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检查项目完成率</w:t>
            </w:r>
          </w:p>
        </w:tc>
        <w:tc>
          <w:tcPr>
            <w:tcW w:w="2891" w:type="dxa"/>
            <w:vAlign w:val="center"/>
          </w:tcPr>
          <w:p>
            <w:pPr>
              <w:pStyle w:val="14"/>
            </w:pPr>
            <w:r>
              <w:t>检查项目完成率</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各项任务完成及时率（%）</w:t>
            </w:r>
          </w:p>
        </w:tc>
        <w:tc>
          <w:tcPr>
            <w:tcW w:w="2891" w:type="dxa"/>
            <w:vAlign w:val="center"/>
          </w:tcPr>
          <w:p>
            <w:pPr>
              <w:pStyle w:val="14"/>
            </w:pPr>
            <w:r>
              <w:t>各项任务完成及时率（%）</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≤1.6万元</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4"/>
            </w:pPr>
            <w:r>
              <w:t>社会效益指标</w:t>
            </w:r>
          </w:p>
        </w:tc>
        <w:tc>
          <w:tcPr>
            <w:tcW w:w="1332" w:type="dxa"/>
            <w:vAlign w:val="center"/>
          </w:tcPr>
          <w:p>
            <w:pPr>
              <w:pStyle w:val="14"/>
            </w:pPr>
            <w:r>
              <w:t>社会影响力</w:t>
            </w:r>
          </w:p>
        </w:tc>
        <w:tc>
          <w:tcPr>
            <w:tcW w:w="2891" w:type="dxa"/>
            <w:vAlign w:val="center"/>
          </w:tcPr>
          <w:p>
            <w:pPr>
              <w:pStyle w:val="14"/>
            </w:pPr>
            <w:r>
              <w:t>社会影响力</w:t>
            </w:r>
          </w:p>
        </w:tc>
        <w:tc>
          <w:tcPr>
            <w:tcW w:w="1276" w:type="dxa"/>
            <w:vAlign w:val="center"/>
          </w:tcPr>
          <w:p>
            <w:pPr>
              <w:pStyle w:val="14"/>
            </w:pPr>
            <w:r>
              <w:t>≥90%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持续提升我局社会影响力</w:t>
            </w:r>
          </w:p>
        </w:tc>
        <w:tc>
          <w:tcPr>
            <w:tcW w:w="2891" w:type="dxa"/>
            <w:vAlign w:val="center"/>
          </w:tcPr>
          <w:p>
            <w:pPr>
              <w:pStyle w:val="14"/>
            </w:pPr>
            <w:r>
              <w:t>持续提升我局社会影响力</w:t>
            </w:r>
          </w:p>
        </w:tc>
        <w:tc>
          <w:tcPr>
            <w:tcW w:w="1276" w:type="dxa"/>
            <w:vAlign w:val="center"/>
          </w:tcPr>
          <w:p>
            <w:pPr>
              <w:pStyle w:val="14"/>
            </w:pPr>
            <w:r>
              <w:t>≥90%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≤1.6万元</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≥90%</w:t>
            </w:r>
          </w:p>
        </w:tc>
        <w:tc>
          <w:tcPr>
            <w:tcW w:w="1843" w:type="dxa"/>
            <w:vAlign w:val="center"/>
          </w:tcPr>
          <w:p>
            <w:pPr>
              <w:pStyle w:val="14"/>
            </w:pPr>
          </w:p>
        </w:tc>
      </w:tr>
    </w:tbl>
    <w:p/>
    <w:p/>
    <w:p>
      <w:pPr>
        <w:spacing w:line="500" w:lineRule="exact"/>
        <w:ind w:firstLine="640" w:firstLineChars="200"/>
        <w:jc w:val="left"/>
        <w:rPr>
          <w:rFonts w:ascii="宋体" w:hAnsi="宋体" w:eastAsia="宋体" w:cs="宋体"/>
          <w:sz w:val="32"/>
          <w:szCs w:val="32"/>
        </w:rPr>
      </w:pPr>
    </w:p>
    <w:p>
      <w:pPr>
        <w:widowControl/>
        <w:spacing w:line="560" w:lineRule="atLeast"/>
        <w:rPr>
          <w:rFonts w:ascii="????_GBK" w:hAnsi="宋体" w:cs="Times New Roman"/>
          <w:b/>
          <w:bCs/>
          <w:color w:val="111111"/>
          <w:kern w:val="0"/>
          <w:sz w:val="32"/>
          <w:szCs w:val="32"/>
        </w:rPr>
      </w:pPr>
    </w:p>
    <w:p>
      <w:pPr>
        <w:widowControl/>
        <w:spacing w:line="560" w:lineRule="atLeast"/>
        <w:ind w:firstLine="643" w:firstLineChars="200"/>
        <w:rPr>
          <w:rFonts w:hint="eastAsia" w:ascii="????_GBK" w:hAnsi="宋体" w:cs="Times New Roman"/>
          <w:b/>
          <w:bCs/>
          <w:color w:val="111111"/>
          <w:kern w:val="0"/>
          <w:sz w:val="32"/>
          <w:szCs w:val="32"/>
        </w:rPr>
      </w:pPr>
    </w:p>
    <w:p>
      <w:pPr>
        <w:widowControl/>
        <w:spacing w:line="560" w:lineRule="atLeast"/>
        <w:ind w:firstLine="643" w:firstLineChars="200"/>
        <w:rPr>
          <w:rFonts w:hint="eastAsia" w:ascii="????_GBK" w:hAnsi="宋体" w:cs="Times New Roman"/>
          <w:b/>
          <w:bCs/>
          <w:color w:val="111111"/>
          <w:kern w:val="0"/>
          <w:sz w:val="32"/>
          <w:szCs w:val="32"/>
        </w:rPr>
      </w:pPr>
    </w:p>
    <w:p>
      <w:pPr>
        <w:widowControl/>
        <w:spacing w:line="560" w:lineRule="atLeast"/>
        <w:ind w:firstLine="643" w:firstLineChars="200"/>
        <w:rPr>
          <w:rFonts w:hint="eastAsia" w:ascii="????_GBK" w:hAnsi="宋体" w:cs="Times New Roman"/>
          <w:b/>
          <w:bCs/>
          <w:color w:val="111111"/>
          <w:kern w:val="0"/>
          <w:sz w:val="32"/>
          <w:szCs w:val="32"/>
        </w:rPr>
      </w:pPr>
    </w:p>
    <w:p>
      <w:pPr>
        <w:widowControl/>
        <w:spacing w:line="560" w:lineRule="atLeast"/>
        <w:ind w:firstLine="643" w:firstLineChars="200"/>
        <w:rPr>
          <w:rFonts w:hint="eastAsia" w:ascii="????_GBK" w:hAnsi="宋体" w:cs="Times New Roman"/>
          <w:b/>
          <w:bCs/>
          <w:color w:val="111111"/>
          <w:kern w:val="0"/>
          <w:sz w:val="32"/>
          <w:szCs w:val="32"/>
        </w:rPr>
      </w:pPr>
    </w:p>
    <w:p>
      <w:pPr>
        <w:widowControl/>
        <w:spacing w:line="560" w:lineRule="atLeast"/>
        <w:ind w:firstLine="643" w:firstLineChars="200"/>
        <w:rPr>
          <w:rFonts w:hint="eastAsia" w:ascii="????_GBK" w:hAnsi="宋体" w:cs="Times New Roman"/>
          <w:b/>
          <w:bCs/>
          <w:color w:val="111111"/>
          <w:kern w:val="0"/>
          <w:sz w:val="32"/>
          <w:szCs w:val="32"/>
        </w:rPr>
      </w:pPr>
    </w:p>
    <w:p>
      <w:pPr>
        <w:widowControl/>
        <w:spacing w:line="560" w:lineRule="atLeast"/>
        <w:ind w:firstLine="643" w:firstLineChars="200"/>
        <w:rPr>
          <w:rFonts w:ascii="????_GBK" w:hAnsi="宋体" w:cs="Times New Roman"/>
          <w:b/>
          <w:bCs/>
          <w:color w:val="111111"/>
          <w:kern w:val="0"/>
          <w:sz w:val="32"/>
          <w:szCs w:val="32"/>
        </w:rPr>
      </w:pPr>
      <w:r>
        <w:rPr>
          <w:rFonts w:hint="eastAsia" w:ascii="????_GBK" w:hAnsi="宋体" w:cs="Times New Roman"/>
          <w:b/>
          <w:bCs/>
          <w:color w:val="111111"/>
          <w:kern w:val="0"/>
          <w:sz w:val="32"/>
          <w:szCs w:val="32"/>
        </w:rPr>
        <w:t>六</w:t>
      </w:r>
      <w:r>
        <w:rPr>
          <w:rFonts w:ascii="????_GBK" w:hAnsi="宋体" w:eastAsia="Times New Roman" w:cs="Times New Roman"/>
          <w:b/>
          <w:bCs/>
          <w:color w:val="111111"/>
          <w:kern w:val="0"/>
          <w:sz w:val="32"/>
          <w:szCs w:val="32"/>
        </w:rPr>
        <w:t>：</w:t>
      </w:r>
      <w:r>
        <w:rPr>
          <w:rFonts w:hint="eastAsia" w:ascii="????_GBK" w:hAnsi="宋体" w:cs="Times New Roman"/>
          <w:b/>
          <w:bCs/>
          <w:color w:val="111111"/>
          <w:kern w:val="0"/>
          <w:sz w:val="32"/>
          <w:szCs w:val="32"/>
        </w:rPr>
        <w:t>政府采购预算情况</w:t>
      </w:r>
    </w:p>
    <w:p>
      <w:pPr>
        <w:spacing w:line="500" w:lineRule="exact"/>
        <w:ind w:firstLine="560"/>
      </w:pPr>
      <w:r>
        <w:rPr>
          <w:rFonts w:eastAsia="方正仿宋_GBK"/>
          <w:color w:val="000000"/>
          <w:sz w:val="28"/>
        </w:rPr>
        <w:t>202</w:t>
      </w:r>
      <w:r>
        <w:rPr>
          <w:rFonts w:hint="eastAsia" w:asciiTheme="minorEastAsia" w:hAnsiTheme="minorEastAsia"/>
          <w:color w:val="000000"/>
          <w:sz w:val="28"/>
        </w:rPr>
        <w:t>2</w:t>
      </w:r>
      <w:r>
        <w:rPr>
          <w:rFonts w:eastAsia="方正仿宋_GBK"/>
          <w:color w:val="000000"/>
          <w:sz w:val="28"/>
        </w:rPr>
        <w:t>年，中国共产党涞源县委员会老干部局安排政府采购预算0.00万元。具体内容见下表。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287中国共产党涞源县委员会老干部局</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5"/>
            </w:pPr>
          </w:p>
        </w:tc>
        <w:tc>
          <w:tcPr>
            <w:tcW w:w="1134" w:type="dxa"/>
            <w:vAlign w:val="center"/>
          </w:tcPr>
          <w:p>
            <w:pPr>
              <w:pStyle w:val="14"/>
            </w:pPr>
          </w:p>
        </w:tc>
        <w:tc>
          <w:tcPr>
            <w:tcW w:w="1134" w:type="dxa"/>
            <w:vAlign w:val="center"/>
          </w:tcPr>
          <w:p>
            <w:pPr>
              <w:pStyle w:val="14"/>
            </w:pPr>
          </w:p>
        </w:tc>
        <w:tc>
          <w:tcPr>
            <w:tcW w:w="709" w:type="dxa"/>
            <w:vAlign w:val="center"/>
          </w:tcPr>
          <w:p>
            <w:pPr>
              <w:pStyle w:val="11"/>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rPr>
        <w:t>注：无政府采购预算，空表列示。</w:t>
      </w:r>
    </w:p>
    <w:p>
      <w:pPr>
        <w:widowControl/>
        <w:spacing w:line="560" w:lineRule="atLeast"/>
        <w:ind w:firstLine="643" w:firstLineChars="200"/>
        <w:rPr>
          <w:rFonts w:hint="eastAsia" w:ascii="宋体" w:hAnsi="宋体" w:eastAsia="宋体" w:cs="宋体"/>
          <w:b/>
          <w:bCs/>
          <w:color w:val="111111"/>
          <w:kern w:val="0"/>
          <w:sz w:val="32"/>
          <w:szCs w:val="32"/>
        </w:rPr>
      </w:pPr>
    </w:p>
    <w:p>
      <w:pPr>
        <w:widowControl/>
        <w:spacing w:line="560" w:lineRule="atLeast"/>
        <w:ind w:firstLine="643" w:firstLineChars="200"/>
        <w:rPr>
          <w:rFonts w:hint="eastAsia" w:ascii="宋体" w:hAnsi="宋体" w:eastAsia="宋体" w:cs="宋体"/>
          <w:b/>
          <w:bCs/>
          <w:color w:val="111111"/>
          <w:kern w:val="0"/>
          <w:sz w:val="32"/>
          <w:szCs w:val="32"/>
        </w:rPr>
      </w:pPr>
    </w:p>
    <w:p>
      <w:pPr>
        <w:widowControl/>
        <w:spacing w:line="560" w:lineRule="atLeast"/>
        <w:ind w:firstLine="643" w:firstLineChars="200"/>
        <w:rPr>
          <w:rFonts w:hint="eastAsia" w:ascii="宋体" w:hAnsi="宋体" w:eastAsia="宋体" w:cs="宋体"/>
          <w:b/>
          <w:bCs/>
          <w:color w:val="111111"/>
          <w:kern w:val="0"/>
          <w:sz w:val="32"/>
          <w:szCs w:val="32"/>
        </w:rPr>
      </w:pPr>
    </w:p>
    <w:p>
      <w:pPr>
        <w:widowControl/>
        <w:spacing w:line="560" w:lineRule="atLeast"/>
        <w:ind w:firstLine="643" w:firstLineChars="200"/>
        <w:rPr>
          <w:rFonts w:hint="eastAsia" w:ascii="宋体" w:hAnsi="宋体" w:eastAsia="宋体" w:cs="宋体"/>
          <w:b/>
          <w:bCs/>
          <w:color w:val="111111"/>
          <w:kern w:val="0"/>
          <w:sz w:val="32"/>
          <w:szCs w:val="32"/>
        </w:rPr>
      </w:pPr>
    </w:p>
    <w:p>
      <w:pPr>
        <w:widowControl/>
        <w:spacing w:line="560" w:lineRule="atLeast"/>
        <w:ind w:firstLine="643" w:firstLineChars="200"/>
        <w:rPr>
          <w:rFonts w:hint="eastAsia" w:ascii="宋体" w:hAnsi="宋体" w:eastAsia="宋体" w:cs="宋体"/>
          <w:b/>
          <w:bCs/>
          <w:color w:val="111111"/>
          <w:kern w:val="0"/>
          <w:sz w:val="32"/>
          <w:szCs w:val="32"/>
        </w:rPr>
      </w:pPr>
    </w:p>
    <w:p>
      <w:pPr>
        <w:widowControl/>
        <w:spacing w:line="560" w:lineRule="atLeast"/>
        <w:ind w:firstLine="643" w:firstLineChars="200"/>
        <w:rPr>
          <w:rFonts w:ascii="宋体" w:hAnsi="宋体" w:eastAsia="宋体" w:cs="宋体"/>
          <w:b/>
          <w:bCs/>
          <w:color w:val="111111"/>
          <w:kern w:val="0"/>
          <w:sz w:val="32"/>
          <w:szCs w:val="32"/>
        </w:rPr>
      </w:pPr>
      <w:r>
        <w:rPr>
          <w:rFonts w:hint="eastAsia" w:ascii="宋体" w:hAnsi="宋体" w:eastAsia="宋体" w:cs="宋体"/>
          <w:b/>
          <w:bCs/>
          <w:color w:val="111111"/>
          <w:kern w:val="0"/>
          <w:sz w:val="32"/>
          <w:szCs w:val="32"/>
        </w:rPr>
        <w:t>七、国有资产信息</w:t>
      </w:r>
    </w:p>
    <w:p>
      <w:pPr>
        <w:widowControl/>
        <w:spacing w:line="560" w:lineRule="atLeast"/>
        <w:ind w:firstLine="640"/>
        <w:rPr>
          <w:rFonts w:ascii="宋体" w:hAnsi="宋体" w:eastAsia="宋体" w:cs="宋体"/>
          <w:sz w:val="32"/>
          <w:szCs w:val="32"/>
        </w:rPr>
      </w:pPr>
      <w:r>
        <w:rPr>
          <w:rFonts w:hint="eastAsia" w:ascii="宋体" w:hAnsi="宋体" w:eastAsia="宋体" w:cs="宋体"/>
          <w:color w:val="111111"/>
          <w:kern w:val="0"/>
          <w:sz w:val="32"/>
          <w:szCs w:val="32"/>
        </w:rPr>
        <w:t>截至2021年年底我单位固定资产原值131.83万元，2022年无拟购置情况。</w:t>
      </w:r>
    </w:p>
    <w:p>
      <w:pPr>
        <w:ind w:firstLine="640" w:firstLineChars="200"/>
        <w:rPr>
          <w:rFonts w:ascii="宋体" w:hAnsi="宋体" w:eastAsia="宋体" w:cs="宋体"/>
          <w:sz w:val="32"/>
          <w:szCs w:val="32"/>
        </w:rPr>
      </w:pPr>
      <w:r>
        <w:rPr>
          <w:rFonts w:hint="eastAsia" w:ascii="宋体" w:hAnsi="宋体" w:eastAsia="宋体" w:cs="宋体"/>
          <w:sz w:val="32"/>
          <w:szCs w:val="32"/>
        </w:rPr>
        <w:t>2021年国有资产占有情况见下表：</w:t>
      </w:r>
    </w:p>
    <w:tbl>
      <w:tblPr>
        <w:tblStyle w:val="5"/>
        <w:tblW w:w="13800" w:type="dxa"/>
        <w:tblInd w:w="-106" w:type="dxa"/>
        <w:tblLayout w:type="fixed"/>
        <w:tblCellMar>
          <w:top w:w="0" w:type="dxa"/>
          <w:left w:w="108" w:type="dxa"/>
          <w:bottom w:w="0" w:type="dxa"/>
          <w:right w:w="108" w:type="dxa"/>
        </w:tblCellMar>
      </w:tblPr>
      <w:tblGrid>
        <w:gridCol w:w="5973"/>
        <w:gridCol w:w="2493"/>
        <w:gridCol w:w="5334"/>
      </w:tblGrid>
      <w:tr>
        <w:tblPrEx>
          <w:tblCellMar>
            <w:top w:w="0" w:type="dxa"/>
            <w:left w:w="108" w:type="dxa"/>
            <w:bottom w:w="0" w:type="dxa"/>
            <w:right w:w="108" w:type="dxa"/>
          </w:tblCellMar>
        </w:tblPrEx>
        <w:trPr>
          <w:trHeight w:val="500" w:hRule="atLeast"/>
        </w:trPr>
        <w:tc>
          <w:tcPr>
            <w:tcW w:w="13800" w:type="dxa"/>
            <w:gridSpan w:val="3"/>
            <w:tcBorders>
              <w:top w:val="nil"/>
              <w:left w:val="nil"/>
              <w:bottom w:val="single" w:color="auto" w:sz="4" w:space="0"/>
              <w:right w:val="nil"/>
            </w:tcBorders>
            <w:vAlign w:val="center"/>
          </w:tcPr>
          <w:p>
            <w:pPr>
              <w:widowControl/>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24"/>
              </w:rPr>
              <w:t>截止时间：</w:t>
            </w:r>
            <w:r>
              <w:rPr>
                <w:rFonts w:ascii="仿宋_GB2312" w:hAnsi="宋体" w:eastAsia="仿宋_GB2312" w:cs="仿宋_GB2312"/>
                <w:color w:val="000000"/>
                <w:kern w:val="0"/>
                <w:sz w:val="24"/>
              </w:rPr>
              <w:t>20</w:t>
            </w:r>
            <w:r>
              <w:rPr>
                <w:rFonts w:hint="eastAsia" w:ascii="仿宋_GB2312" w:hAnsi="宋体" w:eastAsia="仿宋_GB2312" w:cs="仿宋_GB2312"/>
                <w:color w:val="000000"/>
                <w:kern w:val="0"/>
                <w:sz w:val="24"/>
              </w:rPr>
              <w:t>21年</w:t>
            </w:r>
            <w:r>
              <w:rPr>
                <w:rFonts w:ascii="仿宋_GB2312" w:hAnsi="宋体" w:eastAsia="仿宋_GB2312" w:cs="仿宋_GB2312"/>
                <w:color w:val="000000"/>
                <w:kern w:val="0"/>
                <w:sz w:val="24"/>
              </w:rPr>
              <w:t>12</w:t>
            </w:r>
            <w:r>
              <w:rPr>
                <w:rFonts w:hint="eastAsia" w:ascii="仿宋_GB2312" w:hAnsi="宋体" w:eastAsia="仿宋_GB2312" w:cs="仿宋_GB2312"/>
                <w:color w:val="000000"/>
                <w:kern w:val="0"/>
                <w:sz w:val="24"/>
              </w:rPr>
              <w:t>月</w:t>
            </w:r>
            <w:r>
              <w:rPr>
                <w:rFonts w:ascii="仿宋_GB2312" w:hAnsi="宋体" w:eastAsia="仿宋_GB2312" w:cs="仿宋_GB2312"/>
                <w:color w:val="000000"/>
                <w:kern w:val="0"/>
                <w:sz w:val="24"/>
              </w:rPr>
              <w:t>31</w:t>
            </w:r>
            <w:r>
              <w:rPr>
                <w:rFonts w:hint="eastAsia" w:ascii="仿宋_GB2312" w:hAnsi="宋体" w:eastAsia="仿宋_GB2312" w:cs="仿宋_GB2312"/>
                <w:color w:val="000000"/>
                <w:kern w:val="0"/>
                <w:sz w:val="24"/>
              </w:rPr>
              <w:t>日</w:t>
            </w:r>
          </w:p>
        </w:tc>
      </w:tr>
      <w:tr>
        <w:tblPrEx>
          <w:tblCellMar>
            <w:top w:w="0" w:type="dxa"/>
            <w:left w:w="108" w:type="dxa"/>
            <w:bottom w:w="0" w:type="dxa"/>
            <w:right w:w="108" w:type="dxa"/>
          </w:tblCellMar>
        </w:tblPrEx>
        <w:trPr>
          <w:trHeight w:val="828" w:hRule="atLeast"/>
        </w:trPr>
        <w:tc>
          <w:tcPr>
            <w:tcW w:w="5973"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4"/>
              </w:rPr>
            </w:pPr>
            <w:r>
              <w:rPr>
                <w:rFonts w:hint="eastAsia" w:ascii="宋体" w:hAnsi="宋体" w:cs="宋体"/>
                <w:b/>
                <w:bCs/>
                <w:color w:val="000000"/>
                <w:kern w:val="0"/>
                <w:sz w:val="24"/>
              </w:rPr>
              <w:t>项　　目</w:t>
            </w:r>
          </w:p>
        </w:tc>
        <w:tc>
          <w:tcPr>
            <w:tcW w:w="2493"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24"/>
              </w:rPr>
            </w:pPr>
            <w:r>
              <w:rPr>
                <w:rFonts w:hint="eastAsia" w:ascii="宋体" w:hAnsi="宋体" w:cs="宋体"/>
                <w:b/>
                <w:bCs/>
                <w:color w:val="000000"/>
                <w:kern w:val="0"/>
                <w:sz w:val="24"/>
              </w:rPr>
              <w:t>数量</w:t>
            </w:r>
          </w:p>
        </w:tc>
        <w:tc>
          <w:tcPr>
            <w:tcW w:w="5334"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24"/>
              </w:rPr>
            </w:pPr>
            <w:r>
              <w:rPr>
                <w:rFonts w:hint="eastAsia" w:ascii="宋体" w:hAnsi="宋体" w:cs="宋体"/>
                <w:b/>
                <w:bCs/>
                <w:color w:val="000000"/>
                <w:kern w:val="0"/>
                <w:sz w:val="24"/>
              </w:rPr>
              <w:t>价值（单位：万元）</w:t>
            </w:r>
          </w:p>
        </w:tc>
      </w:tr>
      <w:tr>
        <w:tblPrEx>
          <w:tblCellMar>
            <w:top w:w="0" w:type="dxa"/>
            <w:left w:w="108" w:type="dxa"/>
            <w:bottom w:w="0" w:type="dxa"/>
            <w:right w:w="108" w:type="dxa"/>
          </w:tblCellMar>
        </w:tblPrEx>
        <w:trPr>
          <w:trHeight w:val="553" w:hRule="atLeast"/>
        </w:trPr>
        <w:tc>
          <w:tcPr>
            <w:tcW w:w="5973"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4"/>
              </w:rPr>
            </w:pPr>
            <w:r>
              <w:rPr>
                <w:rFonts w:hint="eastAsia" w:ascii="宋体" w:hAnsi="宋体" w:cs="宋体"/>
                <w:b/>
                <w:bCs/>
                <w:color w:val="000000"/>
                <w:kern w:val="0"/>
                <w:sz w:val="24"/>
              </w:rPr>
              <w:t>固定资产总额</w:t>
            </w:r>
          </w:p>
        </w:tc>
        <w:tc>
          <w:tcPr>
            <w:tcW w:w="249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w:t>
            </w:r>
          </w:p>
        </w:tc>
        <w:tc>
          <w:tcPr>
            <w:tcW w:w="5334" w:type="dxa"/>
            <w:tcBorders>
              <w:top w:val="nil"/>
              <w:left w:val="nil"/>
              <w:bottom w:val="single" w:color="auto" w:sz="4" w:space="0"/>
              <w:right w:val="single" w:color="auto" w:sz="4" w:space="0"/>
            </w:tcBorders>
            <w:vAlign w:val="center"/>
          </w:tcPr>
          <w:p>
            <w:pPr>
              <w:widowControl/>
              <w:jc w:val="center"/>
              <w:rPr>
                <w:rFonts w:ascii="宋体" w:eastAsia="宋体" w:cs="宋体"/>
                <w:b/>
                <w:bCs/>
                <w:color w:val="000000"/>
                <w:kern w:val="0"/>
                <w:sz w:val="24"/>
              </w:rPr>
            </w:pPr>
            <w:r>
              <w:rPr>
                <w:rFonts w:hint="eastAsia" w:ascii="宋体" w:cs="宋体"/>
                <w:b/>
                <w:bCs/>
                <w:color w:val="000000"/>
                <w:kern w:val="0"/>
                <w:sz w:val="24"/>
              </w:rPr>
              <w:t>131.83</w:t>
            </w:r>
          </w:p>
        </w:tc>
      </w:tr>
      <w:tr>
        <w:tblPrEx>
          <w:tblCellMar>
            <w:top w:w="0" w:type="dxa"/>
            <w:left w:w="108" w:type="dxa"/>
            <w:bottom w:w="0" w:type="dxa"/>
            <w:right w:w="108" w:type="dxa"/>
          </w:tblCellMar>
        </w:tblPrEx>
        <w:trPr>
          <w:trHeight w:val="541" w:hRule="atLeast"/>
        </w:trPr>
        <w:tc>
          <w:tcPr>
            <w:tcW w:w="5973"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rPr>
            </w:pPr>
            <w:r>
              <w:rPr>
                <w:rFonts w:ascii="宋体" w:hAnsi="宋体" w:cs="宋体"/>
                <w:color w:val="000000"/>
                <w:kern w:val="0"/>
                <w:sz w:val="24"/>
              </w:rPr>
              <w:t xml:space="preserve">  1</w:t>
            </w:r>
            <w:r>
              <w:rPr>
                <w:rFonts w:hint="eastAsia" w:ascii="宋体" w:hAnsi="宋体" w:cs="宋体"/>
                <w:color w:val="000000"/>
                <w:kern w:val="0"/>
                <w:sz w:val="24"/>
              </w:rPr>
              <w:t>、房屋（平方米）</w:t>
            </w:r>
          </w:p>
        </w:tc>
        <w:tc>
          <w:tcPr>
            <w:tcW w:w="249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1028</w:t>
            </w:r>
          </w:p>
        </w:tc>
        <w:tc>
          <w:tcPr>
            <w:tcW w:w="533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25</w:t>
            </w:r>
          </w:p>
        </w:tc>
      </w:tr>
      <w:tr>
        <w:tblPrEx>
          <w:tblCellMar>
            <w:top w:w="0" w:type="dxa"/>
            <w:left w:w="108" w:type="dxa"/>
            <w:bottom w:w="0" w:type="dxa"/>
            <w:right w:w="108" w:type="dxa"/>
          </w:tblCellMar>
        </w:tblPrEx>
        <w:trPr>
          <w:trHeight w:val="472" w:hRule="atLeast"/>
        </w:trPr>
        <w:tc>
          <w:tcPr>
            <w:tcW w:w="5973" w:type="dxa"/>
            <w:tcBorders>
              <w:top w:val="single" w:color="auto" w:sz="4" w:space="0"/>
              <w:left w:val="single" w:color="auto" w:sz="4" w:space="0"/>
              <w:bottom w:val="single" w:color="auto" w:sz="4" w:space="0"/>
              <w:right w:val="single" w:color="auto" w:sz="4" w:space="0"/>
            </w:tcBorders>
            <w:vAlign w:val="center"/>
          </w:tcPr>
          <w:p>
            <w:pPr>
              <w:jc w:val="left"/>
              <w:rPr>
                <w:rFonts w:ascii="宋体" w:cs="Times New Roman"/>
                <w:color w:val="000000"/>
                <w:kern w:val="0"/>
                <w:sz w:val="24"/>
              </w:rPr>
            </w:pPr>
            <w:r>
              <w:rPr>
                <w:rFonts w:hint="eastAsia" w:ascii="宋体" w:hAnsi="宋体" w:cs="宋体"/>
                <w:color w:val="000000"/>
                <w:kern w:val="0"/>
                <w:sz w:val="24"/>
              </w:rPr>
              <w:t>其中：办公用房（平方米）</w:t>
            </w:r>
          </w:p>
        </w:tc>
        <w:tc>
          <w:tcPr>
            <w:tcW w:w="2493" w:type="dxa"/>
            <w:tcBorders>
              <w:top w:val="single" w:color="auto" w:sz="4" w:space="0"/>
              <w:left w:val="nil"/>
              <w:bottom w:val="single" w:color="auto" w:sz="4" w:space="0"/>
              <w:right w:val="single" w:color="auto" w:sz="4" w:space="0"/>
            </w:tcBorders>
            <w:vAlign w:val="center"/>
          </w:tcPr>
          <w:p>
            <w:pPr>
              <w:jc w:val="center"/>
              <w:rPr>
                <w:rFonts w:ascii="宋体" w:eastAsia="宋体" w:cs="宋体"/>
                <w:color w:val="000000"/>
                <w:kern w:val="0"/>
                <w:sz w:val="24"/>
              </w:rPr>
            </w:pPr>
            <w:r>
              <w:rPr>
                <w:rFonts w:hint="eastAsia" w:ascii="宋体" w:cs="宋体"/>
                <w:color w:val="000000"/>
                <w:kern w:val="0"/>
                <w:sz w:val="24"/>
              </w:rPr>
              <w:t>144</w:t>
            </w:r>
          </w:p>
        </w:tc>
        <w:tc>
          <w:tcPr>
            <w:tcW w:w="5334" w:type="dxa"/>
            <w:tcBorders>
              <w:top w:val="single" w:color="auto" w:sz="4" w:space="0"/>
              <w:left w:val="nil"/>
              <w:bottom w:val="single" w:color="auto" w:sz="4" w:space="0"/>
              <w:right w:val="single" w:color="auto" w:sz="4" w:space="0"/>
            </w:tcBorders>
            <w:vAlign w:val="center"/>
          </w:tcPr>
          <w:p>
            <w:pPr>
              <w:jc w:val="center"/>
              <w:rPr>
                <w:rFonts w:ascii="宋体" w:eastAsia="宋体" w:cs="宋体"/>
                <w:color w:val="000000"/>
                <w:kern w:val="0"/>
                <w:sz w:val="24"/>
              </w:rPr>
            </w:pPr>
            <w:r>
              <w:rPr>
                <w:rFonts w:hint="eastAsia" w:ascii="宋体" w:cs="宋体"/>
                <w:color w:val="000000"/>
                <w:kern w:val="0"/>
                <w:sz w:val="24"/>
              </w:rPr>
              <w:t>3.5</w:t>
            </w:r>
          </w:p>
        </w:tc>
      </w:tr>
      <w:tr>
        <w:tblPrEx>
          <w:tblCellMar>
            <w:top w:w="0" w:type="dxa"/>
            <w:left w:w="108" w:type="dxa"/>
            <w:bottom w:w="0" w:type="dxa"/>
            <w:right w:w="108" w:type="dxa"/>
          </w:tblCellMar>
        </w:tblPrEx>
        <w:trPr>
          <w:trHeight w:val="553" w:hRule="atLeast"/>
        </w:trPr>
        <w:tc>
          <w:tcPr>
            <w:tcW w:w="5973"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rPr>
            </w:pPr>
            <w:r>
              <w:rPr>
                <w:rFonts w:ascii="宋体" w:hAnsi="宋体" w:cs="宋体"/>
                <w:color w:val="000000"/>
                <w:kern w:val="0"/>
                <w:sz w:val="24"/>
              </w:rPr>
              <w:t xml:space="preserve">  2</w:t>
            </w:r>
            <w:r>
              <w:rPr>
                <w:rFonts w:hint="eastAsia" w:ascii="宋体" w:hAnsi="宋体" w:cs="宋体"/>
                <w:color w:val="000000"/>
                <w:kern w:val="0"/>
                <w:sz w:val="24"/>
              </w:rPr>
              <w:t>、车辆（台、辆）</w:t>
            </w:r>
          </w:p>
        </w:tc>
        <w:tc>
          <w:tcPr>
            <w:tcW w:w="249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533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23.12</w:t>
            </w:r>
          </w:p>
        </w:tc>
      </w:tr>
      <w:tr>
        <w:tblPrEx>
          <w:tblCellMar>
            <w:top w:w="0" w:type="dxa"/>
            <w:left w:w="108" w:type="dxa"/>
            <w:bottom w:w="0" w:type="dxa"/>
            <w:right w:w="108" w:type="dxa"/>
          </w:tblCellMar>
        </w:tblPrEx>
        <w:trPr>
          <w:trHeight w:val="679" w:hRule="atLeast"/>
        </w:trPr>
        <w:tc>
          <w:tcPr>
            <w:tcW w:w="5973"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rPr>
            </w:pPr>
            <w:r>
              <w:rPr>
                <w:rFonts w:ascii="宋体" w:hAnsi="宋体" w:cs="宋体"/>
                <w:color w:val="000000"/>
                <w:kern w:val="0"/>
                <w:sz w:val="24"/>
              </w:rPr>
              <w:t xml:space="preserve">  3</w:t>
            </w:r>
            <w:r>
              <w:rPr>
                <w:rFonts w:hint="eastAsia" w:ascii="宋体" w:hAnsi="宋体" w:cs="宋体"/>
                <w:color w:val="000000"/>
                <w:kern w:val="0"/>
                <w:sz w:val="24"/>
              </w:rPr>
              <w:t>、单价在</w:t>
            </w:r>
            <w:r>
              <w:rPr>
                <w:rFonts w:ascii="宋体" w:hAnsi="宋体" w:cs="宋体"/>
                <w:color w:val="000000"/>
                <w:kern w:val="0"/>
                <w:sz w:val="24"/>
              </w:rPr>
              <w:t>20</w:t>
            </w:r>
            <w:r>
              <w:rPr>
                <w:rFonts w:hint="eastAsia" w:ascii="宋体" w:hAnsi="宋体" w:cs="宋体"/>
                <w:color w:val="000000"/>
                <w:kern w:val="0"/>
                <w:sz w:val="24"/>
              </w:rPr>
              <w:t>万元以上的设备</w:t>
            </w:r>
          </w:p>
        </w:tc>
        <w:tc>
          <w:tcPr>
            <w:tcW w:w="249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w:t>
            </w:r>
          </w:p>
        </w:tc>
        <w:tc>
          <w:tcPr>
            <w:tcW w:w="533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cs="宋体"/>
                <w:color w:val="000000"/>
                <w:kern w:val="0"/>
                <w:sz w:val="24"/>
              </w:rPr>
              <w:t>0.00</w:t>
            </w:r>
          </w:p>
        </w:tc>
      </w:tr>
      <w:tr>
        <w:tblPrEx>
          <w:tblCellMar>
            <w:top w:w="0" w:type="dxa"/>
            <w:left w:w="108" w:type="dxa"/>
            <w:bottom w:w="0" w:type="dxa"/>
            <w:right w:w="108" w:type="dxa"/>
          </w:tblCellMar>
        </w:tblPrEx>
        <w:trPr>
          <w:trHeight w:val="507" w:hRule="atLeast"/>
        </w:trPr>
        <w:tc>
          <w:tcPr>
            <w:tcW w:w="5973" w:type="dxa"/>
            <w:tcBorders>
              <w:top w:val="single" w:color="auto" w:sz="4" w:space="0"/>
              <w:left w:val="single" w:color="auto" w:sz="4" w:space="0"/>
              <w:bottom w:val="single" w:color="auto" w:sz="4" w:space="0"/>
              <w:right w:val="single" w:color="auto" w:sz="4" w:space="0"/>
            </w:tcBorders>
            <w:vAlign w:val="center"/>
          </w:tcPr>
          <w:p>
            <w:pPr>
              <w:jc w:val="left"/>
              <w:rPr>
                <w:rFonts w:ascii="宋体" w:cs="Times New Roman"/>
                <w:color w:val="000000"/>
                <w:kern w:val="0"/>
                <w:sz w:val="24"/>
              </w:rPr>
            </w:pPr>
            <w:r>
              <w:rPr>
                <w:rFonts w:ascii="宋体" w:hAnsi="宋体" w:cs="宋体"/>
                <w:color w:val="000000"/>
                <w:kern w:val="0"/>
                <w:sz w:val="24"/>
              </w:rPr>
              <w:t xml:space="preserve">  4</w:t>
            </w:r>
            <w:r>
              <w:rPr>
                <w:rFonts w:hint="eastAsia" w:ascii="宋体" w:hAnsi="宋体" w:cs="宋体"/>
                <w:color w:val="000000"/>
                <w:kern w:val="0"/>
                <w:sz w:val="24"/>
              </w:rPr>
              <w:t>、其他固定资产</w:t>
            </w:r>
          </w:p>
        </w:tc>
        <w:tc>
          <w:tcPr>
            <w:tcW w:w="2493" w:type="dxa"/>
            <w:tcBorders>
              <w:top w:val="single" w:color="auto" w:sz="4" w:space="0"/>
              <w:left w:val="nil"/>
              <w:bottom w:val="single" w:color="auto" w:sz="4" w:space="0"/>
              <w:right w:val="single" w:color="auto" w:sz="4" w:space="0"/>
            </w:tcBorders>
            <w:vAlign w:val="center"/>
          </w:tcPr>
          <w:p>
            <w:pPr>
              <w:jc w:val="center"/>
              <w:rPr>
                <w:rFonts w:ascii="宋体" w:cs="宋体"/>
                <w:color w:val="000000"/>
                <w:kern w:val="0"/>
                <w:sz w:val="24"/>
              </w:rPr>
            </w:pPr>
            <w:r>
              <w:rPr>
                <w:rFonts w:ascii="宋体" w:hAnsi="宋体" w:cs="宋体"/>
                <w:color w:val="000000"/>
                <w:kern w:val="0"/>
                <w:sz w:val="24"/>
              </w:rPr>
              <w:t>—</w:t>
            </w:r>
          </w:p>
        </w:tc>
        <w:tc>
          <w:tcPr>
            <w:tcW w:w="5334" w:type="dxa"/>
            <w:tcBorders>
              <w:top w:val="single" w:color="auto" w:sz="4" w:space="0"/>
              <w:left w:val="nil"/>
              <w:bottom w:val="single" w:color="auto" w:sz="4" w:space="0"/>
              <w:right w:val="single" w:color="auto" w:sz="4" w:space="0"/>
            </w:tcBorders>
            <w:vAlign w:val="center"/>
          </w:tcPr>
          <w:p>
            <w:pPr>
              <w:jc w:val="center"/>
              <w:rPr>
                <w:rFonts w:ascii="宋体" w:eastAsia="宋体" w:cs="宋体"/>
                <w:color w:val="000000"/>
                <w:kern w:val="0"/>
                <w:sz w:val="24"/>
              </w:rPr>
            </w:pPr>
            <w:r>
              <w:rPr>
                <w:rFonts w:hint="eastAsia" w:ascii="宋体" w:eastAsia="宋体" w:cs="宋体"/>
                <w:color w:val="000000"/>
                <w:kern w:val="0"/>
                <w:sz w:val="24"/>
              </w:rPr>
              <w:t>83.71</w:t>
            </w:r>
          </w:p>
        </w:tc>
      </w:tr>
    </w:tbl>
    <w:p>
      <w:pPr>
        <w:spacing w:before="10" w:after="10"/>
        <w:ind w:firstLine="640"/>
        <w:outlineLvl w:val="2"/>
        <w:rPr>
          <w:rFonts w:ascii="宋体" w:hAnsi="宋体" w:eastAsia="宋体" w:cs="宋体"/>
          <w:b/>
          <w:bCs/>
        </w:rPr>
      </w:pPr>
      <w:bookmarkStart w:id="10" w:name="_Toc_3_3_0000000017"/>
      <w:r>
        <w:rPr>
          <w:rFonts w:hint="eastAsia" w:ascii="宋体" w:hAnsi="宋体" w:eastAsia="宋体" w:cs="宋体"/>
          <w:b/>
          <w:bCs/>
          <w:color w:val="000000"/>
          <w:sz w:val="32"/>
        </w:rPr>
        <w:t>八、名词解释</w:t>
      </w:r>
      <w:bookmarkEnd w:id="10"/>
    </w:p>
    <w:p>
      <w:pPr>
        <w:spacing w:line="500" w:lineRule="exact"/>
        <w:ind w:firstLine="640" w:firstLineChars="200"/>
        <w:rPr>
          <w:rFonts w:ascii="宋体" w:hAnsi="宋体" w:eastAsia="宋体" w:cs="宋体"/>
          <w:sz w:val="32"/>
          <w:szCs w:val="32"/>
        </w:rPr>
      </w:pPr>
      <w:r>
        <w:rPr>
          <w:rFonts w:hint="eastAsia" w:ascii="宋体" w:hAnsi="宋体" w:eastAsia="宋体" w:cs="宋体"/>
          <w:color w:val="000000"/>
          <w:sz w:val="32"/>
          <w:szCs w:val="32"/>
        </w:rPr>
        <w:t>1、</w:t>
      </w:r>
      <w:r>
        <w:rPr>
          <w:rFonts w:hint="eastAsia" w:ascii="宋体" w:hAnsi="宋体" w:eastAsia="宋体" w:cs="宋体"/>
          <w:b/>
          <w:color w:val="000000"/>
          <w:sz w:val="32"/>
          <w:szCs w:val="32"/>
        </w:rPr>
        <w:t>一般公共预算拨款收入：</w:t>
      </w:r>
      <w:r>
        <w:rPr>
          <w:rFonts w:hint="eastAsia" w:ascii="宋体" w:hAnsi="宋体" w:eastAsia="宋体" w:cs="宋体"/>
          <w:color w:val="000000"/>
          <w:sz w:val="32"/>
          <w:szCs w:val="32"/>
        </w:rPr>
        <w:t>指县级财政当年拨付的资金。</w:t>
      </w:r>
    </w:p>
    <w:p>
      <w:pPr>
        <w:spacing w:line="500" w:lineRule="exact"/>
        <w:ind w:firstLine="643" w:firstLineChars="200"/>
        <w:jc w:val="left"/>
        <w:outlineLvl w:val="0"/>
        <w:rPr>
          <w:rFonts w:ascii="宋体" w:hAnsi="宋体" w:eastAsia="宋体" w:cs="宋体"/>
          <w:sz w:val="32"/>
          <w:szCs w:val="32"/>
        </w:rPr>
      </w:pPr>
      <w:r>
        <w:rPr>
          <w:rFonts w:hint="eastAsia" w:ascii="宋体" w:hAnsi="宋体" w:eastAsia="宋体" w:cs="宋体"/>
          <w:b/>
          <w:bCs/>
          <w:sz w:val="32"/>
          <w:szCs w:val="32"/>
        </w:rPr>
        <w:t>2、其他收入：</w:t>
      </w:r>
      <w:r>
        <w:rPr>
          <w:rFonts w:hint="eastAsia" w:ascii="宋体" w:hAnsi="宋体" w:eastAsia="宋体" w:cs="宋体"/>
          <w:sz w:val="32"/>
          <w:szCs w:val="32"/>
        </w:rPr>
        <w:t>指除上述“财政拨款收入”、“事业收入”等以外的收入。</w:t>
      </w:r>
    </w:p>
    <w:p>
      <w:pPr>
        <w:spacing w:line="500" w:lineRule="exact"/>
        <w:ind w:firstLine="643" w:firstLineChars="200"/>
        <w:jc w:val="left"/>
        <w:outlineLvl w:val="0"/>
        <w:rPr>
          <w:rFonts w:ascii="宋体" w:hAnsi="宋体" w:eastAsia="宋体" w:cs="宋体"/>
          <w:sz w:val="32"/>
          <w:szCs w:val="32"/>
        </w:rPr>
      </w:pPr>
      <w:r>
        <w:rPr>
          <w:rFonts w:hint="eastAsia" w:ascii="宋体" w:hAnsi="宋体" w:eastAsia="宋体" w:cs="宋体"/>
          <w:b/>
          <w:bCs/>
          <w:sz w:val="32"/>
          <w:szCs w:val="32"/>
        </w:rPr>
        <w:t>3、基本支出：</w:t>
      </w:r>
      <w:r>
        <w:rPr>
          <w:rFonts w:hint="eastAsia" w:ascii="宋体" w:hAnsi="宋体" w:eastAsia="宋体" w:cs="宋体"/>
          <w:sz w:val="32"/>
          <w:szCs w:val="32"/>
        </w:rPr>
        <w:t>指为保障机构正常运转、完成日常工作任务而发生的人员支出和公用支出。</w:t>
      </w:r>
    </w:p>
    <w:p>
      <w:pPr>
        <w:spacing w:line="500" w:lineRule="exact"/>
        <w:ind w:firstLine="643" w:firstLineChars="200"/>
        <w:jc w:val="left"/>
        <w:outlineLvl w:val="0"/>
        <w:rPr>
          <w:rFonts w:ascii="宋体" w:hAnsi="宋体" w:eastAsia="宋体" w:cs="宋体"/>
          <w:sz w:val="32"/>
          <w:szCs w:val="32"/>
        </w:rPr>
      </w:pPr>
      <w:r>
        <w:rPr>
          <w:rFonts w:hint="eastAsia" w:ascii="宋体" w:hAnsi="宋体" w:eastAsia="宋体" w:cs="宋体"/>
          <w:b/>
          <w:bCs/>
          <w:sz w:val="32"/>
          <w:szCs w:val="32"/>
        </w:rPr>
        <w:t>4、项目支出：</w:t>
      </w:r>
      <w:r>
        <w:rPr>
          <w:rFonts w:hint="eastAsia" w:ascii="宋体" w:hAnsi="宋体" w:eastAsia="宋体" w:cs="宋体"/>
          <w:sz w:val="32"/>
          <w:szCs w:val="32"/>
        </w:rPr>
        <w:t>指在基本支出之外为完成特定行政任务和事业发展目标所发生的支出。</w:t>
      </w:r>
    </w:p>
    <w:p>
      <w:pPr>
        <w:spacing w:line="500" w:lineRule="exact"/>
        <w:ind w:firstLine="640" w:firstLineChars="200"/>
        <w:rPr>
          <w:rFonts w:ascii="宋体" w:hAnsi="宋体" w:eastAsia="宋体" w:cs="宋体"/>
          <w:sz w:val="32"/>
          <w:szCs w:val="32"/>
        </w:rPr>
      </w:pPr>
      <w:r>
        <w:rPr>
          <w:rFonts w:hint="eastAsia" w:ascii="宋体" w:hAnsi="宋体" w:eastAsia="宋体" w:cs="宋体"/>
          <w:color w:val="000000"/>
          <w:sz w:val="32"/>
          <w:szCs w:val="32"/>
        </w:rPr>
        <w:t>5、</w:t>
      </w:r>
      <w:r>
        <w:rPr>
          <w:rFonts w:hint="eastAsia" w:ascii="宋体" w:hAnsi="宋体" w:eastAsia="宋体" w:cs="宋体"/>
          <w:b/>
          <w:color w:val="000000"/>
          <w:sz w:val="32"/>
          <w:szCs w:val="32"/>
        </w:rPr>
        <w:t>“三公”经费：</w:t>
      </w:r>
      <w:r>
        <w:rPr>
          <w:rFonts w:hint="eastAsia" w:ascii="宋体" w:hAnsi="宋体" w:eastAsia="宋体" w:cs="宋体"/>
          <w:color w:val="000000"/>
          <w:sz w:val="32"/>
          <w:szCs w:val="32"/>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等支出；公务接待费反映单位按规定开支的各类公务接待（含外宾接待）支出。</w:t>
      </w:r>
    </w:p>
    <w:p>
      <w:pPr>
        <w:spacing w:line="500" w:lineRule="exact"/>
        <w:ind w:firstLine="560"/>
        <w:rPr>
          <w:rFonts w:ascii="宋体" w:hAnsi="宋体" w:eastAsia="宋体" w:cs="宋体"/>
          <w:sz w:val="32"/>
          <w:szCs w:val="32"/>
        </w:rPr>
      </w:pPr>
      <w:r>
        <w:rPr>
          <w:rFonts w:hint="eastAsia" w:ascii="宋体" w:hAnsi="宋体" w:eastAsia="宋体" w:cs="宋体"/>
          <w:color w:val="000000"/>
          <w:sz w:val="32"/>
          <w:szCs w:val="32"/>
        </w:rPr>
        <w:t>6、</w:t>
      </w:r>
      <w:r>
        <w:rPr>
          <w:rFonts w:hint="eastAsia" w:ascii="宋体" w:hAnsi="宋体" w:eastAsia="宋体" w:cs="宋体"/>
          <w:b/>
          <w:color w:val="000000"/>
          <w:sz w:val="32"/>
          <w:szCs w:val="32"/>
        </w:rPr>
        <w:t>机关运行费：</w:t>
      </w:r>
      <w:r>
        <w:rPr>
          <w:rFonts w:hint="eastAsia" w:ascii="宋体" w:hAnsi="宋体" w:eastAsia="宋体" w:cs="宋体"/>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500" w:lineRule="exact"/>
        <w:ind w:firstLine="640"/>
        <w:outlineLvl w:val="2"/>
        <w:rPr>
          <w:rFonts w:ascii="宋体" w:hAnsi="宋体" w:eastAsia="宋体" w:cs="宋体"/>
          <w:b/>
          <w:bCs/>
          <w:sz w:val="32"/>
          <w:szCs w:val="32"/>
        </w:rPr>
      </w:pPr>
      <w:bookmarkStart w:id="11" w:name="_Toc_3_3_0000000018"/>
      <w:r>
        <w:rPr>
          <w:rFonts w:hint="eastAsia" w:ascii="宋体" w:hAnsi="宋体" w:eastAsia="宋体" w:cs="宋体"/>
          <w:b/>
          <w:bCs/>
          <w:color w:val="000000"/>
          <w:sz w:val="32"/>
          <w:szCs w:val="32"/>
        </w:rPr>
        <w:t>九、其他需要说明的事项</w:t>
      </w:r>
      <w:bookmarkEnd w:id="11"/>
    </w:p>
    <w:p>
      <w:pPr>
        <w:spacing w:line="500" w:lineRule="exact"/>
        <w:ind w:firstLine="560"/>
        <w:rPr>
          <w:rFonts w:ascii="宋体" w:hAnsi="宋体" w:eastAsia="宋体" w:cs="宋体"/>
          <w:sz w:val="32"/>
          <w:szCs w:val="32"/>
        </w:rPr>
      </w:pPr>
      <w:r>
        <w:rPr>
          <w:rFonts w:hint="eastAsia" w:ascii="宋体" w:hAnsi="宋体" w:eastAsia="宋体" w:cs="宋体"/>
          <w:color w:val="000000"/>
          <w:sz w:val="32"/>
          <w:szCs w:val="32"/>
        </w:rPr>
        <w:t>我部门无其他需要说明的事项。</w:t>
      </w:r>
    </w:p>
    <w:p>
      <w:pPr>
        <w:rPr>
          <w:rFonts w:ascii="宋体" w:hAnsi="宋体" w:eastAsia="宋体" w:cs="宋体"/>
          <w:sz w:val="32"/>
          <w:szCs w:val="32"/>
        </w:rPr>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_GBK">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NDkwN2JkOTAxMzA1ZWY4NTIzMGI2MjkwYzgxM2EifQ=="/>
  </w:docVars>
  <w:rsids>
    <w:rsidRoot w:val="58134C68"/>
    <w:rsid w:val="00666555"/>
    <w:rsid w:val="00712112"/>
    <w:rsid w:val="00F14DDC"/>
    <w:rsid w:val="123E2F2E"/>
    <w:rsid w:val="13180F89"/>
    <w:rsid w:val="138059E2"/>
    <w:rsid w:val="24B44889"/>
    <w:rsid w:val="25103400"/>
    <w:rsid w:val="262670C1"/>
    <w:rsid w:val="29EE0F73"/>
    <w:rsid w:val="36032F7B"/>
    <w:rsid w:val="3D6D5CBB"/>
    <w:rsid w:val="41BC0E77"/>
    <w:rsid w:val="43346E69"/>
    <w:rsid w:val="46054AED"/>
    <w:rsid w:val="532742F5"/>
    <w:rsid w:val="58134C68"/>
    <w:rsid w:val="5A2142C4"/>
    <w:rsid w:val="5D5E0913"/>
    <w:rsid w:val="639A76F3"/>
    <w:rsid w:val="681A6AB6"/>
    <w:rsid w:val="70175564"/>
    <w:rsid w:val="766548B6"/>
    <w:rsid w:val="77CE5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1"/>
    <w:next w:val="1"/>
    <w:qFormat/>
    <w:uiPriority w:val="0"/>
    <w:pPr>
      <w:spacing w:before="120"/>
      <w:ind w:firstLine="560"/>
    </w:pPr>
    <w:rPr>
      <w:rFonts w:eastAsia="方正仿宋_GBK"/>
      <w:color w:val="000000"/>
      <w:sz w:val="28"/>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rPr>
  </w:style>
  <w:style w:type="paragraph" w:customStyle="1" w:styleId="11">
    <w:name w:val="单元格样式3"/>
    <w:basedOn w:val="1"/>
    <w:qFormat/>
    <w:uiPriority w:val="0"/>
    <w:pPr>
      <w:jc w:val="center"/>
    </w:pPr>
    <w:rPr>
      <w:rFonts w:ascii="方正书宋_GBK" w:hAnsi="方正书宋_GBK" w:eastAsia="方正书宋_GBK" w:cs="方正书宋_GBK"/>
    </w:rPr>
  </w:style>
  <w:style w:type="paragraph" w:customStyle="1" w:styleId="12">
    <w:name w:val="单元格样式6"/>
    <w:basedOn w:val="1"/>
    <w:qFormat/>
    <w:uiPriority w:val="0"/>
    <w:pPr>
      <w:jc w:val="center"/>
    </w:pPr>
    <w:rPr>
      <w:rFonts w:ascii="方正书宋_GBK" w:hAnsi="方正书宋_GBK" w:eastAsia="方正书宋_GBK" w:cs="方正书宋_GBK"/>
      <w:b/>
    </w:rPr>
  </w:style>
  <w:style w:type="paragraph" w:customStyle="1" w:styleId="13">
    <w:name w:val="单元格样式7"/>
    <w:basedOn w:val="1"/>
    <w:qFormat/>
    <w:uiPriority w:val="0"/>
    <w:pPr>
      <w:jc w:val="right"/>
    </w:pPr>
    <w:rPr>
      <w:rFonts w:ascii="方正书宋_GBK" w:hAnsi="方正书宋_GBK" w:eastAsia="方正书宋_GBK" w:cs="方正书宋_GBK"/>
      <w:b/>
    </w:rPr>
  </w:style>
  <w:style w:type="paragraph" w:customStyle="1" w:styleId="14">
    <w:name w:val="单元格样式2"/>
    <w:basedOn w:val="1"/>
    <w:qFormat/>
    <w:uiPriority w:val="0"/>
    <w:rPr>
      <w:rFonts w:ascii="方正书宋_GBK" w:hAnsi="方正书宋_GBK" w:eastAsia="方正书宋_GBK" w:cs="方正书宋_GBK"/>
    </w:rPr>
  </w:style>
  <w:style w:type="paragraph" w:customStyle="1" w:styleId="15">
    <w:name w:val="单元格样式4"/>
    <w:basedOn w:val="1"/>
    <w:qFormat/>
    <w:uiPriority w:val="0"/>
    <w:pPr>
      <w:jc w:val="right"/>
    </w:pPr>
    <w:rPr>
      <w:rFonts w:ascii="方正书宋_GBK" w:hAnsi="方正书宋_GBK" w:eastAsia="方正书宋_GBK" w:cs="方正书宋_GBK"/>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单元格样式5"/>
    <w:basedOn w:val="1"/>
    <w:qFormat/>
    <w:uiPriority w:val="0"/>
    <w:pPr>
      <w:jc w:val="left"/>
    </w:pPr>
    <w:rPr>
      <w:rFonts w:ascii="方正书宋_GBK" w:hAnsi="方正书宋_GBK" w:eastAsia="方正书宋_GBK" w:cs="方正书宋_GBK"/>
      <w:b/>
    </w:rPr>
  </w:style>
  <w:style w:type="paragraph" w:customStyle="1" w:styleId="22">
    <w:name w:val="单元格样式23"/>
    <w:basedOn w:val="1"/>
    <w:qFormat/>
    <w:uiPriority w:val="0"/>
    <w:pPr>
      <w:widowControl/>
      <w:jc w:val="right"/>
    </w:pPr>
    <w:rPr>
      <w:rFonts w:ascii="方正书宋_GBK" w:hAnsi="方正书宋_GBK" w:eastAsia="方正书宋_GBK" w:cs="方正书宋_GBK"/>
      <w:kern w:val="0"/>
      <w:sz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2232</Words>
  <Characters>12723</Characters>
  <Lines>106</Lines>
  <Paragraphs>29</Paragraphs>
  <TotalTime>2</TotalTime>
  <ScaleCrop>false</ScaleCrop>
  <LinksUpToDate>false</LinksUpToDate>
  <CharactersWithSpaces>14926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2023-08-17T02:16:00Z</dcterms:created>
  <dc:creator>Administrator</dc:creator>
  <cp:lastModifiedBy>简单就好</cp:lastModifiedBy>
  <cp:lastPrinted>2022-02-22T13:43:00Z</cp:lastPrinted>
  <dcterms:modified xsi:type="dcterms:W3CDTF">2024-01-29T16:37:31Z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7FAD4A483ADB4FE699AE82723686D777_13</vt:lpwstr>
  </property>
</Properties>
</file>