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1FB5C">
      <w:pPr>
        <w:jc w:val="center"/>
        <w:rPr>
          <w:rFonts w:hint="eastAsia" w:ascii="宋体" w:hAnsi="宋体" w:eastAsia="宋体" w:cs="宋体"/>
          <w:b/>
          <w:bCs/>
          <w:sz w:val="44"/>
          <w:szCs w:val="44"/>
        </w:rPr>
      </w:pPr>
      <w:r>
        <w:rPr>
          <w:rFonts w:hint="eastAsia" w:ascii="宋体" w:hAnsi="宋体" w:eastAsia="宋体" w:cs="宋体"/>
          <w:b/>
          <w:bCs/>
          <w:sz w:val="44"/>
          <w:szCs w:val="44"/>
        </w:rPr>
        <w:t>涞源县</w:t>
      </w:r>
      <w:r>
        <w:rPr>
          <w:rFonts w:hint="eastAsia" w:ascii="宋体" w:hAnsi="宋体" w:eastAsia="宋体" w:cs="宋体"/>
          <w:b/>
          <w:bCs/>
          <w:sz w:val="44"/>
          <w:szCs w:val="44"/>
          <w:lang w:val="en-US" w:eastAsia="zh-CN"/>
        </w:rPr>
        <w:t>乌龙沟</w:t>
      </w:r>
      <w:r>
        <w:rPr>
          <w:rFonts w:hint="eastAsia" w:ascii="宋体" w:hAnsi="宋体" w:eastAsia="宋体" w:cs="宋体"/>
          <w:b/>
          <w:bCs/>
          <w:sz w:val="44"/>
          <w:szCs w:val="44"/>
        </w:rPr>
        <w:t>乡人民政府</w:t>
      </w:r>
    </w:p>
    <w:p w14:paraId="07FCA569">
      <w:pPr>
        <w:jc w:val="center"/>
        <w:rPr>
          <w:rFonts w:hint="eastAsia" w:ascii="宋体" w:hAnsi="宋体" w:eastAsia="宋体" w:cs="宋体"/>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年度涉企行政执法检查计划</w:t>
      </w:r>
    </w:p>
    <w:p w14:paraId="76BD9054"/>
    <w:p w14:paraId="789CA40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为进一步优化营商环境，加强对辖区内企业的有效监管，保障企业合法合规经营，依据《河北省涉企行政检查事项清单》以及《涞源县乌龙沟乡行政处罚事项清单》，结合我乡实际情况，特制定本年度涉企行政执法检查计划。</w:t>
      </w:r>
    </w:p>
    <w:p w14:paraId="3CEA8B9C">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一、检查目标</w:t>
      </w:r>
    </w:p>
    <w:p w14:paraId="64627B7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通过定期和不定期的行政执法检查，规范我</w:t>
      </w:r>
      <w:bookmarkStart w:id="0" w:name="_GoBack"/>
      <w:bookmarkEnd w:id="0"/>
      <w:r>
        <w:rPr>
          <w:rFonts w:hint="eastAsia" w:ascii="仿宋" w:hAnsi="仿宋" w:eastAsia="仿宋" w:cs="仿宋"/>
          <w:sz w:val="30"/>
          <w:szCs w:val="30"/>
          <w:lang w:val="en-US" w:eastAsia="zh-CN"/>
        </w:rPr>
        <w:t>乡辖区内企业在城市管理、农业经营、清真食品生产经营等方面的行为，确保企业严格遵守相关法律法规，维护良好的市场秩序和生态环境，促进企业健康稳定发展。</w:t>
      </w:r>
    </w:p>
    <w:p w14:paraId="7AD50B88">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二、检查主体</w:t>
      </w:r>
    </w:p>
    <w:p w14:paraId="275607A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涞源县乌龙沟乡人民政府综合行政执法队作为检查主体，负责具体实施涉企行政执法检查工作。执法队成员需具备相应执法资质，熟悉相关法律法规和业务知识，确保执法检查的专业性和规范性。</w:t>
      </w:r>
    </w:p>
    <w:p w14:paraId="024FEB62">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三、检查对象</w:t>
      </w:r>
    </w:p>
    <w:p w14:paraId="664A731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乌龙沟乡辖区内从事车辆清洗、维修经营的企业；农业经营企业；生产、经营清真食品的企业。</w:t>
      </w:r>
    </w:p>
    <w:p w14:paraId="51A8213C">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四、检查内容及依据</w:t>
      </w:r>
    </w:p>
    <w:p w14:paraId="6356B99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从事车辆清洗、维修经营活动是否占用公共场所的行政检查：依据《河北省城市市容和环境卫生条例》（2023年11月30日修正）第三十八条规定，检查从事车辆清洗、维修经营活动的企业是否在室内进行作业，有无占用道路、绿地、公共场所等违规行为。</w:t>
      </w:r>
    </w:p>
    <w:p w14:paraId="182CEA3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农业经营主体对农产品采收后的秸秆及树叶、荒草采取综合利用措施处理的行政检查：依据《河北省人民代表大会常务委员会关于促进农作物秸秆综合利用和禁止露天焚烧的决定》（2024年11月28日修正）第二十五条规定，检查农业经营企业对农产品采收后的秸秆及树叶、荒草是否妥善采取综合利用措施处理，是否存在因未妥善处理而导致露天焚烧的情况。</w:t>
      </w:r>
    </w:p>
    <w:p w14:paraId="03B7326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生产、经营清真食品的行政检查：依据《河北省清真食品管理条例》（1999年11月29日公布）第四条规定，检查生产、经营清真食品的企业在原料采购、生产加工、储存运输、销售等环节是否符合清真食品相关标准和要求，确保清真食品的生产经营规范合法。</w:t>
      </w:r>
    </w:p>
    <w:p w14:paraId="02B7DD37">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五、检查方式</w:t>
      </w:r>
    </w:p>
    <w:p w14:paraId="35387C7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日常检查与重点抽查结合：每月安排1次检查任务，采取日常检查与重点抽查相结合的方式。日常检查覆盖各类涉企经营主体，重点抽查针对问题较多或群众举报的企业。</w:t>
      </w:r>
    </w:p>
    <w:p w14:paraId="435320A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注重多方协作联动：在检查过程中，加强与上级主管部门、市场监管、环保等相关单位的沟通协作，必要时开展联合执法检查，形成监管合力，提升检查效果和执法权威性。</w:t>
      </w:r>
    </w:p>
    <w:p w14:paraId="2CB810F5">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六、检查安排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44"/>
        <w:gridCol w:w="2484"/>
        <w:gridCol w:w="5118"/>
      </w:tblGrid>
      <w:tr w14:paraId="3466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244" w:type="dxa"/>
            <w:shd w:val="clear" w:color="auto" w:fill="auto"/>
            <w:tcMar>
              <w:top w:w="180" w:type="dxa"/>
              <w:left w:w="270" w:type="dxa"/>
              <w:bottom w:w="180" w:type="dxa"/>
              <w:right w:w="270" w:type="dxa"/>
            </w:tcMar>
            <w:vAlign w:val="center"/>
          </w:tcPr>
          <w:p w14:paraId="4B77586E">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月份</w:t>
            </w:r>
          </w:p>
        </w:tc>
        <w:tc>
          <w:tcPr>
            <w:tcW w:w="2484" w:type="dxa"/>
            <w:shd w:val="clear" w:color="auto" w:fill="auto"/>
            <w:tcMar>
              <w:top w:w="180" w:type="dxa"/>
              <w:left w:w="270" w:type="dxa"/>
              <w:bottom w:w="180" w:type="dxa"/>
              <w:right w:w="270" w:type="dxa"/>
            </w:tcMar>
            <w:vAlign w:val="center"/>
          </w:tcPr>
          <w:p w14:paraId="019CB4BB">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检查领域</w:t>
            </w:r>
          </w:p>
        </w:tc>
        <w:tc>
          <w:tcPr>
            <w:tcW w:w="5118" w:type="dxa"/>
            <w:shd w:val="clear" w:color="auto" w:fill="auto"/>
            <w:tcMar>
              <w:top w:w="180" w:type="dxa"/>
              <w:left w:w="270" w:type="dxa"/>
              <w:bottom w:w="180" w:type="dxa"/>
              <w:right w:w="270" w:type="dxa"/>
            </w:tcMar>
            <w:vAlign w:val="center"/>
          </w:tcPr>
          <w:p w14:paraId="66A99C66">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检查重点</w:t>
            </w:r>
          </w:p>
        </w:tc>
      </w:tr>
      <w:tr w14:paraId="48E5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486E5B9">
            <w:pPr>
              <w:jc w:val="center"/>
              <w:rPr>
                <w:rFonts w:hint="eastAsia" w:ascii="仿宋" w:hAnsi="仿宋" w:eastAsia="仿宋" w:cs="仿宋"/>
                <w:sz w:val="22"/>
                <w:szCs w:val="22"/>
              </w:rPr>
            </w:pPr>
            <w:r>
              <w:rPr>
                <w:rFonts w:hint="eastAsia" w:ascii="仿宋" w:hAnsi="仿宋" w:eastAsia="仿宋" w:cs="仿宋"/>
                <w:sz w:val="22"/>
                <w:szCs w:val="22"/>
                <w:lang w:val="en-US" w:eastAsia="zh-CN"/>
              </w:rPr>
              <w:t>1月</w:t>
            </w:r>
          </w:p>
        </w:tc>
        <w:tc>
          <w:tcPr>
            <w:tcW w:w="2484" w:type="dxa"/>
            <w:shd w:val="clear" w:color="auto" w:fill="auto"/>
            <w:tcMar>
              <w:top w:w="180" w:type="dxa"/>
              <w:left w:w="270" w:type="dxa"/>
              <w:bottom w:w="180" w:type="dxa"/>
              <w:right w:w="270" w:type="dxa"/>
            </w:tcMar>
            <w:vAlign w:val="center"/>
          </w:tcPr>
          <w:p w14:paraId="7E3F11E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88095F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重点检查是否存在占用公共场所作业的现象，包括作业区域是否规范、有无占用道路等情况。</w:t>
            </w:r>
          </w:p>
        </w:tc>
      </w:tr>
      <w:tr w14:paraId="065D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9852DE9">
            <w:pPr>
              <w:jc w:val="center"/>
              <w:rPr>
                <w:rFonts w:hint="eastAsia" w:ascii="仿宋" w:hAnsi="仿宋" w:eastAsia="仿宋" w:cs="仿宋"/>
                <w:sz w:val="22"/>
                <w:szCs w:val="22"/>
              </w:rPr>
            </w:pPr>
            <w:r>
              <w:rPr>
                <w:rFonts w:hint="eastAsia" w:ascii="仿宋" w:hAnsi="仿宋" w:eastAsia="仿宋" w:cs="仿宋"/>
                <w:sz w:val="22"/>
                <w:szCs w:val="22"/>
                <w:lang w:val="en-US" w:eastAsia="zh-CN"/>
              </w:rPr>
              <w:t>2月</w:t>
            </w:r>
          </w:p>
        </w:tc>
        <w:tc>
          <w:tcPr>
            <w:tcW w:w="2484" w:type="dxa"/>
            <w:shd w:val="clear" w:color="auto" w:fill="auto"/>
            <w:tcMar>
              <w:top w:w="180" w:type="dxa"/>
              <w:left w:w="270" w:type="dxa"/>
              <w:bottom w:w="180" w:type="dxa"/>
              <w:right w:w="270" w:type="dxa"/>
            </w:tcMar>
            <w:vAlign w:val="center"/>
          </w:tcPr>
          <w:p w14:paraId="3417ED3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45FB9B4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对清真食品生产经营企业的原料采购渠道进行检查，查看是否符合清真标准，相关台账记录是否完整。</w:t>
            </w:r>
          </w:p>
        </w:tc>
      </w:tr>
      <w:tr w14:paraId="382C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87C61E8">
            <w:pPr>
              <w:jc w:val="center"/>
              <w:rPr>
                <w:rFonts w:hint="eastAsia" w:ascii="仿宋" w:hAnsi="仿宋" w:eastAsia="仿宋" w:cs="仿宋"/>
                <w:sz w:val="22"/>
                <w:szCs w:val="22"/>
              </w:rPr>
            </w:pPr>
            <w:r>
              <w:rPr>
                <w:rFonts w:hint="eastAsia" w:ascii="仿宋" w:hAnsi="仿宋" w:eastAsia="仿宋" w:cs="仿宋"/>
                <w:sz w:val="22"/>
                <w:szCs w:val="22"/>
                <w:lang w:val="en-US" w:eastAsia="zh-CN"/>
              </w:rPr>
              <w:t>3月</w:t>
            </w:r>
          </w:p>
        </w:tc>
        <w:tc>
          <w:tcPr>
            <w:tcW w:w="2484" w:type="dxa"/>
            <w:shd w:val="clear" w:color="auto" w:fill="auto"/>
            <w:tcMar>
              <w:top w:w="180" w:type="dxa"/>
              <w:left w:w="270" w:type="dxa"/>
              <w:bottom w:w="180" w:type="dxa"/>
              <w:right w:w="270" w:type="dxa"/>
            </w:tcMar>
            <w:vAlign w:val="center"/>
          </w:tcPr>
          <w:p w14:paraId="3CF2EF0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511BA43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检查农业经营企业在农产品采收后，对秸秆及树叶、荒草等的处理方式，是否制定综合利用计划。</w:t>
            </w:r>
          </w:p>
        </w:tc>
      </w:tr>
      <w:tr w14:paraId="395F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3CA91E31">
            <w:pPr>
              <w:jc w:val="center"/>
              <w:rPr>
                <w:rFonts w:hint="eastAsia" w:ascii="仿宋" w:hAnsi="仿宋" w:eastAsia="仿宋" w:cs="仿宋"/>
                <w:sz w:val="22"/>
                <w:szCs w:val="22"/>
              </w:rPr>
            </w:pPr>
            <w:r>
              <w:rPr>
                <w:rFonts w:hint="eastAsia" w:ascii="仿宋" w:hAnsi="仿宋" w:eastAsia="仿宋" w:cs="仿宋"/>
                <w:sz w:val="22"/>
                <w:szCs w:val="22"/>
                <w:lang w:val="en-US" w:eastAsia="zh-CN"/>
              </w:rPr>
              <w:t>4月</w:t>
            </w:r>
          </w:p>
        </w:tc>
        <w:tc>
          <w:tcPr>
            <w:tcW w:w="2484" w:type="dxa"/>
            <w:shd w:val="clear" w:color="auto" w:fill="auto"/>
            <w:tcMar>
              <w:top w:w="180" w:type="dxa"/>
              <w:left w:w="270" w:type="dxa"/>
              <w:bottom w:w="180" w:type="dxa"/>
              <w:right w:w="270" w:type="dxa"/>
            </w:tcMar>
            <w:vAlign w:val="center"/>
          </w:tcPr>
          <w:p w14:paraId="1CF9C8D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780163A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复查1月发现问题的整改情况，同时检查户外广告设置是否合规，物料堆放是否规范。</w:t>
            </w:r>
          </w:p>
        </w:tc>
      </w:tr>
      <w:tr w14:paraId="296F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43876C2">
            <w:pPr>
              <w:jc w:val="center"/>
              <w:rPr>
                <w:rFonts w:hint="eastAsia" w:ascii="仿宋" w:hAnsi="仿宋" w:eastAsia="仿宋" w:cs="仿宋"/>
                <w:sz w:val="22"/>
                <w:szCs w:val="22"/>
              </w:rPr>
            </w:pPr>
            <w:r>
              <w:rPr>
                <w:rFonts w:hint="eastAsia" w:ascii="仿宋" w:hAnsi="仿宋" w:eastAsia="仿宋" w:cs="仿宋"/>
                <w:sz w:val="22"/>
                <w:szCs w:val="22"/>
                <w:lang w:val="en-US" w:eastAsia="zh-CN"/>
              </w:rPr>
              <w:t>5月</w:t>
            </w:r>
          </w:p>
        </w:tc>
        <w:tc>
          <w:tcPr>
            <w:tcW w:w="2484" w:type="dxa"/>
            <w:shd w:val="clear" w:color="auto" w:fill="auto"/>
            <w:tcMar>
              <w:top w:w="180" w:type="dxa"/>
              <w:left w:w="270" w:type="dxa"/>
              <w:bottom w:w="180" w:type="dxa"/>
              <w:right w:w="270" w:type="dxa"/>
            </w:tcMar>
            <w:vAlign w:val="center"/>
          </w:tcPr>
          <w:p w14:paraId="6F072E3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4463D86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检查清真食品生产加工过程中的卫生状况、加工工艺是否符合清真要求，以及储存运输环节的管理情况。</w:t>
            </w:r>
          </w:p>
        </w:tc>
      </w:tr>
      <w:tr w14:paraId="5BF6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C13671D">
            <w:pPr>
              <w:jc w:val="center"/>
              <w:rPr>
                <w:rFonts w:hint="eastAsia" w:ascii="仿宋" w:hAnsi="仿宋" w:eastAsia="仿宋" w:cs="仿宋"/>
                <w:sz w:val="22"/>
                <w:szCs w:val="22"/>
              </w:rPr>
            </w:pPr>
            <w:r>
              <w:rPr>
                <w:rFonts w:hint="eastAsia" w:ascii="仿宋" w:hAnsi="仿宋" w:eastAsia="仿宋" w:cs="仿宋"/>
                <w:sz w:val="22"/>
                <w:szCs w:val="22"/>
                <w:lang w:val="en-US" w:eastAsia="zh-CN"/>
              </w:rPr>
              <w:t>6月</w:t>
            </w:r>
          </w:p>
        </w:tc>
        <w:tc>
          <w:tcPr>
            <w:tcW w:w="2484" w:type="dxa"/>
            <w:shd w:val="clear" w:color="auto" w:fill="auto"/>
            <w:tcMar>
              <w:top w:w="180" w:type="dxa"/>
              <w:left w:w="270" w:type="dxa"/>
              <w:bottom w:w="180" w:type="dxa"/>
              <w:right w:w="270" w:type="dxa"/>
            </w:tcMar>
            <w:vAlign w:val="center"/>
          </w:tcPr>
          <w:p w14:paraId="1E05EEE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40CB4E9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结合农作物生长周期，检查农业经营企业对秸秆综合利用措施的执行情况，评估利用效果。</w:t>
            </w:r>
          </w:p>
        </w:tc>
      </w:tr>
      <w:tr w14:paraId="10E7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595BE89A">
            <w:pPr>
              <w:jc w:val="center"/>
              <w:rPr>
                <w:rFonts w:hint="eastAsia" w:ascii="仿宋" w:hAnsi="仿宋" w:eastAsia="仿宋" w:cs="仿宋"/>
                <w:sz w:val="22"/>
                <w:szCs w:val="22"/>
              </w:rPr>
            </w:pPr>
            <w:r>
              <w:rPr>
                <w:rFonts w:hint="eastAsia" w:ascii="仿宋" w:hAnsi="仿宋" w:eastAsia="仿宋" w:cs="仿宋"/>
                <w:sz w:val="22"/>
                <w:szCs w:val="22"/>
                <w:lang w:val="en-US" w:eastAsia="zh-CN"/>
              </w:rPr>
              <w:t>7月</w:t>
            </w:r>
          </w:p>
        </w:tc>
        <w:tc>
          <w:tcPr>
            <w:tcW w:w="2484" w:type="dxa"/>
            <w:shd w:val="clear" w:color="auto" w:fill="auto"/>
            <w:tcMar>
              <w:top w:w="180" w:type="dxa"/>
              <w:left w:w="270" w:type="dxa"/>
              <w:bottom w:w="180" w:type="dxa"/>
              <w:right w:w="270" w:type="dxa"/>
            </w:tcMar>
            <w:vAlign w:val="center"/>
          </w:tcPr>
          <w:p w14:paraId="15562D3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1290A3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检查企业夏季作业时对周边环境卫生的影响，是否存在污水乱排等问题。</w:t>
            </w:r>
          </w:p>
        </w:tc>
      </w:tr>
      <w:tr w14:paraId="5761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811270D">
            <w:pPr>
              <w:jc w:val="center"/>
              <w:rPr>
                <w:rFonts w:hint="eastAsia" w:ascii="仿宋" w:hAnsi="仿宋" w:eastAsia="仿宋" w:cs="仿宋"/>
                <w:sz w:val="22"/>
                <w:szCs w:val="22"/>
              </w:rPr>
            </w:pPr>
            <w:r>
              <w:rPr>
                <w:rFonts w:hint="eastAsia" w:ascii="仿宋" w:hAnsi="仿宋" w:eastAsia="仿宋" w:cs="仿宋"/>
                <w:sz w:val="22"/>
                <w:szCs w:val="22"/>
                <w:lang w:val="en-US" w:eastAsia="zh-CN"/>
              </w:rPr>
              <w:t>8月</w:t>
            </w:r>
          </w:p>
        </w:tc>
        <w:tc>
          <w:tcPr>
            <w:tcW w:w="2484" w:type="dxa"/>
            <w:shd w:val="clear" w:color="auto" w:fill="auto"/>
            <w:tcMar>
              <w:top w:w="180" w:type="dxa"/>
              <w:left w:w="270" w:type="dxa"/>
              <w:bottom w:w="180" w:type="dxa"/>
              <w:right w:w="270" w:type="dxa"/>
            </w:tcMar>
            <w:vAlign w:val="center"/>
          </w:tcPr>
          <w:p w14:paraId="79384B9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0DA3999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针对旅游旺季，检查清真食品销售环节的标识标注是否清晰准确，产品质量是否合格。</w:t>
            </w:r>
          </w:p>
        </w:tc>
      </w:tr>
      <w:tr w14:paraId="1C16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2522007">
            <w:pPr>
              <w:jc w:val="center"/>
              <w:rPr>
                <w:rFonts w:hint="eastAsia" w:ascii="仿宋" w:hAnsi="仿宋" w:eastAsia="仿宋" w:cs="仿宋"/>
                <w:sz w:val="22"/>
                <w:szCs w:val="22"/>
              </w:rPr>
            </w:pPr>
            <w:r>
              <w:rPr>
                <w:rFonts w:hint="eastAsia" w:ascii="仿宋" w:hAnsi="仿宋" w:eastAsia="仿宋" w:cs="仿宋"/>
                <w:sz w:val="22"/>
                <w:szCs w:val="22"/>
                <w:lang w:val="en-US" w:eastAsia="zh-CN"/>
              </w:rPr>
              <w:t>9月</w:t>
            </w:r>
          </w:p>
        </w:tc>
        <w:tc>
          <w:tcPr>
            <w:tcW w:w="2484" w:type="dxa"/>
            <w:shd w:val="clear" w:color="auto" w:fill="auto"/>
            <w:tcMar>
              <w:top w:w="180" w:type="dxa"/>
              <w:left w:w="270" w:type="dxa"/>
              <w:bottom w:w="180" w:type="dxa"/>
              <w:right w:w="270" w:type="dxa"/>
            </w:tcMar>
            <w:vAlign w:val="center"/>
          </w:tcPr>
          <w:p w14:paraId="386C643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1D9007F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在秋收前，检查农业经营企业对秸秆综合利用的准备工作，如设备是否到位、合作协议是否签订等。</w:t>
            </w:r>
          </w:p>
        </w:tc>
      </w:tr>
      <w:tr w14:paraId="2592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40C622F">
            <w:pPr>
              <w:jc w:val="center"/>
              <w:rPr>
                <w:rFonts w:hint="eastAsia" w:ascii="仿宋" w:hAnsi="仿宋" w:eastAsia="仿宋" w:cs="仿宋"/>
                <w:sz w:val="22"/>
                <w:szCs w:val="22"/>
              </w:rPr>
            </w:pPr>
            <w:r>
              <w:rPr>
                <w:rFonts w:hint="eastAsia" w:ascii="仿宋" w:hAnsi="仿宋" w:eastAsia="仿宋" w:cs="仿宋"/>
                <w:sz w:val="22"/>
                <w:szCs w:val="22"/>
                <w:lang w:val="en-US" w:eastAsia="zh-CN"/>
              </w:rPr>
              <w:t>10月</w:t>
            </w:r>
          </w:p>
        </w:tc>
        <w:tc>
          <w:tcPr>
            <w:tcW w:w="2484" w:type="dxa"/>
            <w:shd w:val="clear" w:color="auto" w:fill="auto"/>
            <w:tcMar>
              <w:top w:w="180" w:type="dxa"/>
              <w:left w:w="270" w:type="dxa"/>
              <w:bottom w:w="180" w:type="dxa"/>
              <w:right w:w="270" w:type="dxa"/>
            </w:tcMar>
            <w:vAlign w:val="center"/>
          </w:tcPr>
          <w:p w14:paraId="3037A7C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A325FF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检查企业在秋收期间是否存在违规占用公共场所停放车辆或堆放物料的情况。</w:t>
            </w:r>
          </w:p>
        </w:tc>
      </w:tr>
      <w:tr w14:paraId="3FBF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28CBAA6">
            <w:pPr>
              <w:jc w:val="center"/>
              <w:rPr>
                <w:rFonts w:hint="eastAsia" w:ascii="仿宋" w:hAnsi="仿宋" w:eastAsia="仿宋" w:cs="仿宋"/>
                <w:sz w:val="22"/>
                <w:szCs w:val="22"/>
              </w:rPr>
            </w:pPr>
            <w:r>
              <w:rPr>
                <w:rFonts w:hint="eastAsia" w:ascii="仿宋" w:hAnsi="仿宋" w:eastAsia="仿宋" w:cs="仿宋"/>
                <w:sz w:val="22"/>
                <w:szCs w:val="22"/>
                <w:lang w:val="en-US" w:eastAsia="zh-CN"/>
              </w:rPr>
              <w:t>11月</w:t>
            </w:r>
          </w:p>
        </w:tc>
        <w:tc>
          <w:tcPr>
            <w:tcW w:w="2484" w:type="dxa"/>
            <w:shd w:val="clear" w:color="auto" w:fill="auto"/>
            <w:tcMar>
              <w:top w:w="180" w:type="dxa"/>
              <w:left w:w="270" w:type="dxa"/>
              <w:bottom w:w="180" w:type="dxa"/>
              <w:right w:w="270" w:type="dxa"/>
            </w:tcMar>
            <w:vAlign w:val="center"/>
          </w:tcPr>
          <w:p w14:paraId="4E44EF7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7955DBA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检查企业冬季原料储存条件是否符合要求，对库存原料进行抽检，确保质量安全。</w:t>
            </w:r>
          </w:p>
        </w:tc>
      </w:tr>
      <w:tr w14:paraId="533A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17801468">
            <w:pPr>
              <w:jc w:val="center"/>
              <w:rPr>
                <w:rFonts w:hint="eastAsia" w:ascii="仿宋" w:hAnsi="仿宋" w:eastAsia="仿宋" w:cs="仿宋"/>
                <w:sz w:val="22"/>
                <w:szCs w:val="22"/>
              </w:rPr>
            </w:pPr>
            <w:r>
              <w:rPr>
                <w:rFonts w:hint="eastAsia" w:ascii="仿宋" w:hAnsi="仿宋" w:eastAsia="仿宋" w:cs="仿宋"/>
                <w:sz w:val="22"/>
                <w:szCs w:val="22"/>
                <w:lang w:val="en-US" w:eastAsia="zh-CN"/>
              </w:rPr>
              <w:t>12月</w:t>
            </w:r>
          </w:p>
        </w:tc>
        <w:tc>
          <w:tcPr>
            <w:tcW w:w="2484" w:type="dxa"/>
            <w:shd w:val="clear" w:color="auto" w:fill="auto"/>
            <w:tcMar>
              <w:top w:w="180" w:type="dxa"/>
              <w:left w:w="270" w:type="dxa"/>
              <w:bottom w:w="180" w:type="dxa"/>
              <w:right w:w="270" w:type="dxa"/>
            </w:tcMar>
            <w:vAlign w:val="center"/>
          </w:tcPr>
          <w:p w14:paraId="0739496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综合检查</w:t>
            </w:r>
          </w:p>
        </w:tc>
        <w:tc>
          <w:tcPr>
            <w:tcW w:w="5118" w:type="dxa"/>
            <w:shd w:val="clear" w:color="auto" w:fill="auto"/>
            <w:tcMar>
              <w:top w:w="180" w:type="dxa"/>
              <w:left w:w="270" w:type="dxa"/>
              <w:bottom w:w="180" w:type="dxa"/>
              <w:right w:w="270" w:type="dxa"/>
            </w:tcMar>
            <w:vAlign w:val="center"/>
          </w:tcPr>
          <w:p w14:paraId="1AF91B0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对全年检查情况进行总结性复查，重点检查问题企业的整改落实情况，巩固监管成果。</w:t>
            </w:r>
          </w:p>
        </w:tc>
      </w:tr>
    </w:tbl>
    <w:p w14:paraId="6C6FB0BF">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七、工作要求</w:t>
      </w:r>
    </w:p>
    <w:p w14:paraId="133C95E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严格规范执法：</w:t>
      </w:r>
      <w:r>
        <w:rPr>
          <w:rFonts w:hint="eastAsia" w:ascii="仿宋" w:hAnsi="仿宋" w:eastAsia="仿宋" w:cs="仿宋"/>
          <w:sz w:val="30"/>
          <w:szCs w:val="30"/>
          <w:lang w:eastAsia="zh-CN"/>
        </w:rPr>
        <w:t>严格遵守《涞源县严格规范涉企行政检查措施十五条（试行）》规定，</w:t>
      </w:r>
      <w:r>
        <w:rPr>
          <w:rFonts w:hint="eastAsia" w:ascii="仿宋" w:hAnsi="仿宋" w:eastAsia="仿宋" w:cs="仿宋"/>
          <w:sz w:val="30"/>
          <w:szCs w:val="30"/>
        </w:rPr>
        <w:t>检查人员必须严格按照法律法规规定的程序和要求开展检查工作，亮证执法，文明执法，确保执法过程合法、公正、透明。在检查过程中，充分保障企业的陈述权、申辩权等合法权益。</w:t>
      </w:r>
    </w:p>
    <w:p w14:paraId="21A9957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及时处理违法违规行为：对检查中发现的违法违规行为，检查人员应立即制止，并按照相关法律法规规定进行处理。做好详细的检查记录和证据收集工作，确保违法违规行为认定准确、处理得当。对于情节严重的违法行为，及时上报上级部门，依法进行严肃处理。</w:t>
      </w:r>
    </w:p>
    <w:p w14:paraId="0C9B369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加强沟通协作与信息共享：加强与上级部门和其他相关单位的沟通协作，建立健全信息共享机制。及时向上级部门汇报检查情况，获取政策指导和业务支持；与市场监管、环保等部门加强协作配合，形成工作合力，提升行政检查工作效率和效果。</w:t>
      </w:r>
    </w:p>
    <w:p w14:paraId="17AB943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定期总结与改进：定期对检查工作进行总结分析，梳理检查过程中发现的问题和难点，研究制定针对性的改进措施。根据企业经营特点和季节变化，及时调整检查计划和重点，不断完善行政检查工作机制，提高监管的科学性和有效性。</w:t>
      </w:r>
    </w:p>
    <w:p w14:paraId="6A86747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p>
    <w:p w14:paraId="1D523E42">
      <w:pPr>
        <w:keepNext w:val="0"/>
        <w:keepLines w:val="0"/>
        <w:pageBreakBefore w:val="0"/>
        <w:widowControl w:val="0"/>
        <w:kinsoku/>
        <w:wordWrap/>
        <w:overflowPunct/>
        <w:topLinePunct w:val="0"/>
        <w:autoSpaceDE/>
        <w:autoSpaceDN/>
        <w:bidi w:val="0"/>
        <w:adjustRightInd/>
        <w:snapToGrid/>
        <w:ind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br w:type="textWrapping"/>
      </w:r>
      <w:r>
        <w:rPr>
          <w:rFonts w:hint="eastAsia" w:ascii="仿宋" w:hAnsi="仿宋" w:eastAsia="仿宋" w:cs="仿宋"/>
          <w:sz w:val="30"/>
          <w:szCs w:val="30"/>
          <w:lang w:val="en-US" w:eastAsia="zh-CN"/>
        </w:rPr>
        <w:t>2026年1月3日</w:t>
      </w:r>
    </w:p>
    <w:p w14:paraId="79B7778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D2075"/>
    <w:rsid w:val="0E890634"/>
    <w:rsid w:val="102D2075"/>
    <w:rsid w:val="12B91B6C"/>
    <w:rsid w:val="1CCE0104"/>
    <w:rsid w:val="1E3E386E"/>
    <w:rsid w:val="1F9A4E7E"/>
    <w:rsid w:val="36CA2905"/>
    <w:rsid w:val="3EF3106E"/>
    <w:rsid w:val="72E25F3E"/>
    <w:rsid w:val="73BA21C4"/>
    <w:rsid w:val="77640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2002</Words>
  <Characters>2026</Characters>
  <Lines>0</Lines>
  <Paragraphs>0</Paragraphs>
  <TotalTime>127</TotalTime>
  <ScaleCrop>false</ScaleCrop>
  <LinksUpToDate>false</LinksUpToDate>
  <CharactersWithSpaces>2026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2025-05-14T03:50:00Z</dcterms:created>
  <dc:creator>竹仗徐行</dc:creator>
  <cp:lastModifiedBy>峰雨银面</cp:lastModifiedBy>
  <dcterms:modified xsi:type="dcterms:W3CDTF">2026-04-08T06:11:43Z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248412BAFF454C91BFFA0C587532E98B_11</vt:lpwstr>
  </property>
  <property fmtid="{D5CDD505-2E9C-101B-9397-08002B2CF9AE}" pid="4" name="KSOTemplateDocerSaveRecord">
    <vt:lpwstr>eyJoZGlkIjoiYTRiMjc5ZTdmNGExMjBjYTgzOWNhNWY4ZWY2MjliM2QiLCJ1c2VySWQiOiI1NDUyMjc5ODcifQ==</vt:lpwstr>
  </property>
</Properties>
</file>