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34BF8">
      <w:pPr>
        <w:jc w:val="center"/>
        <w:rPr>
          <w:rFonts w:hint="eastAsia" w:ascii="黑体" w:hAnsi="黑体" w:eastAsia="黑体"/>
          <w:sz w:val="44"/>
          <w:szCs w:val="44"/>
        </w:rPr>
      </w:pPr>
      <w:r>
        <w:rPr>
          <w:rFonts w:hint="eastAsia" w:ascii="黑体" w:hAnsi="黑体" w:eastAsia="黑体"/>
          <w:sz w:val="44"/>
          <w:szCs w:val="44"/>
        </w:rPr>
        <w:t>涞源县</w:t>
      </w:r>
      <w:r>
        <w:rPr>
          <w:rFonts w:hint="eastAsia" w:ascii="黑体" w:hAnsi="黑体" w:eastAsia="黑体"/>
          <w:sz w:val="44"/>
          <w:szCs w:val="44"/>
          <w:lang w:val="en-US" w:eastAsia="zh-CN"/>
        </w:rPr>
        <w:t>乌龙沟</w:t>
      </w:r>
      <w:r>
        <w:rPr>
          <w:rFonts w:hint="eastAsia" w:ascii="黑体" w:hAnsi="黑体" w:eastAsia="黑体"/>
          <w:sz w:val="44"/>
          <w:szCs w:val="44"/>
        </w:rPr>
        <w:t>乡</w:t>
      </w:r>
      <w:r>
        <w:rPr>
          <w:rFonts w:hint="eastAsia" w:ascii="黑体" w:hAnsi="黑体" w:eastAsia="黑体"/>
          <w:sz w:val="44"/>
          <w:szCs w:val="44"/>
          <w:lang w:val="en-US" w:eastAsia="zh-CN"/>
        </w:rPr>
        <w:t>人民政府</w:t>
      </w:r>
      <w:r>
        <w:rPr>
          <w:rFonts w:hint="eastAsia" w:ascii="黑体" w:hAnsi="黑体" w:eastAsia="黑体"/>
          <w:sz w:val="44"/>
          <w:szCs w:val="44"/>
        </w:rPr>
        <w:t>涉企行政检查标准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953"/>
        <w:gridCol w:w="7007"/>
      </w:tblGrid>
      <w:tr w14:paraId="6BF5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1F64721">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序号</w:t>
            </w:r>
          </w:p>
        </w:tc>
        <w:tc>
          <w:tcPr>
            <w:tcW w:w="5953" w:type="dxa"/>
            <w:vAlign w:val="center"/>
          </w:tcPr>
          <w:p w14:paraId="70139540">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检查事项</w:t>
            </w:r>
          </w:p>
        </w:tc>
        <w:tc>
          <w:tcPr>
            <w:tcW w:w="7007" w:type="dxa"/>
            <w:vAlign w:val="center"/>
          </w:tcPr>
          <w:p w14:paraId="3A51B767">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检查标准</w:t>
            </w:r>
          </w:p>
        </w:tc>
      </w:tr>
      <w:tr w14:paraId="425A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FE1195A">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1</w:t>
            </w:r>
          </w:p>
        </w:tc>
        <w:tc>
          <w:tcPr>
            <w:tcW w:w="5953" w:type="dxa"/>
            <w:vAlign w:val="center"/>
          </w:tcPr>
          <w:p w14:paraId="09967CEC">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对从事车辆清洗、维修经营活动是否占用公共场所的行政检查</w:t>
            </w:r>
          </w:p>
        </w:tc>
        <w:tc>
          <w:tcPr>
            <w:tcW w:w="7007" w:type="dxa"/>
            <w:vAlign w:val="center"/>
          </w:tcPr>
          <w:p w14:paraId="6D431A6F">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从事车辆清洗、维修经营活动，应当在室内进行，不得占用道路、绿地、公共场所等。</w:t>
            </w:r>
          </w:p>
        </w:tc>
      </w:tr>
      <w:tr w14:paraId="6B2A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5340C65">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2</w:t>
            </w:r>
          </w:p>
        </w:tc>
        <w:tc>
          <w:tcPr>
            <w:tcW w:w="5953" w:type="dxa"/>
            <w:vAlign w:val="center"/>
          </w:tcPr>
          <w:p w14:paraId="08CC4607">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对农业经营主体对农产品采收后的秸秆及树叶、荒草采取综合利用措施处理的行政检查</w:t>
            </w:r>
          </w:p>
        </w:tc>
        <w:tc>
          <w:tcPr>
            <w:tcW w:w="7007" w:type="dxa"/>
            <w:vAlign w:val="center"/>
          </w:tcPr>
          <w:p w14:paraId="1FA72B06">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 xml:space="preserve">农业经营主体要妥善采取综合利用措施，对农产品采收后的秸秆及树叶、荒草予以处理，严禁露天焚烧。 </w:t>
            </w:r>
          </w:p>
        </w:tc>
      </w:tr>
      <w:tr w14:paraId="1B9F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0CBD42C">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3</w:t>
            </w:r>
          </w:p>
        </w:tc>
        <w:tc>
          <w:tcPr>
            <w:tcW w:w="5953" w:type="dxa"/>
            <w:vAlign w:val="center"/>
          </w:tcPr>
          <w:p w14:paraId="369781AA">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对生产、经营清真食品的行政检查</w:t>
            </w:r>
          </w:p>
        </w:tc>
        <w:tc>
          <w:tcPr>
            <w:tcW w:w="7007" w:type="dxa"/>
            <w:vAlign w:val="center"/>
          </w:tcPr>
          <w:p w14:paraId="6D561CE3">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业人员中有清真饮食习惯的少数民族人员应占一定比例，主要管理人员中必须配备有清真饮食习惯的少数民族人员，原料采购、主要烹仓库保管等关键岗位必须配备有清真饮食习惯的少数民族人员，清真食品的运输车辆、计量器具、检查工具、储藏容器和加工、出售场地必须专用，生产经营清真食品的个人必须是有清真饮食习惯的少数民族公民。</w:t>
            </w:r>
          </w:p>
        </w:tc>
      </w:tr>
    </w:tbl>
    <w:p w14:paraId="4531E0D5">
      <w:pPr>
        <w:rPr>
          <w:rFonts w:hint="eastAsia"/>
        </w:rPr>
      </w:pPr>
    </w:p>
    <w:p w14:paraId="51AC3C58">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52"/>
    <w:rsid w:val="000C2B4C"/>
    <w:rsid w:val="001C4352"/>
    <w:rsid w:val="009953AB"/>
    <w:rsid w:val="1B0205DC"/>
    <w:rsid w:val="49AD6500"/>
    <w:rsid w:val="7C74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350</Words>
  <Characters>350</Characters>
  <Lines>11</Lines>
  <Paragraphs>10</Paragraphs>
  <TotalTime>11</TotalTime>
  <ScaleCrop>false</ScaleCrop>
  <LinksUpToDate>false</LinksUpToDate>
  <CharactersWithSpaces>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2025-10-29T11:08:00Z</dcterms:created>
  <dc:creator>lyzoumayi@163.com</dc:creator>
  <cp:lastModifiedBy>峰雨银面</cp:lastModifiedBy>
  <dcterms:modified xsi:type="dcterms:W3CDTF">2026-04-08T06:08:38Z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eyJoZGlkIjoiYTRiMjc5ZTdmNGExMjBjYTgzOWNhNWY4ZWY2MjliM2QiLCJ1c2VySWQiOiI1NDUyMjc5ODcifQ==</vt:lpwstr>
  </property>
  <property fmtid="{D5CDD505-2E9C-101B-9397-08002B2CF9AE}" pid="3" name="KSOProductBuildVer">
    <vt:lpwstr>2052-12.1.0.25225</vt:lpwstr>
  </property>
  <property fmtid="{D5CDD505-2E9C-101B-9397-08002B2CF9AE}" pid="4" name="ICV">
    <vt:lpwstr>833856BE723B4ECA91055E774C0D7AC9_12</vt:lpwstr>
  </property>
</Properties>
</file>