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33334BF8">
      <w:pPr>
        <w:jc w:val="center"/>
        <w:rPr>
          <w:sz w:val="44"/>
          <w:szCs w:val="44"/>
          <w:rFonts w:ascii="黑体" w:hAnsi="黑体" w:eastAsia="黑体" w:hint="eastAsia"/>
        </w:rPr>
      </w:pPr>
      <w:r>
        <w:rPr>
          <w:sz w:val="44"/>
          <w:szCs w:val="44"/>
          <w:rFonts w:ascii="黑体" w:hAnsi="黑体" w:eastAsia="黑体" w:hint="eastAsia"/>
        </w:rPr>
        <w:t>涞源县杨家庄镇</w:t>
      </w:r>
      <w:bookmarkStart w:id="0" w:name="_GoBack"/>
      <w:bookmarkEnd w:id="0"/>
      <w:r>
        <w:rPr>
          <w:sz w:val="44"/>
          <w:lang w:val="en-US" w:eastAsia="zh-CN"/>
          <w:szCs w:val="44"/>
          <w:rFonts w:ascii="黑体" w:hAnsi="黑体" w:eastAsia="黑体" w:hint="eastAsia"/>
        </w:rPr>
        <w:t>人民政府</w:t>
      </w:r>
      <w:r>
        <w:rPr>
          <w:sz w:val="44"/>
          <w:szCs w:val="44"/>
          <w:rFonts w:ascii="黑体" w:hAnsi="黑体" w:eastAsia="黑体" w:hint="eastAsia"/>
        </w:rPr>
        <w:t>涉企行政检查标准</w:t>
      </w:r>
    </w:p>
    <w:tbl>
      <w:tblPr>
        <w:tblStyle w:val="14"/>
        <w:tblW w:w="0" w:type="auto"/>
        <w:jc w:val="center"/>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88.000000"/>
        <w:gridCol w:w="5953.000000"/>
        <w:gridCol w:w="7007.000000"/>
      </w:tblGrid>
      <w:tr w14:paraId="6BF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988" w:type="dxa"/>
            <w:vAlign w:val="center"/>
          </w:tcPr>
          <w:p w14:paraId="51F64721">
            <w:pPr>
              <w:jc w:val="center"/>
              <w:spacing w:after="0" w:line="400" w:lineRule="exact"/>
              <w:rPr>
                <w:sz w:val="28"/>
                <w:szCs w:val="28"/>
                <w:rFonts w:ascii="仿宋_GB2312" w:hAnsi="黑体" w:eastAsia="仿宋_GB2312" w:hint="eastAsia"/>
              </w:rPr>
            </w:pPr>
            <w:r>
              <w:rPr>
                <w:sz w:val="28"/>
                <w:szCs w:val="28"/>
                <w:rFonts w:ascii="仿宋_GB2312" w:hAnsi="黑体" w:eastAsia="仿宋_GB2312" w:hint="eastAsia"/>
              </w:rPr>
              <w:t>序号</w:t>
            </w:r>
          </w:p>
        </w:tc>
        <w:tc>
          <w:tcPr>
            <w:tcW w:w="5953" w:type="dxa"/>
            <w:vAlign w:val="center"/>
          </w:tcPr>
          <w:p w14:paraId="70139540">
            <w:pPr>
              <w:jc w:val="center"/>
              <w:spacing w:after="0" w:line="400" w:lineRule="exact"/>
              <w:rPr>
                <w:sz w:val="28"/>
                <w:szCs w:val="28"/>
                <w:rFonts w:ascii="仿宋_GB2312" w:hAnsi="黑体" w:eastAsia="仿宋_GB2312" w:hint="eastAsia"/>
              </w:rPr>
            </w:pPr>
            <w:r>
              <w:rPr>
                <w:sz w:val="28"/>
                <w:szCs w:val="28"/>
                <w:rFonts w:ascii="仿宋_GB2312" w:hAnsi="黑体" w:eastAsia="仿宋_GB2312" w:hint="eastAsia"/>
              </w:rPr>
              <w:t>检查事项</w:t>
            </w:r>
          </w:p>
        </w:tc>
        <w:tc>
          <w:tcPr>
            <w:tcW w:w="7007" w:type="dxa"/>
            <w:vAlign w:val="center"/>
          </w:tcPr>
          <w:p w14:paraId="3A51B767">
            <w:pPr>
              <w:jc w:val="center"/>
              <w:spacing w:after="0" w:line="400" w:lineRule="exact"/>
              <w:rPr>
                <w:sz w:val="28"/>
                <w:szCs w:val="28"/>
                <w:rFonts w:ascii="仿宋_GB2312" w:hAnsi="黑体" w:eastAsia="仿宋_GB2312" w:hint="eastAsia"/>
              </w:rPr>
            </w:pPr>
            <w:r>
              <w:rPr>
                <w:sz w:val="28"/>
                <w:szCs w:val="28"/>
                <w:rFonts w:ascii="仿宋_GB2312" w:hAnsi="黑体" w:eastAsia="仿宋_GB2312" w:hint="eastAsia"/>
              </w:rPr>
              <w:t>检查标准</w:t>
            </w:r>
          </w:p>
        </w:tc>
      </w:tr>
      <w:tr w14:paraId="425A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988" w:type="dxa"/>
            <w:vAlign w:val="center"/>
          </w:tcPr>
          <w:p w14:paraId="4FE1195A">
            <w:pPr>
              <w:jc w:val="center"/>
              <w:spacing w:after="0" w:line="400" w:lineRule="exact"/>
              <w:rPr>
                <w:sz w:val="28"/>
                <w:szCs w:val="28"/>
                <w:rFonts w:ascii="仿宋_GB2312" w:hAnsi="黑体" w:eastAsia="仿宋_GB2312" w:hint="eastAsia"/>
              </w:rPr>
            </w:pPr>
            <w:r>
              <w:rPr>
                <w:sz w:val="28"/>
                <w:szCs w:val="28"/>
                <w:rFonts w:ascii="仿宋_GB2312" w:hAnsi="黑体" w:eastAsia="仿宋_GB2312" w:hint="eastAsia"/>
              </w:rPr>
              <w:t>1</w:t>
            </w:r>
          </w:p>
        </w:tc>
        <w:tc>
          <w:tcPr>
            <w:tcW w:w="5953" w:type="dxa"/>
            <w:vAlign w:val="center"/>
          </w:tcPr>
          <w:p w14:paraId="09967CEC">
            <w:pPr>
              <w:jc w:val="left"/>
              <w:spacing w:after="0" w:line="400" w:lineRule="exact"/>
              <w:rPr>
                <w:sz w:val="28"/>
                <w:szCs w:val="28"/>
                <w:rFonts w:ascii="仿宋_GB2312" w:hAnsi="黑体" w:eastAsia="仿宋_GB2312" w:hint="eastAsia"/>
              </w:rPr>
            </w:pPr>
            <w:r>
              <w:rPr>
                <w:sz w:val="28"/>
                <w:szCs w:val="28"/>
                <w:rFonts w:ascii="仿宋_GB2312" w:hAnsi="黑体" w:eastAsia="仿宋_GB2312" w:hint="eastAsia"/>
              </w:rPr>
              <w:t>对从事车辆清洗、维修经营活动是否占用公共场所的行政检查</w:t>
            </w:r>
          </w:p>
        </w:tc>
        <w:tc>
          <w:tcPr>
            <w:tcW w:w="7007" w:type="dxa"/>
            <w:vAlign w:val="center"/>
          </w:tcPr>
          <w:p w14:paraId="6D431A6F">
            <w:pPr>
              <w:jc w:val="left"/>
              <w:spacing w:after="0" w:line="400" w:lineRule="exact"/>
              <w:rPr>
                <w:sz w:val="28"/>
                <w:szCs w:val="28"/>
                <w:rFonts w:ascii="仿宋_GB2312" w:hAnsi="黑体" w:eastAsia="仿宋_GB2312" w:hint="eastAsia"/>
              </w:rPr>
            </w:pPr>
            <w:r>
              <w:rPr>
                <w:sz w:val="28"/>
                <w:szCs w:val="28"/>
                <w:rFonts w:ascii="仿宋_GB2312" w:hAnsi="黑体" w:eastAsia="仿宋_GB2312" w:hint="eastAsia"/>
              </w:rPr>
              <w:t>从事车辆清洗、维修经营活动，应当在室内进行，不得占用道路、绿地、公共场所等。</w:t>
            </w:r>
          </w:p>
        </w:tc>
      </w:tr>
      <w:tr w14:paraId="6B2A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988" w:type="dxa"/>
            <w:vAlign w:val="center"/>
          </w:tcPr>
          <w:p w14:paraId="15340C65">
            <w:pPr>
              <w:jc w:val="center"/>
              <w:spacing w:after="0" w:line="400" w:lineRule="exact"/>
              <w:rPr>
                <w:sz w:val="28"/>
                <w:szCs w:val="28"/>
                <w:rFonts w:ascii="仿宋_GB2312" w:hAnsi="黑体" w:eastAsia="仿宋_GB2312" w:hint="eastAsia"/>
              </w:rPr>
            </w:pPr>
            <w:r>
              <w:rPr>
                <w:sz w:val="28"/>
                <w:szCs w:val="28"/>
                <w:rFonts w:ascii="仿宋_GB2312" w:hAnsi="黑体" w:eastAsia="仿宋_GB2312" w:hint="eastAsia"/>
              </w:rPr>
              <w:t>2</w:t>
            </w:r>
          </w:p>
        </w:tc>
        <w:tc>
          <w:tcPr>
            <w:tcW w:w="5953" w:type="dxa"/>
            <w:vAlign w:val="center"/>
          </w:tcPr>
          <w:p w14:paraId="08CC4607">
            <w:pPr>
              <w:jc w:val="left"/>
              <w:spacing w:after="0" w:line="400" w:lineRule="exact"/>
              <w:rPr>
                <w:sz w:val="28"/>
                <w:szCs w:val="28"/>
                <w:rFonts w:ascii="仿宋_GB2312" w:hAnsi="黑体" w:eastAsia="仿宋_GB2312" w:hint="eastAsia"/>
              </w:rPr>
            </w:pPr>
            <w:r>
              <w:rPr>
                <w:sz w:val="28"/>
                <w:szCs w:val="28"/>
                <w:rFonts w:ascii="仿宋_GB2312" w:hAnsi="黑体" w:eastAsia="仿宋_GB2312" w:hint="eastAsia"/>
              </w:rPr>
              <w:t>对农业经营主体对农产品采收后的秸秆及树叶、荒草采取综合利用措施处理的行政检查</w:t>
            </w:r>
          </w:p>
        </w:tc>
        <w:tc>
          <w:tcPr>
            <w:tcW w:w="7007" w:type="dxa"/>
            <w:vAlign w:val="center"/>
          </w:tcPr>
          <w:p w14:paraId="1FA72B06">
            <w:pPr>
              <w:jc w:val="left"/>
              <w:spacing w:after="0" w:line="400" w:lineRule="exact"/>
              <w:rPr>
                <w:sz w:val="28"/>
                <w:szCs w:val="28"/>
                <w:rFonts w:ascii="仿宋_GB2312" w:hAnsi="黑体" w:eastAsia="仿宋_GB2312" w:hint="eastAsia"/>
              </w:rPr>
            </w:pPr>
            <w:r>
              <w:rPr>
                <w:sz w:val="28"/>
                <w:szCs w:val="28"/>
                <w:rFonts w:ascii="仿宋_GB2312" w:hAnsi="黑体" w:eastAsia="仿宋_GB2312" w:hint="eastAsia"/>
              </w:rPr>
              <w:t xml:space="preserve">农业经营主体要妥善采取综合利用措施，对农产品采收后的秸秆及树叶、荒草予以处理，严禁露天焚烧。 </w:t>
            </w:r>
          </w:p>
        </w:tc>
      </w:tr>
      <w:tr w14:paraId="1B9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988" w:type="dxa"/>
            <w:vAlign w:val="center"/>
          </w:tcPr>
          <w:p w14:paraId="D2A8A957">
            <w:pPr>
              <w:jc w:val="center"/>
              <w:spacing w:after="0" w:line="400" w:lineRule="exact"/>
              <w:rPr>
                <w:sz w:val="28"/>
                <w:rFonts w:ascii="仿宋_GB2312" w:hAnsi="黑体" w:eastAsia="仿宋_GB2312" w:hint="eastAsia"/>
              </w:rPr>
            </w:pPr>
            <w:r>
              <w:rPr>
                <w:sz w:val="28"/>
                <w:rFonts w:ascii="仿宋_GB2312" w:hAnsi="黑体" w:eastAsia="仿宋_GB2312" w:hint="eastAsia"/>
              </w:rPr>
              <w:t>3</w:t>
            </w:r>
          </w:p>
        </w:tc>
        <w:tc>
          <w:tcPr>
            <w:tcW w:w="5953" w:type="dxa"/>
            <w:vAlign w:val="center"/>
          </w:tcPr>
          <w:p w14:paraId="A02EEDE4">
            <w:pPr>
              <w:jc w:val="left"/>
              <w:spacing w:after="0" w:line="400" w:lineRule="exact"/>
              <w:rPr>
                <w:sz w:val="28"/>
                <w:rFonts w:ascii="仿宋_GB2312" w:hAnsi="黑体" w:eastAsia="仿宋_GB2312" w:hint="eastAsia"/>
              </w:rPr>
            </w:pPr>
            <w:r>
              <w:rPr>
                <w:sz w:val="28"/>
                <w:rFonts w:ascii="仿宋_GB2312" w:hAnsi="黑体" w:eastAsia="仿宋_GB2312" w:hint="eastAsia"/>
              </w:rPr>
              <w:t>对生产、经营清真食品的行政检查</w:t>
            </w:r>
          </w:p>
        </w:tc>
        <w:tc>
          <w:tcPr>
            <w:tcW w:w="7007" w:type="dxa"/>
            <w:vAlign w:val="center"/>
          </w:tcPr>
          <w:p w14:paraId="3944757F">
            <w:pPr>
              <w:jc w:val="left"/>
              <w:spacing w:after="0" w:line="400" w:lineRule="exact"/>
              <w:rPr>
                <w:sz w:val="28"/>
                <w:rFonts w:ascii="仿宋_GB2312" w:hAnsi="黑体" w:eastAsia="仿宋_GB2312" w:hint="eastAsia"/>
              </w:rPr>
            </w:pPr>
            <w:r>
              <w:rPr>
                <w:sz w:val="28"/>
                <w:rFonts w:ascii="仿宋_GB2312" w:hAnsi="黑体" w:eastAsia="仿宋_GB2312" w:hint="eastAsia"/>
              </w:rPr>
              <w:t>从业人员中有清真饮食习惯的少数民族人员应占一定比例，主要管理人员中必须配备有清真饮食习惯的少数民族人员，原料采购、主要烹仓库保管等关键岗位必须配备有清真饮食习惯的少数民族人员，清真食品的运输车辆、计量器具、检查工具、储藏容器和加工、出售场地必须专用，生产经营清真食品的个人必须是有清真饮食习惯的少数民族公民。</w:t>
            </w:r>
          </w:p>
        </w:tc>
      </w:tr>
      <w:tr w14:paraId="1B9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988" w:type="dxa"/>
            <w:vAlign w:val="center"/>
          </w:tcPr>
          <w:p w14:paraId="50CBD42C">
            <w:pPr>
              <w:jc w:val="center"/>
              <w:spacing w:after="0" w:line="400" w:lineRule="exact"/>
              <w:rPr>
                <w:sz w:val="28"/>
                <w:szCs w:val="28"/>
                <w:rFonts w:ascii="仿宋_GB2312" w:hAnsi="黑体" w:eastAsia="仿宋_GB2312" w:hint="eastAsia"/>
              </w:rPr>
            </w:pPr>
            <w:r>
              <w:rPr>
                <w:sz w:val="28"/>
                <w:rFonts w:ascii="仿宋_GB2312" w:hAnsi="黑体" w:eastAsia="仿宋_GB2312" w:hint="eastAsia"/>
              </w:rPr>
              <w:t>4</w:t>
            </w:r>
          </w:p>
        </w:tc>
        <w:tc>
          <w:tcPr>
            <w:tcW w:w="5953" w:type="dxa"/>
            <w:vAlign w:val="center"/>
          </w:tcPr>
          <w:p w14:paraId="369781AA">
            <w:pPr>
              <w:jc w:val="left"/>
              <w:spacing w:after="0" w:line="400" w:lineRule="exact"/>
              <w:rPr>
                <w:sz w:val="28"/>
                <w:szCs w:val="28"/>
                <w:rFonts w:ascii="仿宋_GB2312" w:hAnsi="黑体" w:eastAsia="仿宋_GB2312" w:hint="eastAsia"/>
              </w:rPr>
            </w:pPr>
            <w:r>
              <w:rPr>
                <w:sz w:val="28"/>
                <w:rFonts w:ascii="仿宋_GB2312" w:hAnsi="黑体" w:eastAsia="仿宋_GB2312" w:hint="eastAsia"/>
              </w:rPr>
              <w:t>对涉及文化旅游相关经营活</w:t>
            </w:r>
          </w:p>
        </w:tc>
        <w:tc>
          <w:tcPr>
            <w:tcW w:w="7007" w:type="dxa"/>
            <w:vAlign w:val="center"/>
          </w:tcPr>
          <w:p w14:paraId="6D561CE3">
            <w:pPr>
              <w:jc w:val="left"/>
              <w:spacing w:after="0" w:line="400" w:lineRule="exact"/>
              <w:rPr>
                <w:sz w:val="28"/>
                <w:szCs w:val="28"/>
                <w:rFonts w:ascii="仿宋_GB2312" w:hAnsi="黑体" w:eastAsia="仿宋_GB2312" w:hint="eastAsia"/>
              </w:rPr>
            </w:pPr>
            <w:r>
              <w:rPr>
                <w:sz w:val="28"/>
                <w:szCs w:val="28"/>
                <w:rFonts w:ascii="仿宋_GB2312" w:hAnsi="黑体" w:eastAsia="仿宋_GB2312" w:hint="eastAsia"/>
              </w:rPr>
              <w:t>否存在擅自安装使用卫星地面接收设施的行为；涉及长城保护区域的企业是否存在取土、取砖（石）等违规行为</w:t>
            </w:r>
          </w:p>
        </w:tc>
      </w:tr>
    </w:tbl>
    <w:p w14:paraId="4531E0D5">
      <w:pPr>
        <w:rPr>
          <w:rFonts w:hint="eastAsia"/>
        </w:rPr>
      </w:pPr>
    </w:p>
    <w:p w14:paraId="51AC3C58"/>
    <w:sectPr>
      <w:docGrid w:type="lines" w:linePitch="312" w:charSpace="0"/>
      <w:pgSz w:w="16838" w:h="11906" w:orient="landscape"/>
      <w:pgMar w:top="1800" w:right="1440" w:bottom="1800" w:left="1440" w:header="851" w:footer="992" w:gutter="0"/>
      <w:cols w:space="425" w:num="1"/>
    </w:sectPr>
  </w:body>
</w:document>
</file>

<file path=word/endnotes.xml><?xml version="1.0" encoding="utf-8"?>
<w:endnotes xmlns:wps="http://schemas.microsoft.com/office/word/2010/wordprocessingShape" xmlns:wne="http://schemas.microsoft.com/office/word/2006/wordml" xmlns:wpg="http://schemas.microsoft.com/office/word/2010/wordprocessingGroup" xmlns:wpi="http://schemas.microsoft.com/office/word/2010/wordprocessingInk" xmlns:w10="urn:schemas-microsoft-com:office:word" xmlns:w15="http://schemas.microsoft.com/office/word/2012/wordml"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s="http://schemas.microsoft.com/office/word/2010/wordprocessingShape" xmlns:wne="http://schemas.microsoft.com/office/word/2006/wordml" xmlns:wpg="http://schemas.microsoft.com/office/word/2010/wordprocessingGroup" xmlns:wpi="http://schemas.microsoft.com/office/word/2010/wordprocessingInk" xmlns:w10="urn:schemas-microsoft-com:office:word" xmlns:w15="http://schemas.microsoft.com/office/word/2012/wordml"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rawingGridHorizontalSpacing w:val="110"/>
  <w:displayHorizontalDrawingGridEvery w:val="0"/>
  <w:displayVerticalDrawingGridEvery w:val="2"/>
  <w:characterSpacingControl w:val="compressPunctuation"/>
  <w:footnotePr>
    <w:footnote w:id="0"/>
    <w:footnote w:id="1"/>
  </w:footnotePr>
  <w:endnotePr>
    <w:endnote w:id="0"/>
    <w:endnote w:id="1"/>
  </w:endnotePr>
  <w:zoom w:percent="100"/>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
  <w:rsids>
    <w:rsidRoot w:val="001C4352"/>
    <w:rsid w:val="000C2B4C"/>
    <w:rsid w:val="001C4352"/>
    <w:rsid w:val="009953AB"/>
    <w:rsid w:val="08FD0E5A"/>
    <w:rsid w:val="49AD6500"/>
    <w:rsid w:val="7C741F21"/>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lsdException w:name="Block Text"/>
    <w:lsdException w:name="Body Text"/>
    <w:lsdException w:name="Body Text 2"/>
    <w:lsdException w:name="Body Text 3"/>
    <w:lsdException w:name="Body Text First Indent"/>
    <w:lsdException w:name="Body Text First Indent 2"/>
    <w:lsdException w:name="Body Text Indent"/>
    <w:lsdException w:name="Body Text Indent 2"/>
    <w:lsdException w:name="Body Text Indent 3"/>
    <w:lsdException w:name="Closing"/>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lsdException w:name="Default Paragraph Font"/>
    <w:lsdException w:name="Document Map"/>
    <w:lsdException w:name="E-mail Signature"/>
    <w:lsdException w:name="Emphasis" w:semiHidden="0" w:unhideWhenUsed="0"/>
    <w:lsdException w:name="FollowedHyperlink"/>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Hyperlink"/>
    <w:lsdException w:name="Intense Quote"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lsdException w:name="List 2"/>
    <w:lsdException w:name="List 3"/>
    <w:lsdException w:name="List 4"/>
    <w:lsdException w:name="List 5"/>
    <w:lsdException w:name="List Bullet"/>
    <w:lsdException w:name="List Bullet 2"/>
    <w:lsdException w:name="List Bullet 3"/>
    <w:lsdException w:name="List Bullet 4"/>
    <w:lsdException w:name="List Bullet 5"/>
    <w:lsdException w:name="List Continue"/>
    <w:lsdException w:name="List Continue 2"/>
    <w:lsdException w:name="List Continue 3"/>
    <w:lsdException w:name="List Continue 4"/>
    <w:lsdException w:name="List Continue 5"/>
    <w:lsdException w:name="List Number"/>
    <w:lsdException w:name="List Number 2"/>
    <w:lsdException w:name="List Number 3"/>
    <w:lsdException w:name="List Number 4"/>
    <w:lsdException w:name="List Number 5"/>
    <w:lsdException w:name="List Paragraph"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lsdException w:name="Normal" w:semiHidden="0" w:unhideWhenUsed="0"/>
    <w:lsdException w:name="Normal (Web)"/>
    <w:lsdException w:name="Normal Indent"/>
    <w:lsdException w:name="Normal Table"/>
    <w:lsdException w:name="Note Heading"/>
    <w:lsdException w:name="Plain Text"/>
    <w:lsdException w:name="Quote" w:semiHidden="0" w:unhideWhenUsed="0"/>
    <w:lsdException w:name="Salutation"/>
    <w:lsdException w:name="Signature"/>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lsdException w:name="annotation subject"/>
    <w:lsdException w:name="annotation text"/>
    <w:lsdException w:name="caption"/>
    <w:lsdException w:name="endnote reference"/>
    <w:lsdException w:name="endnote text"/>
    <w:lsdException w:name="envelope address"/>
    <w:lsdException w:name="envelope return"/>
    <w:lsdException w:name="footer"/>
    <w:lsdException w:name="footnote reference"/>
    <w:lsdException w:name="footnote text"/>
    <w:lsdException w:name="header"/>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index heading"/>
    <w:lsdException w:name="line number"/>
    <w:lsdException w:name="macro"/>
    <w:lsdException w:name="page number"/>
    <w:lsdException w:name="table of authorities"/>
    <w:lsdException w:name="table of figures"/>
    <w:lsdException w:name="toa heading"/>
    <w:lsdException w:name="toc 1"/>
    <w:lsdException w:name="toc 2"/>
    <w:lsdException w:name="toc 3"/>
    <w:lsdException w:name="toc 4"/>
    <w:lsdException w:name="toc 5"/>
    <w:lsdException w:name="toc 6"/>
    <w:lsdException w:name="toc 7"/>
    <w:lsdException w:name="toc 8"/>
    <w:lsdException w:name="toc 9"/>
  </w:latentStyles>
  <w:style w:type="paragraph" w:styleId="1" w:default="1">
    <w:name w:val="Normal"/>
    <w:uiPriority w:val="0"/>
    <w:qFormat/>
    <w:pPr>
      <w:widowControl w:val="0"/>
      <w:spacing w:after="160" w:line="278" w:lineRule="auto"/>
    </w:pPr>
    <w:rPr>
      <w:sz w:val="22"/>
      <w:lang w:val="en-US" w:eastAsia="zh-CN" w:bidi="ar-SA"/>
      <w:kern w:val="2"/>
      <w:szCs w:val="24"/>
      <w:rFonts w:asciiTheme="minorHAnsi" w:hAnsiTheme="minorHAnsi" w:eastAsiaTheme="minorEastAsia" w:cstheme="minorBidi"/>
    </w:rPr>
  </w:style>
  <w:style w:type="paragraph" w:styleId="2">
    <w:name w:val="heading 1"/>
    <w:basedOn w:val="1"/>
    <w:link w:val="16"/>
    <w:uiPriority w:val="9"/>
    <w:qFormat/>
    <w:pPr>
      <w:keepNext w:val="1"/>
      <w:keepLines w:val="1"/>
      <w:outlineLvl w:val="0"/>
      <w:spacing w:after="80" w:before="480"/>
    </w:pPr>
    <w:rPr>
      <w:color w:val="2F5597" w:themeColor="accent1" w:themeShade="BF"/>
      <w:sz w:val="48"/>
      <w:szCs w:val="48"/>
      <w:rFonts w:asciiTheme="majorHAnsi" w:hAnsiTheme="majorHAnsi" w:eastAsiaTheme="majorEastAsia" w:cstheme="majorBidi"/>
    </w:rPr>
  </w:style>
  <w:style w:type="paragraph" w:styleId="3">
    <w:name w:val="heading 2"/>
    <w:basedOn w:val="1"/>
    <w:link w:val="17"/>
    <w:uiPriority w:val="9"/>
    <w:semiHidden/>
    <w:unhideWhenUsed/>
    <w:qFormat/>
    <w:pPr>
      <w:keepNext w:val="1"/>
      <w:keepLines w:val="1"/>
      <w:outlineLvl w:val="1"/>
      <w:spacing w:after="80" w:before="160"/>
    </w:pPr>
    <w:rPr>
      <w:color w:val="2F5597" w:themeColor="accent1" w:themeShade="BF"/>
      <w:sz w:val="40"/>
      <w:szCs w:val="40"/>
      <w:rFonts w:asciiTheme="majorHAnsi" w:hAnsiTheme="majorHAnsi" w:eastAsiaTheme="majorEastAsia" w:cstheme="majorBidi"/>
    </w:rPr>
  </w:style>
  <w:style w:type="paragraph" w:styleId="4">
    <w:name w:val="heading 3"/>
    <w:basedOn w:val="1"/>
    <w:link w:val="18"/>
    <w:uiPriority w:val="9"/>
    <w:semiHidden/>
    <w:unhideWhenUsed/>
    <w:qFormat/>
    <w:pPr>
      <w:keepNext w:val="1"/>
      <w:keepLines w:val="1"/>
      <w:outlineLvl w:val="2"/>
      <w:spacing w:after="80" w:before="160"/>
    </w:pPr>
    <w:rPr>
      <w:color w:val="2F5597" w:themeColor="accent1" w:themeShade="BF"/>
      <w:sz w:val="32"/>
      <w:szCs w:val="32"/>
      <w:rFonts w:asciiTheme="majorHAnsi" w:hAnsiTheme="majorHAnsi" w:eastAsiaTheme="majorEastAsia" w:cstheme="majorBidi"/>
    </w:rPr>
  </w:style>
  <w:style w:type="paragraph" w:styleId="5">
    <w:name w:val="heading 4"/>
    <w:basedOn w:val="1"/>
    <w:link w:val="19"/>
    <w:uiPriority w:val="9"/>
    <w:semiHidden/>
    <w:unhideWhenUsed/>
    <w:qFormat/>
    <w:pPr>
      <w:keepNext w:val="1"/>
      <w:keepLines w:val="1"/>
      <w:outlineLvl w:val="3"/>
      <w:spacing w:after="40" w:before="80"/>
    </w:pPr>
    <w:rPr>
      <w:color w:val="2F5597" w:themeColor="accent1" w:themeShade="BF"/>
      <w:sz w:val="28"/>
      <w:szCs w:val="28"/>
      <w:rFonts w:cstheme="majorBidi"/>
    </w:rPr>
  </w:style>
  <w:style w:type="paragraph" w:styleId="6">
    <w:name w:val="heading 5"/>
    <w:basedOn w:val="1"/>
    <w:link w:val="20"/>
    <w:uiPriority w:val="9"/>
    <w:semiHidden/>
    <w:unhideWhenUsed/>
    <w:qFormat/>
    <w:pPr>
      <w:keepNext w:val="1"/>
      <w:keepLines w:val="1"/>
      <w:outlineLvl w:val="4"/>
      <w:spacing w:after="40" w:before="80"/>
    </w:pPr>
    <w:rPr>
      <w:color w:val="2F5597" w:themeColor="accent1" w:themeShade="BF"/>
      <w:sz w:val="24"/>
      <w:rFonts w:cstheme="majorBidi"/>
    </w:rPr>
  </w:style>
  <w:style w:type="paragraph" w:styleId="7">
    <w:name w:val="heading 6"/>
    <w:basedOn w:val="1"/>
    <w:link w:val="21"/>
    <w:uiPriority w:val="9"/>
    <w:semiHidden/>
    <w:unhideWhenUsed/>
    <w:qFormat/>
    <w:pPr>
      <w:keepNext w:val="1"/>
      <w:keepLines w:val="1"/>
      <w:outlineLvl w:val="5"/>
      <w:spacing w:after="0" w:before="40"/>
    </w:pPr>
    <w:rPr>
      <w:b w:val="1"/>
      <w:color w:val="2F5597" w:themeColor="accent1" w:themeShade="BF"/>
      <w:bCs/>
      <w:rFonts w:cstheme="majorBidi"/>
    </w:rPr>
  </w:style>
  <w:style w:type="paragraph" w:styleId="8">
    <w:name w:val="heading 7"/>
    <w:basedOn w:val="1"/>
    <w:link w:val="22"/>
    <w:uiPriority w:val="9"/>
    <w:semiHidden/>
    <w:unhideWhenUsed/>
    <w:qFormat/>
    <w:pPr>
      <w:keepNext w:val="1"/>
      <w:keepLines w:val="1"/>
      <w:outlineLvl w:val="6"/>
      <w:spacing w:after="0" w:before="40"/>
    </w:pPr>
    <w:rPr>
      <w:b w:val="1"/>
      <w:color w:val="595959" w:themeColor="text1" w:themeTint="A6"/>
      <w:bCs/>
      <w14:textFill>
        <w14:solidFill>
          <w14:schemeClr w14:val="tx1">
            <w14:lumMod w14:val="65000"/>
            <w14:lumOff w14:val="35000"/>
          </w14:schemeClr>
        </w14:solidFill>
      </w14:textFill>
      <w:rFonts w:cstheme="majorBidi"/>
    </w:rPr>
  </w:style>
  <w:style w:type="paragraph" w:styleId="9">
    <w:name w:val="heading 8"/>
    <w:basedOn w:val="1"/>
    <w:link w:val="23"/>
    <w:uiPriority w:val="9"/>
    <w:semiHidden/>
    <w:unhideWhenUsed/>
    <w:qFormat/>
    <w:pPr>
      <w:keepNext w:val="1"/>
      <w:keepLines w:val="1"/>
      <w:outlineLvl w:val="7"/>
      <w:spacing w:after="0"/>
    </w:pPr>
    <w:rPr>
      <w:color w:val="595959" w:themeColor="text1" w:themeTint="A6"/>
      <w14:textFill>
        <w14:solidFill>
          <w14:schemeClr w14:val="tx1">
            <w14:lumMod w14:val="65000"/>
            <w14:lumOff w14:val="35000"/>
          </w14:schemeClr>
        </w14:solidFill>
      </w14:textFill>
      <w:rFonts w:cstheme="majorBidi"/>
    </w:rPr>
  </w:style>
  <w:style w:type="paragraph" w:styleId="10">
    <w:name w:val="heading 9"/>
    <w:basedOn w:val="1"/>
    <w:link w:val="24"/>
    <w:uiPriority w:val="9"/>
    <w:semiHidden/>
    <w:unhideWhenUsed/>
    <w:qFormat/>
    <w:pPr>
      <w:keepNext w:val="1"/>
      <w:keepLines w:val="1"/>
      <w:outlineLvl w:val="8"/>
      <w:spacing w:after="0"/>
    </w:pPr>
    <w:rPr>
      <w:color w:val="595959" w:themeColor="text1" w:themeTint="A6"/>
      <w14:textFill>
        <w14:solidFill>
          <w14:schemeClr w14:val="tx1">
            <w14:lumMod w14:val="65000"/>
            <w14:lumOff w14:val="35000"/>
          </w14:schemeClr>
        </w14:solidFill>
      </w14:textFill>
      <w:rFonts w:eastAsiaTheme="majorEastAsia" w:cstheme="majorBidi"/>
    </w:rPr>
  </w:style>
  <w:style w:type="character" w:styleId="15" w:default="1">
    <w:name w:val="Default Paragraph Font"/>
    <w:uiPriority w:val="1"/>
    <w:semiHidden/>
    <w:unhideWhenUsed/>
    <w:qFormat/>
  </w:style>
  <w:style w:type="table" w:styleId="13" w:default="1">
    <w:name w:val="Normal Table"/>
    <w:uiPriority w:val="99"/>
    <w:semiHidden/>
    <w:unhideWhenUsed/>
    <w:qFormat/>
    <w:tblPr>
      <w:tblCellMar>
        <w:top w:type="dxa" w:w="0.000000"/>
        <w:bottom w:type="dxa" w:w="0.000000"/>
        <w:left w:type="dxa" w:w="108.000000"/>
        <w:right w:type="dxa" w:w="108.000000"/>
      </w:tblCellMar>
    </w:tblPr>
  </w:style>
  <w:style w:type="paragraph" w:styleId="11">
    <w:name w:val="Subtitle"/>
    <w:basedOn w:val="1"/>
    <w:link w:val="26"/>
    <w:uiPriority w:val="11"/>
    <w:qFormat/>
    <w:pPr>
      <w:jc w:val="center"/>
    </w:pPr>
    <w:rPr>
      <w:color w:val="595959" w:themeColor="text1" w:themeTint="A6"/>
      <w:spacing w:val="15"/>
      <w:sz w:val="28"/>
      <w:szCs w:val="28"/>
      <w14:textFill>
        <w14:solidFill>
          <w14:schemeClr w14:val="tx1">
            <w14:lumMod w14:val="65000"/>
            <w14:lumOff w14:val="35000"/>
          </w14:schemeClr>
        </w14:solidFill>
      </w14:textFill>
      <w:rFonts w:asciiTheme="majorHAnsi" w:hAnsiTheme="majorHAnsi" w:eastAsiaTheme="majorEastAsia" w:cstheme="majorBidi"/>
    </w:rPr>
  </w:style>
  <w:style w:type="paragraph" w:styleId="12">
    <w:name w:val="Title"/>
    <w:basedOn w:val="1"/>
    <w:link w:val="25"/>
    <w:uiPriority w:val="10"/>
    <w:qFormat/>
    <w:pPr>
      <w:jc w:val="center"/>
      <w:contextualSpacing/>
      <w:spacing w:after="80" w:line="240" w:lineRule="auto"/>
    </w:pPr>
    <w:rPr>
      <w:spacing w:val="-10"/>
      <w:sz w:val="56"/>
      <w:kern w:val="28"/>
      <w:szCs w:val="56"/>
      <w:rFonts w:asciiTheme="majorHAnsi" w:hAnsiTheme="majorHAnsi" w:eastAsiaTheme="majorEastAsia" w:cstheme="majorBidi"/>
    </w:rPr>
  </w:style>
  <w:style w:type="table" w:styleId="14">
    <w:name w:val="Table Grid"/>
    <w:basedOn w:val="1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customStyle="1">
    <w:name w:val="标题 1 字符"/>
    <w:basedOn w:val="15"/>
    <w:link w:val="2"/>
    <w:uiPriority w:val="9"/>
    <w:qFormat/>
    <w:rPr>
      <w:color w:val="2F5597" w:themeColor="accent1" w:themeShade="BF"/>
      <w:sz w:val="48"/>
      <w:szCs w:val="48"/>
      <w:rFonts w:asciiTheme="majorHAnsi" w:hAnsiTheme="majorHAnsi" w:eastAsiaTheme="majorEastAsia" w:cstheme="majorBidi"/>
    </w:rPr>
  </w:style>
  <w:style w:type="character" w:styleId="17" w:customStyle="1">
    <w:name w:val="标题 2 字符"/>
    <w:basedOn w:val="15"/>
    <w:link w:val="3"/>
    <w:uiPriority w:val="9"/>
    <w:semiHidden/>
    <w:qFormat/>
    <w:rPr>
      <w:color w:val="2F5597" w:themeColor="accent1" w:themeShade="BF"/>
      <w:sz w:val="40"/>
      <w:szCs w:val="40"/>
      <w:rFonts w:asciiTheme="majorHAnsi" w:hAnsiTheme="majorHAnsi" w:eastAsiaTheme="majorEastAsia" w:cstheme="majorBidi"/>
    </w:rPr>
  </w:style>
  <w:style w:type="character" w:styleId="18" w:customStyle="1">
    <w:name w:val="标题 3 字符"/>
    <w:basedOn w:val="15"/>
    <w:link w:val="4"/>
    <w:uiPriority w:val="9"/>
    <w:semiHidden/>
    <w:qFormat/>
    <w:rPr>
      <w:color w:val="2F5597" w:themeColor="accent1" w:themeShade="BF"/>
      <w:sz w:val="32"/>
      <w:szCs w:val="32"/>
      <w:rFonts w:asciiTheme="majorHAnsi" w:hAnsiTheme="majorHAnsi" w:eastAsiaTheme="majorEastAsia" w:cstheme="majorBidi"/>
    </w:rPr>
  </w:style>
  <w:style w:type="character" w:styleId="19" w:customStyle="1">
    <w:name w:val="标题 4 字符"/>
    <w:basedOn w:val="15"/>
    <w:link w:val="5"/>
    <w:uiPriority w:val="9"/>
    <w:semiHidden/>
    <w:qFormat/>
    <w:rPr>
      <w:color w:val="2F5597" w:themeColor="accent1" w:themeShade="BF"/>
      <w:sz w:val="28"/>
      <w:szCs w:val="28"/>
      <w:rFonts w:cstheme="majorBidi"/>
    </w:rPr>
  </w:style>
  <w:style w:type="character" w:styleId="20" w:customStyle="1">
    <w:name w:val="标题 5 字符"/>
    <w:basedOn w:val="15"/>
    <w:link w:val="6"/>
    <w:uiPriority w:val="9"/>
    <w:semiHidden/>
    <w:qFormat/>
    <w:rPr>
      <w:color w:val="2F5597" w:themeColor="accent1" w:themeShade="BF"/>
      <w:sz w:val="24"/>
      <w:rFonts w:cstheme="majorBidi"/>
    </w:rPr>
  </w:style>
  <w:style w:type="character" w:styleId="21" w:customStyle="1">
    <w:name w:val="标题 6 字符"/>
    <w:basedOn w:val="15"/>
    <w:link w:val="7"/>
    <w:uiPriority w:val="9"/>
    <w:semiHidden/>
    <w:qFormat/>
    <w:rPr>
      <w:b w:val="1"/>
      <w:color w:val="2F5597" w:themeColor="accent1" w:themeShade="BF"/>
      <w:bCs/>
      <w:rFonts w:cstheme="majorBidi"/>
    </w:rPr>
  </w:style>
  <w:style w:type="character" w:styleId="22" w:customStyle="1">
    <w:name w:val="标题 7 字符"/>
    <w:basedOn w:val="15"/>
    <w:link w:val="8"/>
    <w:uiPriority w:val="9"/>
    <w:semiHidden/>
    <w:qFormat/>
    <w:rPr>
      <w:b w:val="1"/>
      <w:color w:val="595959" w:themeColor="text1" w:themeTint="A6"/>
      <w:bCs/>
      <w14:textFill>
        <w14:solidFill>
          <w14:schemeClr w14:val="tx1">
            <w14:lumMod w14:val="65000"/>
            <w14:lumOff w14:val="35000"/>
          </w14:schemeClr>
        </w14:solidFill>
      </w14:textFill>
      <w:rFonts w:cstheme="majorBidi"/>
    </w:rPr>
  </w:style>
  <w:style w:type="character" w:styleId="23" w:customStyle="1">
    <w:name w:val="标题 8 字符"/>
    <w:basedOn w:val="15"/>
    <w:link w:val="9"/>
    <w:uiPriority w:val="9"/>
    <w:semiHidden/>
    <w:qFormat/>
    <w:rPr>
      <w:color w:val="595959" w:themeColor="text1" w:themeTint="A6"/>
      <w14:textFill>
        <w14:solidFill>
          <w14:schemeClr w14:val="tx1">
            <w14:lumMod w14:val="65000"/>
            <w14:lumOff w14:val="35000"/>
          </w14:schemeClr>
        </w14:solidFill>
      </w14:textFill>
      <w:rFonts w:cstheme="majorBidi"/>
    </w:rPr>
  </w:style>
  <w:style w:type="character" w:styleId="24" w:customStyle="1">
    <w:name w:val="标题 9 字符"/>
    <w:basedOn w:val="15"/>
    <w:link w:val="10"/>
    <w:uiPriority w:val="9"/>
    <w:semiHidden/>
    <w:qFormat/>
    <w:rPr>
      <w:color w:val="595959" w:themeColor="text1" w:themeTint="A6"/>
      <w14:textFill>
        <w14:solidFill>
          <w14:schemeClr w14:val="tx1">
            <w14:lumMod w14:val="65000"/>
            <w14:lumOff w14:val="35000"/>
          </w14:schemeClr>
        </w14:solidFill>
      </w14:textFill>
      <w:rFonts w:eastAsiaTheme="majorEastAsia" w:cstheme="majorBidi"/>
    </w:rPr>
  </w:style>
  <w:style w:type="character" w:styleId="25" w:customStyle="1">
    <w:name w:val="标题 字符"/>
    <w:basedOn w:val="15"/>
    <w:link w:val="12"/>
    <w:uiPriority w:val="10"/>
    <w:qFormat/>
    <w:rPr>
      <w:spacing w:val="-10"/>
      <w:sz w:val="56"/>
      <w:kern w:val="28"/>
      <w:szCs w:val="56"/>
      <w:rFonts w:asciiTheme="majorHAnsi" w:hAnsiTheme="majorHAnsi" w:eastAsiaTheme="majorEastAsia" w:cstheme="majorBidi"/>
    </w:rPr>
  </w:style>
  <w:style w:type="character" w:styleId="26" w:customStyle="1">
    <w:name w:val="副标题 字符"/>
    <w:basedOn w:val="15"/>
    <w:link w:val="11"/>
    <w:uiPriority w:val="11"/>
    <w:qFormat/>
    <w:rPr>
      <w:color w:val="595959" w:themeColor="text1" w:themeTint="A6"/>
      <w:spacing w:val="15"/>
      <w:sz w:val="28"/>
      <w:szCs w:val="28"/>
      <w14:textFill>
        <w14:solidFill>
          <w14:schemeClr w14:val="tx1">
            <w14:lumMod w14:val="65000"/>
            <w14:lumOff w14:val="35000"/>
          </w14:schemeClr>
        </w14:solidFill>
      </w14:textFill>
      <w:rFonts w:asciiTheme="majorHAnsi" w:hAnsiTheme="majorHAnsi" w:eastAsiaTheme="majorEastAsia" w:cstheme="majorBidi"/>
    </w:rPr>
  </w:style>
  <w:style w:type="paragraph" w:styleId="27">
    <w:name w:val="Quote"/>
    <w:basedOn w:val="1"/>
    <w:link w:val="28"/>
    <w:uiPriority w:val="29"/>
    <w:qFormat/>
    <w:pPr>
      <w:jc w:val="center"/>
      <w:spacing w:before="160"/>
    </w:pPr>
    <w:rPr>
      <w:i w:val="1"/>
      <w:color w:val="404040" w:themeColor="text1" w:themeTint="BF"/>
      <w:iCs/>
      <w14:textFill>
        <w14:solidFill>
          <w14:schemeClr w14:val="tx1">
            <w14:lumMod w14:val="75000"/>
            <w14:lumOff w14:val="25000"/>
          </w14:schemeClr>
        </w14:solidFill>
      </w14:textFill>
    </w:rPr>
  </w:style>
  <w:style w:type="character" w:styleId="28" w:customStyle="1">
    <w:name w:val="引用 字符"/>
    <w:basedOn w:val="15"/>
    <w:link w:val="27"/>
    <w:uiPriority w:val="29"/>
    <w:qFormat/>
    <w:rPr>
      <w:i w:val="1"/>
      <w:color w:val="404040" w:themeColor="text1" w:themeTint="BF"/>
      <w:iCs/>
      <w14:textFill>
        <w14:solidFill>
          <w14:schemeClr w14:val="tx1">
            <w14:lumMod w14:val="75000"/>
            <w14:lumOff w14:val="25000"/>
          </w14:schemeClr>
        </w14:solidFill>
      </w14:textFill>
    </w:rPr>
  </w:style>
  <w:style w:type="paragraph" w:styleId="29">
    <w:name w:val="List Paragraph"/>
    <w:basedOn w:val="1"/>
    <w:uiPriority w:val="34"/>
    <w:qFormat/>
    <w:pPr>
      <w:contextualSpacing/>
      <w:ind w:left="720"/>
    </w:pPr>
  </w:style>
  <w:style w:type="character" w:styleId="30" w:customStyle="1">
    <w:name w:val="Intense Emphasis"/>
    <w:basedOn w:val="15"/>
    <w:uiPriority w:val="21"/>
    <w:qFormat/>
    <w:rPr>
      <w:i w:val="1"/>
      <w:color w:val="2F5597" w:themeColor="accent1" w:themeShade="BF"/>
      <w:iCs/>
    </w:rPr>
  </w:style>
  <w:style w:type="paragraph" w:styleId="31">
    <w:name w:val="Intense Quote"/>
    <w:basedOn w:val="1"/>
    <w:link w:val="32"/>
    <w:uiPriority w:val="30"/>
    <w:qFormat/>
    <w:pPr>
      <w:jc w:val="center"/>
      <w:pBdr>
        <w:top w:val="single" w:color="2F5496" w:themeColor="accent1" w:themeShade="BF" w:sz="4" w:space="10"/>
        <w:bottom w:val="single" w:color="2F5496" w:themeColor="accent1" w:themeShade="BF" w:sz="4" w:space="10"/>
      </w:pBdr>
      <w:spacing w:after="360" w:before="360"/>
      <w:ind w:left="864" w:right="864"/>
    </w:pPr>
    <w:rPr>
      <w:i w:val="1"/>
      <w:color w:val="2F5597" w:themeColor="accent1" w:themeShade="BF"/>
      <w:iCs/>
    </w:rPr>
  </w:style>
  <w:style w:type="character" w:styleId="32" w:customStyle="1">
    <w:name w:val="明显引用 字符"/>
    <w:basedOn w:val="15"/>
    <w:link w:val="31"/>
    <w:uiPriority w:val="30"/>
    <w:qFormat/>
    <w:rPr>
      <w:i w:val="1"/>
      <w:color w:val="2F5597" w:themeColor="accent1" w:themeShade="BF"/>
      <w:iCs/>
    </w:rPr>
  </w:style>
  <w:style w:type="character" w:styleId="33" w:customStyle="1">
    <w:name w:val="Intense Reference"/>
    <w:basedOn w:val="15"/>
    <w:uiPriority w:val="32"/>
    <w:qFormat/>
    <w:rPr>
      <w:b w:val="1"/>
      <w:color w:val="2F5597" w:themeColor="accent1" w:themeShade="BF"/>
      <w:spacing w:val="5"/>
      <w:bCs/>
    </w:rPr>
  </w:style>
</w:styles>
</file>

<file path=word/_rels/document.xml.rels><?xml version="1.0" encoding="UTF-8" standalone="yes"?><Relationships xmlns="http://schemas.openxmlformats.org/package/2006/relationships"><Relationship Id="rId5" Type="http://schemas.openxmlformats.org/officeDocument/2006/relationships/theme" Target="theme/theme1.xml" /><Relationship Id="rId2" Type="http://schemas.openxmlformats.org/officeDocument/2006/relationships/footnotes" Target="footnotes.xml" /><Relationship Id="rId4" Type="http://schemas.openxmlformats.org/officeDocument/2006/relationships/fontTable" Target="fontTable.xml" /><Relationship Id="rId3" Type="http://schemas.openxmlformats.org/officeDocument/2006/relationships/endnotes" Target="endnotes.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游ゴシック Light"/>
        <a:font script="Thaa" typeface="MV Boli"/>
        <a:font script="Cher" typeface="Plantagenet Cherokee"/>
        <a:font script="Hebr" typeface="Times New Roman"/>
        <a:font script="Yiii" typeface="Microsoft Yi Baiti"/>
        <a:font script="Guru" typeface="Raavi"/>
        <a:font script="Hans" typeface="等线 Light"/>
        <a:font script="Ethi" typeface="Nyala"/>
        <a:font script="Taml" typeface="Latha"/>
        <a:font script="Knda" typeface="Tunga"/>
        <a:font script="Arab" typeface="Times New Roman"/>
        <a:font script="Hant" typeface="新細明體"/>
      </a:majorFont>
      <a:minorFont>
        <a:latin typeface="等线"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游明朝"/>
        <a:font script="Thaa" typeface="MV Boli"/>
        <a:font script="Cher" typeface="Plantagenet Cherokee"/>
        <a:font script="Hebr" typeface="Arial"/>
        <a:font script="Yiii" typeface="Microsoft Yi Baiti"/>
        <a:font script="Guru" typeface="Raavi"/>
        <a:font script="Hans" typeface="等线"/>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Template>
  <TotalTime>11</TotalTime>
  <Pages>1</Pages>
  <Words>350</Words>
  <Characters>350</Characters>
  <Application>WPS Office_12.1.0.22089_F1E327BC-269C-435d-A152-05C5408002CA</Application>
  <DocSecurity>0</DocSecurity>
  <Lines>11</Lines>
  <Paragraphs>10</Paragraphs>
  <ScaleCrop>false</ScaleCrop>
  <Company/>
  <LinksUpToDate>false</LinksUpToDate>
  <CharactersWithSpaces>351</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lyzoumayi@163.com</dc:creator>
  <cp:keywords/>
  <dc:description/>
  <cp:lastModifiedBy>张海清</cp:lastModifiedBy>
  <cp:revision>1</cp:revision>
  <dcterms:created xsi:type="dcterms:W3CDTF">2025-10-29T11:08:00Z</dcterms:created>
  <dcterms:modified xsi:type="dcterms:W3CDTF">2025-11-04T08:22:37Z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eyJoZGlkIjoiOWIyOTE0ODNkOTRlNjY0YzBiMzdkMTYwZjdiMDc0MmEiLCJ1c2VySWQiOiI0MzQ5NjY4MTYifQ==</vt:lpwstr>
  </property>
  <property fmtid="{D5CDD505-2E9C-101B-9397-08002B2CF9AE}" pid="3" name="KSOProductBuildVer">
    <vt:lpwstr>2052-12.1.0.22089</vt:lpwstr>
  </property>
  <property fmtid="{D5CDD505-2E9C-101B-9397-08002B2CF9AE}" pid="4" name="ICV">
    <vt:lpwstr>833856BE723B4ECA91055E774C0D7AC9_12</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34BF8">
      <w:pPr>
        <w:jc w:val="center"/>
        <w:rPr>
          <w:rFonts w:hint="eastAsia" w:ascii="黑体" w:hAnsi="黑体" w:eastAsia="黑体"/>
          <w:sz w:val="44"/>
          <w:szCs w:val="44"/>
        </w:rPr>
      </w:pPr>
      <w:r>
        <w:rPr>
          <w:rFonts w:hint="eastAsia" w:ascii="黑体" w:hAnsi="黑体" w:eastAsia="黑体"/>
          <w:sz w:val="44"/>
          <w:szCs w:val="44"/>
        </w:rPr>
        <w:t>涞源县</w:t>
      </w:r>
      <w:bookmarkStart w:id="0" w:name="_GoBack"/>
      <w:bookmarkEnd w:id="0"/>
      <w:r>
        <w:rPr>
          <w:rFonts w:hint="eastAsia" w:ascii="黑体" w:hAnsi="黑体" w:eastAsia="黑体"/>
          <w:sz w:val="44"/>
          <w:szCs w:val="44"/>
          <w:lang w:val="en-US" w:eastAsia="zh-CN"/>
        </w:rPr>
        <w:t>塔崖驿</w:t>
      </w:r>
      <w:r>
        <w:rPr>
          <w:rFonts w:hint="eastAsia" w:ascii="黑体" w:hAnsi="黑体" w:eastAsia="黑体"/>
          <w:sz w:val="44"/>
          <w:szCs w:val="44"/>
        </w:rPr>
        <w:t>乡</w:t>
      </w:r>
      <w:r>
        <w:rPr>
          <w:rFonts w:hint="eastAsia" w:ascii="黑体" w:hAnsi="黑体" w:eastAsia="黑体"/>
          <w:sz w:val="44"/>
          <w:szCs w:val="44"/>
          <w:lang w:val="en-US" w:eastAsia="zh-CN"/>
        </w:rPr>
        <w:t>人民政府</w:t>
      </w:r>
      <w:r>
        <w:rPr>
          <w:rFonts w:hint="eastAsia" w:ascii="黑体" w:hAnsi="黑体" w:eastAsia="黑体"/>
          <w:sz w:val="44"/>
          <w:szCs w:val="44"/>
        </w:rPr>
        <w:t>涉企行政检查标准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953"/>
        <w:gridCol w:w="7007"/>
      </w:tblGrid>
      <w:tr w14:paraId="6BF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1F64721">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序号</w:t>
            </w:r>
          </w:p>
        </w:tc>
        <w:tc>
          <w:tcPr>
            <w:tcW w:w="5953" w:type="dxa"/>
            <w:vAlign w:val="center"/>
          </w:tcPr>
          <w:p w14:paraId="70139540">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检查事项</w:t>
            </w:r>
          </w:p>
        </w:tc>
        <w:tc>
          <w:tcPr>
            <w:tcW w:w="7007" w:type="dxa"/>
            <w:vAlign w:val="center"/>
          </w:tcPr>
          <w:p w14:paraId="3A51B767">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检查标准</w:t>
            </w:r>
          </w:p>
        </w:tc>
      </w:tr>
      <w:tr w14:paraId="425A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FE1195A">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1</w:t>
            </w:r>
          </w:p>
        </w:tc>
        <w:tc>
          <w:tcPr>
            <w:tcW w:w="5953" w:type="dxa"/>
            <w:vAlign w:val="center"/>
          </w:tcPr>
          <w:p w14:paraId="09967CEC">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对从事车辆清洗、维修经营活动是否占用公共场所的行政检查</w:t>
            </w:r>
          </w:p>
        </w:tc>
        <w:tc>
          <w:tcPr>
            <w:tcW w:w="7007" w:type="dxa"/>
            <w:vAlign w:val="center"/>
          </w:tcPr>
          <w:p w14:paraId="6D431A6F">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从事车辆清洗、维修经营活动，应当在室内进行，不得占用道路、绿地、公共场所等。</w:t>
            </w:r>
          </w:p>
        </w:tc>
      </w:tr>
      <w:tr w14:paraId="6B2A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5340C65">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2</w:t>
            </w:r>
          </w:p>
        </w:tc>
        <w:tc>
          <w:tcPr>
            <w:tcW w:w="5953" w:type="dxa"/>
            <w:vAlign w:val="center"/>
          </w:tcPr>
          <w:p w14:paraId="08CC4607">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对农业经营主体对农产品采收后的秸秆及树叶、荒草采取综合利用措施处理的行政检查</w:t>
            </w:r>
          </w:p>
        </w:tc>
        <w:tc>
          <w:tcPr>
            <w:tcW w:w="7007" w:type="dxa"/>
            <w:vAlign w:val="center"/>
          </w:tcPr>
          <w:p w14:paraId="1FA72B06">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 xml:space="preserve">农业经营主体要妥善采取综合利用措施，对农产品采收后的秸秆及树叶、荒草予以处理，严禁露天焚烧。 </w:t>
            </w:r>
          </w:p>
        </w:tc>
      </w:tr>
      <w:tr w14:paraId="1B9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0CBD42C">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3</w:t>
            </w:r>
          </w:p>
        </w:tc>
        <w:tc>
          <w:tcPr>
            <w:tcW w:w="5953" w:type="dxa"/>
            <w:vAlign w:val="center"/>
          </w:tcPr>
          <w:p w14:paraId="369781AA">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对生产、经营清真食品的行政检查</w:t>
            </w:r>
          </w:p>
        </w:tc>
        <w:tc>
          <w:tcPr>
            <w:tcW w:w="7007" w:type="dxa"/>
            <w:vAlign w:val="center"/>
          </w:tcPr>
          <w:p w14:paraId="6D561CE3">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业人员中有清真饮食习惯的少数民族人员应占一定比例，主要管理人员中必须配备有清真饮食习惯的少数民族人员，原料采购、主要烹仓库保管等关键岗位必须配备有清真饮食习惯的少数民族人员，清真食品的运输车辆、计量器具、检查工具、储藏容器和加工、出售场地必须专用，生产经营清真食品的个人必须是有清真饮食习惯的少数民族公民。</w:t>
            </w:r>
          </w:p>
        </w:tc>
      </w:tr>
    </w:tbl>
    <w:p w14:paraId="4531E0D5">
      <w:pPr>
        <w:rPr>
          <w:rFonts w:hint="eastAsia"/>
        </w:rPr>
      </w:pPr>
    </w:p>
    <w:p w14:paraId="51AC3C58"/>
    <w:sectPr>
      <w:pgSz w:w="16838" w:h="11906" w:orient="landscape"/>
      <w:pgMar w:top="1800" w:right="1440" w:bottom="1800" w:left="1440" w:header="851" w:footer="992" w:gutter="0"/>
      <w:cols w:space="425" w:num="1"/>
      <w:docGrid w:type="lines" w:linePitch="312" w:charSpace="0"/>
    </w:sectPr>
  </w:body>
</w:document>
</file>

<file path=tbak/modified.xml>save:Thu Nov  6 13:08:42 2025

</file>