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34E9F">
      <w:pPr>
        <w:spacing w:after="0" w:line="560" w:lineRule="exact"/>
        <w:jc w:val="both"/>
        <w:rPr>
          <w:rFonts w:ascii="方正小标宋简体" w:eastAsia="方正小标宋简体"/>
          <w:sz w:val="44"/>
          <w:szCs w:val="44"/>
        </w:rPr>
      </w:pPr>
    </w:p>
    <w:p w14:paraId="66D066D4">
      <w:pPr>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涞源县自然资源和规划局涉企行政</w:t>
      </w:r>
      <w:r>
        <w:rPr>
          <w:rFonts w:hint="eastAsia" w:ascii="方正小标宋简体" w:eastAsia="方正小标宋简体"/>
          <w:sz w:val="44"/>
          <w:szCs w:val="44"/>
        </w:rPr>
        <w:t>检查标准</w:t>
      </w:r>
    </w:p>
    <w:p w14:paraId="23E14523">
      <w:pPr>
        <w:spacing w:after="0" w:line="560" w:lineRule="exact"/>
        <w:jc w:val="both"/>
        <w:rPr>
          <w:rFonts w:hint="eastAsia" w:ascii="仿宋_GB2312" w:eastAsia="仿宋_GB2312"/>
          <w:sz w:val="32"/>
          <w:szCs w:val="32"/>
        </w:rPr>
      </w:pPr>
    </w:p>
    <w:p w14:paraId="10FEA70C">
      <w:pPr>
        <w:spacing w:after="0" w:line="560" w:lineRule="exact"/>
        <w:ind w:firstLine="640" w:firstLineChars="200"/>
        <w:jc w:val="both"/>
        <w:rPr>
          <w:rFonts w:hint="eastAsia" w:ascii="黑体" w:eastAsia="黑体"/>
          <w:sz w:val="32"/>
          <w:szCs w:val="32"/>
        </w:rPr>
      </w:pPr>
      <w:r>
        <w:rPr>
          <w:rFonts w:hint="eastAsia" w:ascii="黑体" w:eastAsia="黑体"/>
          <w:sz w:val="32"/>
          <w:szCs w:val="32"/>
          <w:lang w:eastAsia="zh-CN"/>
        </w:rPr>
        <w:t>一、</w:t>
      </w:r>
      <w:r>
        <w:rPr>
          <w:rFonts w:hint="eastAsia" w:ascii="黑体" w:eastAsia="黑体"/>
          <w:sz w:val="32"/>
          <w:szCs w:val="32"/>
        </w:rPr>
        <w:t>对采矿权人履行矿山地质环境保护与土地复垦义务情况的行政检查</w:t>
      </w:r>
    </w:p>
    <w:p w14:paraId="5340FB74">
      <w:pPr>
        <w:spacing w:after="0" w:line="560" w:lineRule="exact"/>
        <w:ind w:firstLine="640" w:firstLineChars="200"/>
        <w:jc w:val="both"/>
        <w:rPr>
          <w:rFonts w:hint="eastAsia" w:ascii="仿宋_GB2312" w:eastAsia="仿宋_GB2312"/>
          <w:sz w:val="32"/>
          <w:szCs w:val="32"/>
        </w:rPr>
      </w:pPr>
      <w:r>
        <w:rPr>
          <w:rFonts w:hint="eastAsia" w:ascii="楷体_GB2312" w:eastAsia="楷体_GB2312"/>
          <w:sz w:val="32"/>
          <w:szCs w:val="32"/>
        </w:rPr>
        <w:t>（一）方案编报与备案情况。</w:t>
      </w:r>
      <w:r>
        <w:rPr>
          <w:rFonts w:hint="eastAsia" w:ascii="仿宋_GB2312" w:eastAsia="仿宋_GB2312"/>
          <w:sz w:val="32"/>
          <w:szCs w:val="32"/>
        </w:rPr>
        <w:t>采矿权人是否按规定编制方案，方案是否已通过具有相应权限的自然资源主管部门审查，方案是否在适用期内，采矿权人是否按要求报矿山所在地县级自然资源主管部门备案。</w:t>
      </w:r>
    </w:p>
    <w:p w14:paraId="073F58D8">
      <w:pPr>
        <w:spacing w:after="0" w:line="560" w:lineRule="exact"/>
        <w:ind w:firstLine="640" w:firstLineChars="200"/>
        <w:jc w:val="both"/>
        <w:rPr>
          <w:rFonts w:hint="eastAsia" w:ascii="仿宋_GB2312" w:eastAsia="仿宋_GB2312"/>
          <w:sz w:val="32"/>
          <w:szCs w:val="32"/>
        </w:rPr>
      </w:pPr>
      <w:r>
        <w:rPr>
          <w:rFonts w:hint="eastAsia" w:ascii="楷体_GB2312" w:eastAsia="楷体_GB2312"/>
          <w:sz w:val="32"/>
          <w:szCs w:val="32"/>
        </w:rPr>
        <w:t>（二）矿山地质环境治理恢复基金制度落实情况。</w:t>
      </w:r>
      <w:r>
        <w:rPr>
          <w:rFonts w:hint="eastAsia" w:ascii="仿宋_GB2312" w:eastAsia="仿宋_GB2312"/>
          <w:sz w:val="32"/>
          <w:szCs w:val="32"/>
        </w:rPr>
        <w:t>采矿权人是否按规定设立基金账户，采矿权人是否按规定足额计提基金。</w:t>
      </w:r>
    </w:p>
    <w:p w14:paraId="0B98E455">
      <w:pPr>
        <w:spacing w:after="0" w:line="560" w:lineRule="exact"/>
        <w:ind w:firstLine="640" w:firstLineChars="200"/>
        <w:jc w:val="both"/>
        <w:rPr>
          <w:rFonts w:hint="eastAsia" w:ascii="仿宋_GB2312" w:eastAsia="仿宋_GB2312"/>
          <w:sz w:val="32"/>
          <w:szCs w:val="32"/>
        </w:rPr>
      </w:pPr>
      <w:r>
        <w:rPr>
          <w:rFonts w:hint="eastAsia" w:ascii="楷体_GB2312" w:eastAsia="楷体_GB2312"/>
          <w:sz w:val="32"/>
          <w:szCs w:val="32"/>
        </w:rPr>
        <w:t>（三）预存土地复垦费用情况。</w:t>
      </w:r>
      <w:r>
        <w:rPr>
          <w:rFonts w:hint="eastAsia" w:ascii="仿宋_GB2312" w:eastAsia="仿宋_GB2312"/>
          <w:sz w:val="32"/>
          <w:szCs w:val="32"/>
        </w:rPr>
        <w:t>采矿权人是否签订土地复垦费用三方监管协议，采矿权人是否足额预存土地复垦费用。</w:t>
      </w:r>
    </w:p>
    <w:p w14:paraId="6E7E1493">
      <w:pPr>
        <w:spacing w:after="0" w:line="560" w:lineRule="exact"/>
        <w:ind w:firstLine="640" w:firstLineChars="200"/>
        <w:jc w:val="both"/>
        <w:rPr>
          <w:rFonts w:ascii="仿宋_GB2312" w:eastAsia="仿宋_GB2312"/>
          <w:sz w:val="32"/>
          <w:szCs w:val="32"/>
        </w:rPr>
      </w:pPr>
      <w:r>
        <w:rPr>
          <w:rFonts w:hint="eastAsia" w:ascii="楷体_GB2312" w:eastAsia="楷体_GB2312"/>
          <w:sz w:val="32"/>
          <w:szCs w:val="32"/>
        </w:rPr>
        <w:t>（四）方案落实情况。</w:t>
      </w:r>
      <w:r>
        <w:rPr>
          <w:rFonts w:hint="eastAsia" w:ascii="仿宋_GB2312" w:eastAsia="仿宋_GB2312"/>
          <w:sz w:val="32"/>
          <w:szCs w:val="32"/>
        </w:rPr>
        <w:t>采矿权人是否按照方案开展治理复垦工作，是否完成年度或阶段性目标任务，已实施的治理工程是否按照方案设置，已复垦地块位置、面积、地类是否与批复方案一致，是否达到设计标准。</w:t>
      </w:r>
    </w:p>
    <w:p w14:paraId="0A269920">
      <w:pPr>
        <w:spacing w:after="0" w:line="560" w:lineRule="exact"/>
        <w:ind w:firstLine="640" w:firstLineChars="200"/>
        <w:jc w:val="both"/>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对建设项目土地复垦义务人履行土地复垦义务情况的检查</w:t>
      </w:r>
    </w:p>
    <w:p w14:paraId="22237FAC">
      <w:pPr>
        <w:spacing w:after="0" w:line="560" w:lineRule="exact"/>
        <w:ind w:firstLine="640" w:firstLineChars="200"/>
        <w:jc w:val="both"/>
        <w:rPr>
          <w:rFonts w:hint="eastAsia" w:ascii="仿宋_GB2312" w:eastAsia="仿宋_GB2312"/>
          <w:sz w:val="32"/>
          <w:szCs w:val="32"/>
        </w:rPr>
      </w:pPr>
      <w:r>
        <w:rPr>
          <w:rFonts w:hint="eastAsia" w:ascii="楷体_GB2312" w:eastAsia="楷体_GB2312"/>
          <w:sz w:val="32"/>
          <w:szCs w:val="32"/>
        </w:rPr>
        <w:t>（一）方案编报与备案情况。</w:t>
      </w:r>
      <w:r>
        <w:rPr>
          <w:rFonts w:hint="eastAsia" w:ascii="仿宋_GB2312" w:eastAsia="仿宋_GB2312"/>
          <w:sz w:val="32"/>
          <w:szCs w:val="32"/>
        </w:rPr>
        <w:t>土地复垦义务人是否按规定编制方案，方案是否已通过具有相应权限的自然资源主管部门审查，土地复垦义务人是否按要求报项目损毁所在地县级自然资源主管部门备案。</w:t>
      </w:r>
    </w:p>
    <w:p w14:paraId="01014383">
      <w:pPr>
        <w:spacing w:after="0" w:line="560" w:lineRule="exact"/>
        <w:ind w:firstLine="640" w:firstLineChars="200"/>
        <w:jc w:val="both"/>
        <w:rPr>
          <w:rFonts w:hint="eastAsia" w:ascii="仿宋_GB2312" w:eastAsia="仿宋_GB2312"/>
          <w:sz w:val="32"/>
          <w:szCs w:val="32"/>
        </w:rPr>
      </w:pPr>
      <w:r>
        <w:rPr>
          <w:rFonts w:hint="eastAsia" w:ascii="楷体_GB2312" w:eastAsia="楷体_GB2312"/>
          <w:sz w:val="32"/>
          <w:szCs w:val="32"/>
        </w:rPr>
        <w:t>（二）预存土地复垦费用情况。</w:t>
      </w:r>
      <w:r>
        <w:rPr>
          <w:rFonts w:hint="eastAsia" w:ascii="仿宋_GB2312" w:eastAsia="仿宋_GB2312"/>
          <w:sz w:val="32"/>
          <w:szCs w:val="32"/>
        </w:rPr>
        <w:t>土地复垦义务人是否签订土地复垦费用三方监管协议，是否足额预存土地复垦费用。</w:t>
      </w:r>
    </w:p>
    <w:p w14:paraId="5897CAC9">
      <w:pPr>
        <w:spacing w:after="0" w:line="560" w:lineRule="exact"/>
        <w:ind w:firstLine="640" w:firstLineChars="200"/>
        <w:jc w:val="both"/>
        <w:rPr>
          <w:rFonts w:ascii="仿宋_GB2312" w:eastAsia="仿宋_GB2312"/>
          <w:sz w:val="32"/>
          <w:szCs w:val="32"/>
        </w:rPr>
      </w:pPr>
      <w:r>
        <w:rPr>
          <w:rFonts w:hint="eastAsia" w:ascii="楷体_GB2312" w:eastAsia="楷体_GB2312"/>
          <w:sz w:val="32"/>
          <w:szCs w:val="32"/>
        </w:rPr>
        <w:t>（三）方案落实情况。</w:t>
      </w:r>
      <w:r>
        <w:rPr>
          <w:rFonts w:hint="eastAsia" w:ascii="仿宋_GB2312" w:eastAsia="仿宋_GB2312"/>
          <w:sz w:val="32"/>
          <w:szCs w:val="32"/>
        </w:rPr>
        <w:t>土地复垦义务人是否按照土地复垦方案开展复垦工作，对已复垦地块位置、面积、复垦方向是否与批复方案一致，是否达到设计标准。</w:t>
      </w:r>
    </w:p>
    <w:p w14:paraId="42C161DF">
      <w:pPr>
        <w:spacing w:after="0" w:line="560" w:lineRule="exact"/>
        <w:ind w:firstLine="640" w:firstLineChars="200"/>
        <w:jc w:val="both"/>
        <w:rPr>
          <w:rFonts w:hint="eastAsia" w:ascii="黑体" w:eastAsia="黑体"/>
          <w:sz w:val="32"/>
          <w:szCs w:val="32"/>
        </w:rPr>
      </w:pPr>
      <w:r>
        <w:rPr>
          <w:rFonts w:hint="eastAsia" w:ascii="黑体" w:eastAsia="黑体"/>
          <w:sz w:val="32"/>
          <w:szCs w:val="32"/>
          <w:lang w:eastAsia="zh-CN"/>
        </w:rPr>
        <w:t>三</w:t>
      </w:r>
      <w:r>
        <w:rPr>
          <w:rFonts w:hint="eastAsia" w:ascii="黑体" w:eastAsia="黑体"/>
          <w:sz w:val="32"/>
          <w:szCs w:val="32"/>
        </w:rPr>
        <w:t>、对测绘行业的</w:t>
      </w:r>
      <w:r>
        <w:rPr>
          <w:rFonts w:ascii="黑体" w:eastAsia="黑体"/>
          <w:sz w:val="32"/>
          <w:szCs w:val="32"/>
        </w:rPr>
        <w:t>行政检查</w:t>
      </w:r>
    </w:p>
    <w:p w14:paraId="271CF95E">
      <w:pPr>
        <w:spacing w:after="0" w:line="560" w:lineRule="exact"/>
        <w:ind w:firstLine="640" w:firstLineChars="200"/>
        <w:jc w:val="both"/>
        <w:rPr>
          <w:rFonts w:hint="eastAsia" w:ascii="楷体_GB2312" w:eastAsia="楷体_GB2312"/>
          <w:sz w:val="32"/>
          <w:szCs w:val="32"/>
        </w:rPr>
      </w:pPr>
      <w:r>
        <w:rPr>
          <w:rFonts w:hint="eastAsia" w:ascii="楷体_GB2312" w:eastAsia="楷体_GB2312"/>
          <w:sz w:val="32"/>
          <w:szCs w:val="32"/>
        </w:rPr>
        <w:t>（一）测绘行业“双随机、一公开”监督检查</w:t>
      </w:r>
    </w:p>
    <w:p w14:paraId="4ECC0190">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1.测绘资质。单位专业技术人员、技术装备、相关制度等测绘资质情况是否符合当前测绘资质等级和业务范围。</w:t>
      </w:r>
    </w:p>
    <w:p w14:paraId="73B397D3">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2.测绘行业安全生产（含消防安全）。单位是否有健全的安全生产（含消防安全）制度，安全生产制度是否有效执行。</w:t>
      </w:r>
    </w:p>
    <w:p w14:paraId="0AB5A01E">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3.测绘质量。单位质量管理体系建立及运行、质量管理职责及落实、生产过程的质量管理情况。</w:t>
      </w:r>
    </w:p>
    <w:p w14:paraId="774C91DF">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4.测绘项目备案登记。单位是否建立项目合同登记本，是否有测绘管理部门出具的备案登记材料，项目备案登记与项目合同是否对应，备案登记是否及时有效。</w:t>
      </w:r>
    </w:p>
    <w:p w14:paraId="0CE0185B">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5.相对独立的平面坐标系统。单位是否使用全国统一的测绘基准和坐标系统，是否参与建设相对独立的平面坐标系统，是否得到批准。</w:t>
      </w:r>
    </w:p>
    <w:p w14:paraId="7F43CCD8">
      <w:pPr>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测绘市场的监督。单位在测绘市场活动中是否有违法行为，是否在资质等级和业务范围内从事测绘活动，是否非法转包测绘项目，是否将测绘项目发包给不具有相应资质等级的测绘单位，是否有不正当竞争行为。</w:t>
      </w:r>
    </w:p>
    <w:p w14:paraId="474BB4D4">
      <w:pPr>
        <w:spacing w:after="156" w:afterLines="50" w:line="560" w:lineRule="exact"/>
        <w:ind w:firstLine="640" w:firstLineChars="200"/>
        <w:jc w:val="both"/>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、对地图编制、出版、展示、登载和互联网地图服务的行政检查</w:t>
      </w:r>
    </w:p>
    <w:tbl>
      <w:tblPr>
        <w:tblStyle w:val="15"/>
        <w:tblW w:w="131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2835"/>
        <w:gridCol w:w="1984"/>
        <w:gridCol w:w="7371"/>
      </w:tblGrid>
      <w:tr w14:paraId="59A6E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B0F52A5">
            <w:pPr>
              <w:autoSpaceDN w:val="0"/>
              <w:spacing w:after="0" w:line="360" w:lineRule="exact"/>
              <w:jc w:val="center"/>
              <w:rPr>
                <w:rFonts w:hint="eastAsia" w:ascii="黑体" w:eastAsia="黑体" w:cs="Arial"/>
                <w:sz w:val="28"/>
                <w:szCs w:val="28"/>
              </w:rPr>
            </w:pPr>
            <w:r>
              <w:rPr>
                <w:rFonts w:hint="eastAsia" w:ascii="黑体" w:eastAsia="黑体" w:cs="Arial"/>
                <w:sz w:val="28"/>
                <w:szCs w:val="28"/>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694BBC62">
            <w:pPr>
              <w:autoSpaceDN w:val="0"/>
              <w:spacing w:after="0" w:line="360" w:lineRule="exact"/>
              <w:jc w:val="center"/>
              <w:rPr>
                <w:rFonts w:hint="eastAsia" w:ascii="黑体" w:eastAsia="黑体" w:cs="Arial"/>
                <w:sz w:val="28"/>
                <w:szCs w:val="28"/>
              </w:rPr>
            </w:pPr>
            <w:r>
              <w:rPr>
                <w:rFonts w:hint="eastAsia" w:ascii="黑体" w:eastAsia="黑体" w:cs="Times New Roman"/>
                <w:sz w:val="28"/>
                <w:szCs w:val="2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4CA651D5">
            <w:pPr>
              <w:autoSpaceDN w:val="0"/>
              <w:spacing w:after="0" w:line="360" w:lineRule="exact"/>
              <w:jc w:val="center"/>
              <w:rPr>
                <w:rFonts w:hint="eastAsia" w:ascii="黑体" w:eastAsia="黑体" w:cs="Arial"/>
                <w:sz w:val="28"/>
                <w:szCs w:val="28"/>
              </w:rPr>
            </w:pPr>
            <w:r>
              <w:rPr>
                <w:rFonts w:hint="eastAsia" w:ascii="黑体" w:eastAsia="黑体" w:cs="Arial"/>
                <w:sz w:val="28"/>
                <w:szCs w:val="28"/>
              </w:rPr>
              <w:t>类别</w:t>
            </w:r>
          </w:p>
        </w:tc>
        <w:tc>
          <w:tcPr>
            <w:tcW w:w="7371" w:type="dxa"/>
            <w:tcBorders>
              <w:top w:val="single" w:color="auto" w:sz="4" w:space="0"/>
              <w:left w:val="single" w:color="auto" w:sz="4" w:space="0"/>
              <w:bottom w:val="single" w:color="auto" w:sz="4" w:space="0"/>
              <w:right w:val="single" w:color="auto" w:sz="4" w:space="0"/>
            </w:tcBorders>
            <w:vAlign w:val="center"/>
          </w:tcPr>
          <w:p w14:paraId="4ADE9B6B">
            <w:pPr>
              <w:autoSpaceDN w:val="0"/>
              <w:spacing w:after="0" w:line="360" w:lineRule="exact"/>
              <w:jc w:val="center"/>
              <w:rPr>
                <w:rFonts w:hint="eastAsia" w:ascii="黑体" w:eastAsia="黑体" w:cs="Arial"/>
                <w:sz w:val="28"/>
                <w:szCs w:val="28"/>
              </w:rPr>
            </w:pPr>
            <w:r>
              <w:rPr>
                <w:rFonts w:hint="eastAsia" w:ascii="黑体" w:eastAsia="黑体" w:cs="Times New Roman"/>
                <w:sz w:val="28"/>
                <w:szCs w:val="28"/>
              </w:rPr>
              <w:t>标准</w:t>
            </w:r>
          </w:p>
        </w:tc>
      </w:tr>
      <w:tr w14:paraId="10906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91FB14">
            <w:pPr>
              <w:autoSpaceDN w:val="0"/>
              <w:spacing w:after="0" w:line="360" w:lineRule="exact"/>
              <w:jc w:val="center"/>
              <w:rPr>
                <w:rFonts w:hint="eastAsia" w:ascii="仿宋_GB2312" w:eastAsia="仿宋_GB2312" w:cs="Arial"/>
                <w:sz w:val="28"/>
                <w:szCs w:val="28"/>
              </w:rPr>
            </w:pPr>
            <w:r>
              <w:rPr>
                <w:rFonts w:hint="eastAsia" w:ascii="仿宋_GB2312" w:eastAsia="仿宋_GB2312" w:cs="Arial"/>
                <w:sz w:val="28"/>
                <w:szCs w:val="28"/>
              </w:rPr>
              <w:t>1</w:t>
            </w:r>
          </w:p>
        </w:tc>
        <w:tc>
          <w:tcPr>
            <w:tcW w:w="2835" w:type="dxa"/>
            <w:tcBorders>
              <w:top w:val="single" w:color="auto" w:sz="4" w:space="0"/>
              <w:left w:val="single" w:color="auto" w:sz="4" w:space="0"/>
              <w:bottom w:val="single" w:color="auto" w:sz="4" w:space="0"/>
              <w:right w:val="single" w:color="auto" w:sz="4" w:space="0"/>
            </w:tcBorders>
            <w:vAlign w:val="center"/>
          </w:tcPr>
          <w:p w14:paraId="5EFC227E">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对地图编制、出版、展示、登载和互联网地图服务的行政检查</w:t>
            </w:r>
          </w:p>
        </w:tc>
        <w:tc>
          <w:tcPr>
            <w:tcW w:w="1984" w:type="dxa"/>
            <w:tcBorders>
              <w:top w:val="single" w:color="auto" w:sz="4" w:space="0"/>
              <w:left w:val="single" w:color="auto" w:sz="4" w:space="0"/>
              <w:bottom w:val="single" w:color="auto" w:sz="4" w:space="0"/>
              <w:right w:val="single" w:color="auto" w:sz="4" w:space="0"/>
            </w:tcBorders>
            <w:vAlign w:val="center"/>
          </w:tcPr>
          <w:p w14:paraId="3D29DE34">
            <w:pPr>
              <w:autoSpaceDN w:val="0"/>
              <w:spacing w:after="0" w:line="360" w:lineRule="exact"/>
              <w:jc w:val="center"/>
              <w:rPr>
                <w:rFonts w:hint="eastAsia" w:ascii="仿宋_GB2312" w:eastAsia="仿宋_GB2312" w:cs="Arial"/>
                <w:sz w:val="28"/>
                <w:szCs w:val="28"/>
              </w:rPr>
            </w:pPr>
            <w:r>
              <w:rPr>
                <w:rFonts w:hint="eastAsia" w:ascii="仿宋_GB2312" w:eastAsia="仿宋_GB2312" w:cs="Arial"/>
                <w:sz w:val="28"/>
                <w:szCs w:val="28"/>
              </w:rPr>
              <w:t>地图审核通过件核查</w:t>
            </w:r>
          </w:p>
        </w:tc>
        <w:tc>
          <w:tcPr>
            <w:tcW w:w="7371" w:type="dxa"/>
            <w:tcBorders>
              <w:top w:val="single" w:color="auto" w:sz="4" w:space="0"/>
              <w:left w:val="single" w:color="auto" w:sz="4" w:space="0"/>
              <w:bottom w:val="single" w:color="auto" w:sz="4" w:space="0"/>
              <w:right w:val="single" w:color="auto" w:sz="4" w:space="0"/>
            </w:tcBorders>
            <w:vAlign w:val="center"/>
          </w:tcPr>
          <w:p w14:paraId="168AD887">
            <w:pPr>
              <w:autoSpaceDN w:val="0"/>
              <w:spacing w:after="0" w:line="360" w:lineRule="exact"/>
              <w:jc w:val="both"/>
              <w:rPr>
                <w:rFonts w:hint="eastAsia" w:ascii="仿宋_GB2312" w:eastAsia="仿宋_GB2312" w:cs="Times New Roman"/>
                <w:sz w:val="28"/>
                <w:szCs w:val="28"/>
              </w:rPr>
            </w:pPr>
            <w:r>
              <w:rPr>
                <w:rFonts w:hint="eastAsia" w:ascii="仿宋_GB2312" w:eastAsia="仿宋_GB2312" w:cs="Times New Roman"/>
                <w:sz w:val="28"/>
                <w:szCs w:val="28"/>
              </w:rPr>
              <w:t>1.上年度</w:t>
            </w:r>
            <w:r>
              <w:rPr>
                <w:rFonts w:ascii="仿宋_GB2312" w:eastAsia="仿宋_GB2312" w:cs="Times New Roman"/>
                <w:b w:val="0"/>
                <w:bCs w:val="0"/>
                <w:color w:val="000000" w:themeColor="text1"/>
                <w:sz w:val="28"/>
                <w:szCs w:val="28"/>
                <w14:textFill>
                  <w14:solidFill>
                    <w14:schemeClr w14:val="tx1"/>
                  </w14:solidFill>
                </w14:textFill>
              </w:rPr>
              <w:t>市</w:t>
            </w:r>
            <w:r>
              <w:rPr>
                <w:rFonts w:hint="eastAsia" w:ascii="仿宋_GB2312" w:eastAsia="仿宋_GB2312" w:cs="Times New Roman"/>
                <w:b w:val="0"/>
                <w:bCs w:val="0"/>
                <w:color w:val="000000" w:themeColor="text1"/>
                <w:sz w:val="28"/>
                <w:szCs w:val="28"/>
                <w14:textFill>
                  <w14:solidFill>
                    <w14:schemeClr w14:val="tx1"/>
                  </w14:solidFill>
                </w14:textFill>
              </w:rPr>
              <w:t>级</w:t>
            </w:r>
            <w:r>
              <w:rPr>
                <w:rFonts w:hint="eastAsia" w:ascii="仿宋_GB2312" w:eastAsia="仿宋_GB2312" w:cs="Times New Roman"/>
                <w:sz w:val="28"/>
                <w:szCs w:val="28"/>
              </w:rPr>
              <w:t>审核通过的地图，已向社会公开的，是否未按照审核要求修改。</w:t>
            </w:r>
          </w:p>
          <w:p w14:paraId="156C709D">
            <w:pPr>
              <w:autoSpaceDN w:val="0"/>
              <w:spacing w:after="0" w:line="360" w:lineRule="exact"/>
              <w:jc w:val="both"/>
              <w:rPr>
                <w:rFonts w:hint="eastAsia" w:ascii="仿宋_GB2312" w:eastAsia="仿宋_GB2312" w:cs="Times New Roman"/>
                <w:sz w:val="28"/>
                <w:szCs w:val="28"/>
              </w:rPr>
            </w:pPr>
            <w:r>
              <w:rPr>
                <w:rFonts w:hint="eastAsia" w:ascii="仿宋_GB2312" w:eastAsia="仿宋_GB2312" w:cs="Times New Roman"/>
                <w:sz w:val="28"/>
                <w:szCs w:val="28"/>
              </w:rPr>
              <w:t>2.是否弄虚作假、伪造申请材料骗取地图审核批准文件。</w:t>
            </w:r>
          </w:p>
          <w:p w14:paraId="5FA840A0">
            <w:pPr>
              <w:autoSpaceDN w:val="0"/>
              <w:spacing w:after="0" w:line="360" w:lineRule="exact"/>
              <w:jc w:val="both"/>
              <w:rPr>
                <w:rFonts w:hint="eastAsia" w:ascii="仿宋_GB2312" w:eastAsia="仿宋_GB2312" w:cs="Times New Roman"/>
                <w:sz w:val="28"/>
                <w:szCs w:val="28"/>
              </w:rPr>
            </w:pPr>
            <w:r>
              <w:rPr>
                <w:rFonts w:hint="eastAsia" w:ascii="仿宋_GB2312" w:eastAsia="仿宋_GB2312" w:cs="Times New Roman"/>
                <w:sz w:val="28"/>
                <w:szCs w:val="28"/>
              </w:rPr>
              <w:t>3.是否伪造、冒用地图审核批准文件和审图号。</w:t>
            </w:r>
          </w:p>
          <w:p w14:paraId="5DDE6C5E">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4.是否未在地图的适当位置显著标注审图号。</w:t>
            </w:r>
          </w:p>
        </w:tc>
      </w:tr>
    </w:tbl>
    <w:p w14:paraId="1B1D538D">
      <w:pPr>
        <w:spacing w:before="156" w:beforeLines="50" w:after="156" w:afterLines="50" w:line="560" w:lineRule="exact"/>
        <w:ind w:firstLine="640" w:firstLineChars="200"/>
        <w:jc w:val="both"/>
        <w:rPr>
          <w:rFonts w:hint="eastAsia" w:ascii="黑体" w:eastAsia="黑体"/>
          <w:sz w:val="32"/>
          <w:szCs w:val="32"/>
          <w:lang w:eastAsia="zh-CN"/>
        </w:rPr>
      </w:pPr>
    </w:p>
    <w:p w14:paraId="232E9284">
      <w:pPr>
        <w:spacing w:before="156" w:beforeLines="50" w:after="156" w:afterLines="50" w:line="560" w:lineRule="exact"/>
        <w:ind w:firstLine="640" w:firstLineChars="200"/>
        <w:jc w:val="both"/>
        <w:rPr>
          <w:rFonts w:hint="eastAsia" w:ascii="黑体" w:eastAsia="黑体"/>
          <w:sz w:val="32"/>
          <w:szCs w:val="32"/>
          <w:lang w:eastAsia="zh-CN"/>
        </w:rPr>
      </w:pPr>
    </w:p>
    <w:p w14:paraId="61F7AAFD">
      <w:pPr>
        <w:spacing w:before="156" w:beforeLines="50" w:after="156" w:afterLines="50" w:line="560" w:lineRule="exact"/>
        <w:ind w:firstLine="640" w:firstLineChars="200"/>
        <w:jc w:val="both"/>
        <w:rPr>
          <w:rFonts w:hint="eastAsia" w:ascii="黑体" w:eastAsia="黑体"/>
          <w:sz w:val="32"/>
          <w:szCs w:val="32"/>
          <w:lang w:eastAsia="zh-CN"/>
        </w:rPr>
      </w:pPr>
    </w:p>
    <w:p w14:paraId="46612669">
      <w:pPr>
        <w:spacing w:before="156" w:beforeLines="50" w:after="156" w:afterLines="50" w:line="560" w:lineRule="exact"/>
        <w:ind w:firstLine="640" w:firstLineChars="200"/>
        <w:jc w:val="both"/>
        <w:rPr>
          <w:rFonts w:ascii="黑体" w:eastAsia="黑体"/>
          <w:sz w:val="32"/>
          <w:szCs w:val="32"/>
        </w:rPr>
      </w:pPr>
      <w:bookmarkStart w:id="0" w:name="_GoBack"/>
      <w:bookmarkEnd w:id="0"/>
      <w:r>
        <w:rPr>
          <w:rFonts w:hint="eastAsia" w:ascii="黑体" w:eastAsia="黑体"/>
          <w:sz w:val="32"/>
          <w:szCs w:val="32"/>
          <w:lang w:eastAsia="zh-CN"/>
        </w:rPr>
        <w:t>五</w:t>
      </w:r>
      <w:r>
        <w:rPr>
          <w:rFonts w:hint="eastAsia" w:ascii="黑体" w:eastAsia="黑体"/>
          <w:sz w:val="32"/>
          <w:szCs w:val="32"/>
        </w:rPr>
        <w:t>、对地理信息安全的行政检查</w:t>
      </w:r>
    </w:p>
    <w:tbl>
      <w:tblPr>
        <w:tblStyle w:val="15"/>
        <w:tblW w:w="131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2835"/>
        <w:gridCol w:w="1984"/>
        <w:gridCol w:w="7376"/>
      </w:tblGrid>
      <w:tr w14:paraId="10D5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3003A84">
            <w:pPr>
              <w:autoSpaceDN w:val="0"/>
              <w:spacing w:after="0" w:line="360" w:lineRule="exact"/>
              <w:jc w:val="center"/>
              <w:rPr>
                <w:rFonts w:ascii="黑体" w:eastAsia="黑体" w:cs="Arial"/>
                <w:sz w:val="28"/>
                <w:szCs w:val="28"/>
              </w:rPr>
            </w:pPr>
            <w:r>
              <w:rPr>
                <w:rFonts w:hint="eastAsia" w:ascii="黑体" w:eastAsia="黑体" w:cs="Times New Roman"/>
                <w:sz w:val="28"/>
                <w:szCs w:val="28"/>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029C1261">
            <w:pPr>
              <w:autoSpaceDN w:val="0"/>
              <w:spacing w:after="0" w:line="360" w:lineRule="exact"/>
              <w:jc w:val="center"/>
              <w:rPr>
                <w:rFonts w:hint="eastAsia" w:ascii="黑体" w:eastAsia="黑体" w:cs="Arial"/>
                <w:sz w:val="28"/>
                <w:szCs w:val="28"/>
              </w:rPr>
            </w:pPr>
            <w:r>
              <w:rPr>
                <w:rFonts w:hint="eastAsia" w:ascii="黑体" w:eastAsia="黑体" w:cs="Arial"/>
                <w:sz w:val="28"/>
                <w:szCs w:val="2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76975E37">
            <w:pPr>
              <w:autoSpaceDN w:val="0"/>
              <w:spacing w:after="0" w:line="360" w:lineRule="exact"/>
              <w:jc w:val="center"/>
              <w:rPr>
                <w:rFonts w:hint="eastAsia" w:ascii="黑体" w:eastAsia="黑体" w:cs="Arial"/>
                <w:sz w:val="28"/>
                <w:szCs w:val="28"/>
              </w:rPr>
            </w:pPr>
            <w:r>
              <w:rPr>
                <w:rFonts w:hint="eastAsia" w:ascii="黑体" w:eastAsia="黑体" w:cs="Arial"/>
                <w:sz w:val="28"/>
                <w:szCs w:val="28"/>
              </w:rPr>
              <w:t>类别</w:t>
            </w:r>
          </w:p>
        </w:tc>
        <w:tc>
          <w:tcPr>
            <w:tcW w:w="7376" w:type="dxa"/>
            <w:tcBorders>
              <w:top w:val="single" w:color="auto" w:sz="4" w:space="0"/>
              <w:left w:val="single" w:color="auto" w:sz="4" w:space="0"/>
              <w:bottom w:val="single" w:color="auto" w:sz="4" w:space="0"/>
              <w:right w:val="single" w:color="auto" w:sz="4" w:space="0"/>
            </w:tcBorders>
            <w:vAlign w:val="center"/>
          </w:tcPr>
          <w:p w14:paraId="3A9D0CBA">
            <w:pPr>
              <w:autoSpaceDN w:val="0"/>
              <w:spacing w:after="0" w:line="360" w:lineRule="exact"/>
              <w:jc w:val="center"/>
              <w:rPr>
                <w:rFonts w:ascii="黑体" w:eastAsia="黑体" w:cs="Arial"/>
                <w:sz w:val="28"/>
                <w:szCs w:val="28"/>
              </w:rPr>
            </w:pPr>
            <w:r>
              <w:rPr>
                <w:rFonts w:hint="eastAsia" w:ascii="黑体" w:eastAsia="黑体" w:cs="Times New Roman"/>
                <w:sz w:val="28"/>
                <w:szCs w:val="28"/>
              </w:rPr>
              <w:t>标准</w:t>
            </w:r>
          </w:p>
        </w:tc>
      </w:tr>
      <w:tr w14:paraId="7C160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7"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7CBFD7E0">
            <w:pPr>
              <w:autoSpaceDN w:val="0"/>
              <w:spacing w:after="0" w:line="360" w:lineRule="exact"/>
              <w:jc w:val="center"/>
              <w:rPr>
                <w:rFonts w:hint="eastAsia" w:ascii="仿宋_GB2312" w:eastAsia="仿宋_GB2312" w:cs="Arial"/>
                <w:sz w:val="28"/>
                <w:szCs w:val="28"/>
              </w:rPr>
            </w:pPr>
            <w:r>
              <w:rPr>
                <w:rFonts w:hint="eastAsia" w:ascii="仿宋_GB2312" w:eastAsia="仿宋_GB2312" w:cs="Arial"/>
                <w:sz w:val="28"/>
                <w:szCs w:val="28"/>
              </w:rPr>
              <w:t>1</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6BAA2652">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地理信息安全管理</w:t>
            </w:r>
          </w:p>
        </w:tc>
        <w:tc>
          <w:tcPr>
            <w:tcW w:w="1984" w:type="dxa"/>
            <w:tcBorders>
              <w:top w:val="single" w:color="auto" w:sz="4" w:space="0"/>
              <w:left w:val="single" w:color="auto" w:sz="4" w:space="0"/>
              <w:bottom w:val="single" w:color="auto" w:sz="4" w:space="0"/>
              <w:right w:val="single" w:color="auto" w:sz="4" w:space="0"/>
            </w:tcBorders>
            <w:vAlign w:val="center"/>
          </w:tcPr>
          <w:p w14:paraId="6B9AE2EB">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1.档案管理</w:t>
            </w:r>
          </w:p>
        </w:tc>
        <w:tc>
          <w:tcPr>
            <w:tcW w:w="7376" w:type="dxa"/>
            <w:tcBorders>
              <w:top w:val="single" w:color="auto" w:sz="4" w:space="0"/>
              <w:left w:val="single" w:color="auto" w:sz="4" w:space="0"/>
              <w:bottom w:val="single" w:color="auto" w:sz="4" w:space="0"/>
              <w:right w:val="single" w:color="auto" w:sz="4" w:space="0"/>
            </w:tcBorders>
            <w:vAlign w:val="center"/>
          </w:tcPr>
          <w:p w14:paraId="6C297C3F">
            <w:pPr>
              <w:autoSpaceDN w:val="0"/>
              <w:spacing w:before="62" w:beforeLines="20"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1.单位领导重视地理信息成果资料档案管理工作，明确分管领导，并列入单位领导议事日程。</w:t>
            </w:r>
          </w:p>
          <w:p w14:paraId="55C9EF78">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2.单位有专门的档案管理机构，配备了与工作相适应而且能胜任工作的档案人员，档案实现了集中统一管理。</w:t>
            </w:r>
          </w:p>
          <w:p w14:paraId="7DB0C03B">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3.建立了地理信息成果资料档案建档、归档、保管、借用、查阅、复制、汇交、销毁等制度。</w:t>
            </w:r>
          </w:p>
          <w:p w14:paraId="49D0D9E2">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4.档案资料的保管库房应有房屋所有权证或房屋租赁协议等其他证明文件。</w:t>
            </w:r>
          </w:p>
          <w:p w14:paraId="0B048343">
            <w:pPr>
              <w:autoSpaceDN w:val="0"/>
              <w:spacing w:after="62" w:afterLines="20" w:line="360" w:lineRule="exact"/>
              <w:jc w:val="both"/>
              <w:rPr>
                <w:rFonts w:hint="eastAsia" w:ascii="仿宋_GB2312" w:eastAsia="仿宋_GB2312" w:cs="Arial"/>
                <w:sz w:val="28"/>
                <w:szCs w:val="28"/>
              </w:rPr>
            </w:pPr>
            <w:r>
              <w:rPr>
                <w:rFonts w:hint="eastAsia" w:ascii="仿宋_GB2312" w:eastAsia="仿宋_GB2312" w:cs="Times New Roman"/>
                <w:sz w:val="28"/>
                <w:szCs w:val="28"/>
              </w:rPr>
              <w:t>5.档案室具备防盗、防火、防光、防潮、防尘、防有害生物和污染等安全措施。</w:t>
            </w:r>
          </w:p>
        </w:tc>
      </w:tr>
      <w:tr w14:paraId="14CA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5"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7215D70"/>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150B30FD"/>
        </w:tc>
        <w:tc>
          <w:tcPr>
            <w:tcW w:w="1984" w:type="dxa"/>
            <w:tcBorders>
              <w:top w:val="single" w:color="auto" w:sz="4" w:space="0"/>
              <w:left w:val="single" w:color="auto" w:sz="4" w:space="0"/>
              <w:bottom w:val="single" w:color="auto" w:sz="4" w:space="0"/>
              <w:right w:val="single" w:color="auto" w:sz="4" w:space="0"/>
            </w:tcBorders>
            <w:vAlign w:val="center"/>
          </w:tcPr>
          <w:p w14:paraId="229F54BD">
            <w:pPr>
              <w:autoSpaceDN w:val="0"/>
              <w:spacing w:after="0" w:line="360" w:lineRule="exact"/>
              <w:jc w:val="both"/>
              <w:rPr>
                <w:rFonts w:ascii="等线" w:eastAsia="等线" w:cs="Arial"/>
                <w:sz w:val="28"/>
                <w:szCs w:val="28"/>
              </w:rPr>
            </w:pPr>
            <w:r>
              <w:rPr>
                <w:rFonts w:hint="eastAsia" w:ascii="仿宋_GB2312" w:eastAsia="仿宋_GB2312" w:cs="Times New Roman"/>
                <w:sz w:val="28"/>
                <w:szCs w:val="28"/>
              </w:rPr>
              <w:t>2.</w:t>
            </w:r>
            <w:r>
              <w:rPr>
                <w:rFonts w:hint="eastAsia" w:ascii="Times New Roman" w:hAnsi="Times New Roman" w:eastAsia="仿宋_GB2312" w:cs="Times New Roman"/>
                <w:sz w:val="28"/>
                <w:szCs w:val="28"/>
              </w:rPr>
              <w:t>保密管理</w:t>
            </w:r>
          </w:p>
        </w:tc>
        <w:tc>
          <w:tcPr>
            <w:tcW w:w="7376" w:type="dxa"/>
            <w:tcBorders>
              <w:top w:val="single" w:color="auto" w:sz="4" w:space="0"/>
              <w:left w:val="single" w:color="auto" w:sz="4" w:space="0"/>
              <w:bottom w:val="single" w:color="auto" w:sz="4" w:space="0"/>
              <w:right w:val="single" w:color="auto" w:sz="4" w:space="0"/>
            </w:tcBorders>
            <w:vAlign w:val="center"/>
          </w:tcPr>
          <w:p w14:paraId="415F9A37">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1.</w:t>
            </w:r>
            <w:r>
              <w:rPr>
                <w:rFonts w:hint="eastAsia" w:ascii="Times New Roman" w:hAnsi="Times New Roman" w:eastAsia="仿宋_GB2312" w:cs="Times New Roman"/>
                <w:sz w:val="28"/>
                <w:szCs w:val="28"/>
              </w:rPr>
              <w:t>单位领导重视保密工作，成立保密工作领导机构，确定本单位保密要害部门、部位。</w:t>
            </w:r>
          </w:p>
          <w:p w14:paraId="24F3D760">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2.</w:t>
            </w:r>
            <w:r>
              <w:rPr>
                <w:rFonts w:hint="eastAsia" w:ascii="Times New Roman" w:hAnsi="Times New Roman" w:eastAsia="仿宋_GB2312" w:cs="Times New Roman"/>
                <w:sz w:val="28"/>
                <w:szCs w:val="28"/>
              </w:rPr>
              <w:t>建立了地理信息成果资料登记与定密、复制与保存、借阅与传递、加工与利用、延期使用与销毁、涉密人员管理、涉密测绘地理信息系统和设施设备管理、保密要害部门（部位）管理、安全保密自查、保密培训和宣传等制度体系。</w:t>
            </w:r>
          </w:p>
          <w:p w14:paraId="513C3251">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3.</w:t>
            </w:r>
            <w:r>
              <w:rPr>
                <w:rFonts w:hint="eastAsia" w:ascii="Times New Roman" w:hAnsi="Times New Roman" w:eastAsia="仿宋_GB2312" w:cs="Times New Roman"/>
                <w:sz w:val="28"/>
                <w:szCs w:val="28"/>
              </w:rPr>
              <w:t>与涉密人员及时签订保密责任书。</w:t>
            </w:r>
          </w:p>
          <w:p w14:paraId="491E0618">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4.</w:t>
            </w:r>
            <w:r>
              <w:rPr>
                <w:rFonts w:hint="eastAsia" w:ascii="Times New Roman" w:hAnsi="Times New Roman" w:eastAsia="仿宋_GB2312" w:cs="Times New Roman"/>
                <w:sz w:val="28"/>
                <w:szCs w:val="28"/>
              </w:rPr>
              <w:t>保密人员经过培训上岗，有明确的保密岗位职责。</w:t>
            </w:r>
          </w:p>
          <w:p w14:paraId="3BCDE9B3">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5.</w:t>
            </w:r>
            <w:r>
              <w:rPr>
                <w:rFonts w:hint="eastAsia" w:ascii="Times New Roman" w:hAnsi="Times New Roman" w:eastAsia="仿宋_GB2312" w:cs="Times New Roman"/>
                <w:sz w:val="28"/>
                <w:szCs w:val="28"/>
              </w:rPr>
              <w:t>每年至少开展二次保密教育活动且有记录，并积极参加自然资源、保密主管部门组织的保密培训。</w:t>
            </w:r>
          </w:p>
          <w:p w14:paraId="0A0EEB9B">
            <w:pPr>
              <w:autoSpaceDN w:val="0"/>
              <w:spacing w:after="0" w:line="360" w:lineRule="exact"/>
              <w:jc w:val="both"/>
              <w:rPr>
                <w:rFonts w:hint="eastAsia" w:ascii="等线" w:hAnsi="等线" w:eastAsia="仿宋_GB2312" w:cs="Arial"/>
                <w:sz w:val="28"/>
                <w:szCs w:val="28"/>
              </w:rPr>
            </w:pPr>
            <w:r>
              <w:rPr>
                <w:rFonts w:hint="eastAsia" w:ascii="仿宋_GB2312" w:eastAsia="仿宋_GB2312" w:cs="Times New Roman"/>
                <w:sz w:val="28"/>
                <w:szCs w:val="28"/>
              </w:rPr>
              <w:t>6.</w:t>
            </w:r>
            <w:r>
              <w:rPr>
                <w:rFonts w:hint="eastAsia" w:ascii="Times New Roman" w:hAnsi="Times New Roman" w:eastAsia="仿宋_GB2312" w:cs="Times New Roman"/>
                <w:sz w:val="28"/>
                <w:szCs w:val="28"/>
              </w:rPr>
              <w:t>每季度至少开展一次保密自查且有自查记录。</w:t>
            </w:r>
          </w:p>
        </w:tc>
      </w:tr>
    </w:tbl>
    <w:p w14:paraId="42771949">
      <w:pPr>
        <w:spacing w:before="156" w:beforeLines="50" w:after="156" w:afterLines="50" w:line="560" w:lineRule="exact"/>
        <w:ind w:firstLine="640" w:firstLineChars="200"/>
        <w:jc w:val="both"/>
        <w:rPr>
          <w:rFonts w:ascii="黑体" w:eastAsia="黑体"/>
          <w:sz w:val="32"/>
          <w:szCs w:val="32"/>
        </w:rPr>
      </w:pPr>
    </w:p>
    <w:p w14:paraId="724E2BE9">
      <w:pPr>
        <w:spacing w:before="156" w:beforeLines="50" w:after="156" w:afterLines="50" w:line="560" w:lineRule="exact"/>
        <w:ind w:firstLine="640" w:firstLineChars="200"/>
        <w:jc w:val="both"/>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、对基础测绘成果使用情况的行政检查</w:t>
      </w:r>
    </w:p>
    <w:tbl>
      <w:tblPr>
        <w:tblStyle w:val="15"/>
        <w:tblW w:w="13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
        <w:gridCol w:w="2831"/>
        <w:gridCol w:w="1984"/>
        <w:gridCol w:w="7398"/>
      </w:tblGrid>
      <w:tr w14:paraId="4644D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13F8E3C">
            <w:pPr>
              <w:autoSpaceDN w:val="0"/>
              <w:spacing w:after="0" w:line="360" w:lineRule="exact"/>
              <w:jc w:val="center"/>
              <w:rPr>
                <w:rFonts w:hint="eastAsia" w:ascii="黑体" w:eastAsia="黑体" w:cs="Arial"/>
                <w:sz w:val="28"/>
                <w:szCs w:val="28"/>
              </w:rPr>
            </w:pPr>
            <w:r>
              <w:rPr>
                <w:rFonts w:hint="eastAsia" w:ascii="黑体" w:eastAsia="黑体" w:cs="Arial"/>
                <w:sz w:val="28"/>
                <w:szCs w:val="28"/>
              </w:rPr>
              <w:t>序号</w:t>
            </w:r>
          </w:p>
        </w:tc>
        <w:tc>
          <w:tcPr>
            <w:tcW w:w="2831" w:type="dxa"/>
            <w:tcBorders>
              <w:top w:val="single" w:color="auto" w:sz="4" w:space="0"/>
              <w:left w:val="single" w:color="auto" w:sz="4" w:space="0"/>
              <w:bottom w:val="single" w:color="auto" w:sz="4" w:space="0"/>
              <w:right w:val="single" w:color="auto" w:sz="4" w:space="0"/>
            </w:tcBorders>
            <w:vAlign w:val="center"/>
          </w:tcPr>
          <w:p w14:paraId="68CC4C03">
            <w:pPr>
              <w:autoSpaceDN w:val="0"/>
              <w:spacing w:after="0" w:line="360" w:lineRule="exact"/>
              <w:jc w:val="center"/>
              <w:rPr>
                <w:rFonts w:hint="eastAsia" w:ascii="黑体" w:eastAsia="黑体" w:cs="Arial"/>
                <w:sz w:val="28"/>
                <w:szCs w:val="28"/>
              </w:rPr>
            </w:pPr>
            <w:r>
              <w:rPr>
                <w:rFonts w:hint="eastAsia" w:ascii="黑体" w:eastAsia="黑体" w:cs="Times New Roman"/>
                <w:sz w:val="28"/>
                <w:szCs w:val="2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786737A6">
            <w:pPr>
              <w:autoSpaceDN w:val="0"/>
              <w:spacing w:after="0" w:line="360" w:lineRule="exact"/>
              <w:jc w:val="center"/>
              <w:rPr>
                <w:rFonts w:hint="eastAsia" w:ascii="黑体" w:eastAsia="黑体" w:cs="Arial"/>
                <w:sz w:val="28"/>
                <w:szCs w:val="28"/>
              </w:rPr>
            </w:pPr>
            <w:r>
              <w:rPr>
                <w:rFonts w:hint="eastAsia" w:ascii="黑体" w:eastAsia="黑体" w:cs="Arial"/>
                <w:sz w:val="28"/>
                <w:szCs w:val="28"/>
              </w:rPr>
              <w:t>类别</w:t>
            </w:r>
          </w:p>
        </w:tc>
        <w:tc>
          <w:tcPr>
            <w:tcW w:w="7398" w:type="dxa"/>
            <w:tcBorders>
              <w:top w:val="single" w:color="auto" w:sz="4" w:space="0"/>
              <w:left w:val="single" w:color="auto" w:sz="4" w:space="0"/>
              <w:bottom w:val="single" w:color="auto" w:sz="4" w:space="0"/>
              <w:right w:val="single" w:color="auto" w:sz="4" w:space="0"/>
            </w:tcBorders>
            <w:vAlign w:val="center"/>
          </w:tcPr>
          <w:p w14:paraId="03F43C7C">
            <w:pPr>
              <w:autoSpaceDN w:val="0"/>
              <w:spacing w:after="0" w:line="360" w:lineRule="exact"/>
              <w:jc w:val="center"/>
              <w:rPr>
                <w:rFonts w:hint="eastAsia" w:ascii="黑体" w:eastAsia="黑体" w:cs="Arial"/>
                <w:sz w:val="28"/>
                <w:szCs w:val="28"/>
              </w:rPr>
            </w:pPr>
            <w:r>
              <w:rPr>
                <w:rFonts w:hint="eastAsia" w:ascii="黑体" w:eastAsia="黑体" w:cs="Times New Roman"/>
                <w:sz w:val="28"/>
                <w:szCs w:val="28"/>
              </w:rPr>
              <w:t>标准</w:t>
            </w:r>
          </w:p>
        </w:tc>
      </w:tr>
      <w:tr w14:paraId="10CD3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14:paraId="361835B1">
            <w:pPr>
              <w:autoSpaceDN w:val="0"/>
              <w:spacing w:after="0" w:line="360" w:lineRule="exact"/>
              <w:jc w:val="center"/>
              <w:rPr>
                <w:rFonts w:hint="eastAsia" w:ascii="仿宋_GB2312" w:eastAsia="仿宋_GB2312" w:cs="Arial"/>
                <w:sz w:val="28"/>
                <w:szCs w:val="28"/>
              </w:rPr>
            </w:pPr>
            <w:r>
              <w:rPr>
                <w:rFonts w:hint="eastAsia" w:ascii="仿宋_GB2312" w:eastAsia="仿宋_GB2312" w:cs="Arial"/>
                <w:sz w:val="28"/>
                <w:szCs w:val="28"/>
              </w:rPr>
              <w:t>1</w:t>
            </w:r>
          </w:p>
        </w:tc>
        <w:tc>
          <w:tcPr>
            <w:tcW w:w="2831" w:type="dxa"/>
            <w:vMerge w:val="restart"/>
            <w:tcBorders>
              <w:top w:val="single" w:color="auto" w:sz="4" w:space="0"/>
              <w:left w:val="single" w:color="auto" w:sz="4" w:space="0"/>
              <w:bottom w:val="single" w:color="auto" w:sz="4" w:space="0"/>
              <w:right w:val="single" w:color="auto" w:sz="4" w:space="0"/>
            </w:tcBorders>
            <w:vAlign w:val="center"/>
          </w:tcPr>
          <w:p w14:paraId="00F75E52">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基础测绘成果使用情况</w:t>
            </w:r>
          </w:p>
        </w:tc>
        <w:tc>
          <w:tcPr>
            <w:tcW w:w="1984" w:type="dxa"/>
            <w:tcBorders>
              <w:top w:val="single" w:color="auto" w:sz="4" w:space="0"/>
              <w:left w:val="single" w:color="auto" w:sz="4" w:space="0"/>
              <w:bottom w:val="single" w:color="auto" w:sz="4" w:space="0"/>
              <w:right w:val="single" w:color="auto" w:sz="4" w:space="0"/>
            </w:tcBorders>
            <w:vAlign w:val="center"/>
          </w:tcPr>
          <w:p w14:paraId="43AD489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1.成果管理</w:t>
            </w:r>
          </w:p>
        </w:tc>
        <w:tc>
          <w:tcPr>
            <w:tcW w:w="7398" w:type="dxa"/>
            <w:tcBorders>
              <w:top w:val="single" w:color="auto" w:sz="4" w:space="0"/>
              <w:left w:val="single" w:color="auto" w:sz="4" w:space="0"/>
              <w:bottom w:val="single" w:color="auto" w:sz="4" w:space="0"/>
              <w:right w:val="single" w:color="auto" w:sz="4" w:space="0"/>
            </w:tcBorders>
            <w:vAlign w:val="center"/>
          </w:tcPr>
          <w:p w14:paraId="729C248F">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1.借用、查阅、复制及销毁地理信息成果资料手续齐全。</w:t>
            </w:r>
          </w:p>
          <w:p w14:paraId="782B7462">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2.地理信息成果资料来源明确，手续齐全、完整。</w:t>
            </w:r>
          </w:p>
        </w:tc>
      </w:tr>
      <w:tr w14:paraId="378CB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4"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650471FE"/>
        </w:tc>
        <w:tc>
          <w:tcPr>
            <w:tcW w:w="2831" w:type="dxa"/>
            <w:vMerge w:val="continue"/>
            <w:tcBorders>
              <w:top w:val="single" w:color="auto" w:sz="4" w:space="0"/>
              <w:left w:val="single" w:color="auto" w:sz="4" w:space="0"/>
              <w:bottom w:val="single" w:color="auto" w:sz="4" w:space="0"/>
              <w:right w:val="single" w:color="auto" w:sz="4" w:space="0"/>
            </w:tcBorders>
            <w:vAlign w:val="center"/>
          </w:tcPr>
          <w:p w14:paraId="7FA07681"/>
        </w:tc>
        <w:tc>
          <w:tcPr>
            <w:tcW w:w="1984" w:type="dxa"/>
            <w:tcBorders>
              <w:top w:val="single" w:color="auto" w:sz="4" w:space="0"/>
              <w:left w:val="single" w:color="auto" w:sz="4" w:space="0"/>
              <w:bottom w:val="single" w:color="auto" w:sz="4" w:space="0"/>
              <w:right w:val="single" w:color="auto" w:sz="4" w:space="0"/>
            </w:tcBorders>
            <w:vAlign w:val="center"/>
          </w:tcPr>
          <w:p w14:paraId="29A2A8A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2.涉密设备管理</w:t>
            </w:r>
          </w:p>
        </w:tc>
        <w:tc>
          <w:tcPr>
            <w:tcW w:w="7398" w:type="dxa"/>
            <w:tcBorders>
              <w:top w:val="single" w:color="auto" w:sz="4" w:space="0"/>
              <w:left w:val="single" w:color="auto" w:sz="4" w:space="0"/>
              <w:bottom w:val="single" w:color="auto" w:sz="4" w:space="0"/>
              <w:right w:val="single" w:color="auto" w:sz="4" w:space="0"/>
            </w:tcBorders>
            <w:vAlign w:val="center"/>
          </w:tcPr>
          <w:p w14:paraId="589AC57C">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1、涉密计算机、移动存储设备等涉密介质按照“统一购买 统一标识 严格登记 集中管理”原则管理，统一编号，有标识、有台账.</w:t>
            </w:r>
          </w:p>
          <w:p w14:paraId="1F87EE82">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2、涉密计算机责任人明确，用户密码管理符合规定。</w:t>
            </w:r>
          </w:p>
          <w:p w14:paraId="666EC779">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3、安装了杀毒软件和内网安全管理软件。</w:t>
            </w:r>
          </w:p>
          <w:p w14:paraId="05115D63">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4、非涉密计算机无涉密信息。</w:t>
            </w:r>
          </w:p>
          <w:p w14:paraId="3EEBAB1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5、处理涉密数据的复印机、传真机、电话机、打印机、文字处理机等设备在本单位保密管理部门登记备案。</w:t>
            </w:r>
          </w:p>
        </w:tc>
      </w:tr>
      <w:tr w14:paraId="15B8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4"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4E9B442E"/>
        </w:tc>
        <w:tc>
          <w:tcPr>
            <w:tcW w:w="2831" w:type="dxa"/>
            <w:vMerge w:val="continue"/>
            <w:tcBorders>
              <w:top w:val="single" w:color="auto" w:sz="4" w:space="0"/>
              <w:left w:val="single" w:color="auto" w:sz="4" w:space="0"/>
              <w:bottom w:val="single" w:color="auto" w:sz="4" w:space="0"/>
              <w:right w:val="single" w:color="auto" w:sz="4" w:space="0"/>
            </w:tcBorders>
            <w:vAlign w:val="center"/>
          </w:tcPr>
          <w:p w14:paraId="30E08C19"/>
        </w:tc>
        <w:tc>
          <w:tcPr>
            <w:tcW w:w="1984" w:type="dxa"/>
            <w:tcBorders>
              <w:top w:val="single" w:color="auto" w:sz="4" w:space="0"/>
              <w:left w:val="single" w:color="auto" w:sz="4" w:space="0"/>
              <w:bottom w:val="single" w:color="auto" w:sz="4" w:space="0"/>
              <w:right w:val="single" w:color="auto" w:sz="4" w:space="0"/>
            </w:tcBorders>
            <w:vAlign w:val="center"/>
          </w:tcPr>
          <w:p w14:paraId="4FC8B2F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3、涉密信息系统和涉密网络管理</w:t>
            </w:r>
          </w:p>
        </w:tc>
        <w:tc>
          <w:tcPr>
            <w:tcW w:w="7398" w:type="dxa"/>
            <w:tcBorders>
              <w:top w:val="single" w:color="auto" w:sz="4" w:space="0"/>
              <w:left w:val="single" w:color="auto" w:sz="4" w:space="0"/>
              <w:bottom w:val="single" w:color="auto" w:sz="4" w:space="0"/>
              <w:right w:val="single" w:color="auto" w:sz="4" w:space="0"/>
            </w:tcBorders>
            <w:vAlign w:val="center"/>
          </w:tcPr>
          <w:p w14:paraId="1DC409A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1、涉密信息系统实行物理隔离，未直接或间接连接互联网及其他任何网络。</w:t>
            </w:r>
          </w:p>
          <w:p w14:paraId="167C006D">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2、涉密网络设施防盗、防火、防潮、防尘等措施完善，运行环境安全、整洁。</w:t>
            </w:r>
          </w:p>
        </w:tc>
      </w:tr>
      <w:tr w14:paraId="478B1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992" w:type="dxa"/>
            <w:vMerge w:val="restart"/>
            <w:tcBorders>
              <w:top w:val="single" w:color="auto" w:sz="4" w:space="0"/>
              <w:left w:val="single" w:color="auto" w:sz="4" w:space="0"/>
              <w:right w:val="single" w:color="auto" w:sz="4" w:space="0"/>
            </w:tcBorders>
            <w:shd w:val="clear" w:color="auto" w:fill="auto"/>
            <w:vAlign w:val="center"/>
          </w:tcPr>
          <w:p w14:paraId="7DF433D1">
            <w:pPr>
              <w:autoSpaceDN w:val="0"/>
              <w:spacing w:after="0" w:line="360" w:lineRule="exact"/>
              <w:jc w:val="center"/>
              <w:rPr>
                <w:rFonts w:hint="eastAsia" w:ascii="仿宋_GB2312" w:eastAsia="仿宋_GB2312" w:cs="Arial"/>
                <w:sz w:val="28"/>
                <w:szCs w:val="28"/>
              </w:rPr>
            </w:pPr>
            <w:r>
              <w:rPr>
                <w:rFonts w:hint="eastAsia" w:ascii="仿宋_GB2312" w:eastAsia="仿宋_GB2312" w:cs="Arial"/>
                <w:sz w:val="28"/>
                <w:szCs w:val="28"/>
              </w:rPr>
              <w:t>2</w:t>
            </w:r>
          </w:p>
        </w:tc>
        <w:tc>
          <w:tcPr>
            <w:tcW w:w="2831" w:type="dxa"/>
            <w:vMerge w:val="restart"/>
            <w:tcBorders>
              <w:top w:val="single" w:color="auto" w:sz="4" w:space="0"/>
              <w:left w:val="single" w:color="auto" w:sz="4" w:space="0"/>
              <w:right w:val="single" w:color="auto" w:sz="4" w:space="0"/>
            </w:tcBorders>
            <w:shd w:val="clear" w:color="auto" w:fill="auto"/>
            <w:vAlign w:val="center"/>
          </w:tcPr>
          <w:p w14:paraId="006A03A3">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成果汇交情况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FC20494">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1.汇交情况</w:t>
            </w:r>
          </w:p>
        </w:tc>
        <w:tc>
          <w:tcPr>
            <w:tcW w:w="7398" w:type="dxa"/>
            <w:tcBorders>
              <w:top w:val="single" w:color="auto" w:sz="4" w:space="0"/>
              <w:left w:val="single" w:color="auto" w:sz="4" w:space="0"/>
              <w:bottom w:val="single" w:color="auto" w:sz="4" w:space="0"/>
              <w:right w:val="single" w:color="auto" w:sz="4" w:space="0"/>
            </w:tcBorders>
            <w:shd w:val="clear" w:color="auto" w:fill="auto"/>
            <w:vAlign w:val="center"/>
          </w:tcPr>
          <w:p w14:paraId="72B6282C">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1、测绘成果应汇交项目与实际汇交项目一致。</w:t>
            </w:r>
          </w:p>
          <w:p w14:paraId="51033F1B">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2、汇交清单完整全面。</w:t>
            </w:r>
          </w:p>
        </w:tc>
      </w:tr>
      <w:tr w14:paraId="6DD86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992" w:type="dxa"/>
            <w:vMerge w:val="continue"/>
            <w:tcBorders>
              <w:left w:val="single" w:color="auto" w:sz="4" w:space="0"/>
              <w:bottom w:val="single" w:color="auto" w:sz="4" w:space="0"/>
              <w:right w:val="single" w:color="auto" w:sz="4" w:space="0"/>
            </w:tcBorders>
            <w:vAlign w:val="center"/>
          </w:tcPr>
          <w:p w14:paraId="3D7E944E"/>
        </w:tc>
        <w:tc>
          <w:tcPr>
            <w:tcW w:w="2831" w:type="dxa"/>
            <w:vMerge w:val="continue"/>
            <w:tcBorders>
              <w:left w:val="single" w:color="auto" w:sz="4" w:space="0"/>
              <w:bottom w:val="single" w:color="auto" w:sz="4" w:space="0"/>
              <w:right w:val="single" w:color="auto" w:sz="4" w:space="0"/>
            </w:tcBorders>
            <w:vAlign w:val="center"/>
          </w:tcPr>
          <w:p w14:paraId="74E990DE"/>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805F2F9">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2.汇交凭证</w:t>
            </w:r>
          </w:p>
        </w:tc>
        <w:tc>
          <w:tcPr>
            <w:tcW w:w="7398" w:type="dxa"/>
            <w:tcBorders>
              <w:top w:val="single" w:color="auto" w:sz="4" w:space="0"/>
              <w:left w:val="single" w:color="auto" w:sz="4" w:space="0"/>
              <w:bottom w:val="single" w:color="auto" w:sz="4" w:space="0"/>
              <w:right w:val="single" w:color="auto" w:sz="4" w:space="0"/>
            </w:tcBorders>
            <w:shd w:val="clear" w:color="auto" w:fill="auto"/>
            <w:vAlign w:val="center"/>
          </w:tcPr>
          <w:p w14:paraId="3F7565BE">
            <w:pPr>
              <w:autoSpaceDN w:val="0"/>
              <w:spacing w:after="0" w:line="360" w:lineRule="exact"/>
              <w:jc w:val="both"/>
              <w:rPr>
                <w:rFonts w:hint="eastAsia" w:ascii="仿宋_GB2312" w:eastAsia="仿宋_GB2312" w:cs="Arial"/>
                <w:sz w:val="28"/>
                <w:szCs w:val="28"/>
              </w:rPr>
            </w:pPr>
            <w:r>
              <w:rPr>
                <w:rFonts w:hint="eastAsia" w:ascii="仿宋_GB2312" w:eastAsia="仿宋_GB2312" w:cs="Times New Roman"/>
                <w:sz w:val="28"/>
                <w:szCs w:val="28"/>
              </w:rPr>
              <w:t>3、汇交凭证齐全，保存完好。</w:t>
            </w:r>
          </w:p>
        </w:tc>
      </w:tr>
    </w:tbl>
    <w:p w14:paraId="51E9CC30">
      <w:pPr>
        <w:spacing w:after="0" w:line="560" w:lineRule="exact"/>
        <w:rPr>
          <w:rFonts w:hint="eastAsia" w:ascii="仿宋_GB2312" w:eastAsia="仿宋_GB2312"/>
          <w:sz w:val="32"/>
          <w:szCs w:val="32"/>
        </w:rPr>
      </w:pPr>
    </w:p>
    <w:sectPr>
      <w:footerReference r:id="rId5" w:type="default"/>
      <w:pgSz w:w="16838" w:h="11906" w:orient="landscape"/>
      <w:pgMar w:top="1588" w:right="1474" w:bottom="147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0000000000000000000"/>
    <w:charset w:val="86"/>
    <w:family w:val="script"/>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FE9A">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2DFFD78A"/>
    <w:rsid w:val="6CD66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Times New Roman" w:eastAsia="等线" w:cs="Arial"/>
      <w:kern w:val="2"/>
      <w:sz w:val="22"/>
      <w:szCs w:val="24"/>
      <w:lang w:val="en-US" w:eastAsia="zh-CN" w:bidi="ar-SA"/>
    </w:rPr>
  </w:style>
  <w:style w:type="paragraph" w:styleId="2">
    <w:name w:val="heading 1"/>
    <w:basedOn w:val="1"/>
    <w:next w:val="1"/>
    <w:qFormat/>
    <w:uiPriority w:val="0"/>
    <w:pPr>
      <w:keepNext/>
      <w:keepLines/>
      <w:widowControl w:val="0"/>
      <w:spacing w:before="480" w:after="80"/>
      <w:outlineLvl w:val="0"/>
    </w:pPr>
    <w:rPr>
      <w:rFonts w:ascii="等线 Light" w:eastAsia="等线 Light" w:cs="Times New Roman"/>
      <w:color w:val="104862"/>
      <w:sz w:val="48"/>
      <w:szCs w:val="48"/>
    </w:rPr>
  </w:style>
  <w:style w:type="paragraph" w:styleId="3">
    <w:name w:val="heading 2"/>
    <w:basedOn w:val="1"/>
    <w:next w:val="1"/>
    <w:qFormat/>
    <w:uiPriority w:val="0"/>
    <w:pPr>
      <w:keepNext/>
      <w:keepLines/>
      <w:widowControl w:val="0"/>
      <w:spacing w:before="160" w:after="80"/>
      <w:outlineLvl w:val="1"/>
    </w:pPr>
    <w:rPr>
      <w:rFonts w:ascii="等线 Light" w:eastAsia="等线 Light" w:cs="Times New Roman"/>
      <w:color w:val="104862"/>
      <w:sz w:val="40"/>
      <w:szCs w:val="40"/>
    </w:rPr>
  </w:style>
  <w:style w:type="paragraph" w:styleId="4">
    <w:name w:val="heading 3"/>
    <w:basedOn w:val="1"/>
    <w:next w:val="1"/>
    <w:qFormat/>
    <w:uiPriority w:val="0"/>
    <w:pPr>
      <w:keepNext/>
      <w:keepLines/>
      <w:widowControl w:val="0"/>
      <w:spacing w:before="160" w:after="80"/>
      <w:outlineLvl w:val="2"/>
    </w:pPr>
    <w:rPr>
      <w:rFonts w:ascii="等线 Light" w:eastAsia="等线 Light" w:cs="Times New Roman"/>
      <w:color w:val="104862"/>
      <w:sz w:val="32"/>
      <w:szCs w:val="32"/>
    </w:rPr>
  </w:style>
  <w:style w:type="paragraph" w:styleId="5">
    <w:name w:val="heading 4"/>
    <w:basedOn w:val="1"/>
    <w:next w:val="1"/>
    <w:qFormat/>
    <w:uiPriority w:val="0"/>
    <w:pPr>
      <w:keepNext/>
      <w:keepLines/>
      <w:widowControl w:val="0"/>
      <w:spacing w:before="80" w:after="40"/>
      <w:outlineLvl w:val="3"/>
    </w:pPr>
    <w:rPr>
      <w:rFonts w:cs="Times New Roman"/>
      <w:color w:val="104862"/>
      <w:sz w:val="28"/>
      <w:szCs w:val="28"/>
    </w:rPr>
  </w:style>
  <w:style w:type="paragraph" w:styleId="6">
    <w:name w:val="heading 5"/>
    <w:basedOn w:val="1"/>
    <w:next w:val="1"/>
    <w:qFormat/>
    <w:uiPriority w:val="0"/>
    <w:pPr>
      <w:keepNext/>
      <w:keepLines/>
      <w:widowControl w:val="0"/>
      <w:spacing w:before="80" w:after="40"/>
      <w:outlineLvl w:val="4"/>
    </w:pPr>
    <w:rPr>
      <w:rFonts w:cs="Times New Roman"/>
      <w:color w:val="104862"/>
      <w:sz w:val="24"/>
    </w:rPr>
  </w:style>
  <w:style w:type="paragraph" w:styleId="7">
    <w:name w:val="heading 6"/>
    <w:basedOn w:val="1"/>
    <w:next w:val="1"/>
    <w:qFormat/>
    <w:uiPriority w:val="0"/>
    <w:pPr>
      <w:keepNext/>
      <w:keepLines/>
      <w:widowControl w:val="0"/>
      <w:spacing w:before="40" w:after="0"/>
      <w:outlineLvl w:val="5"/>
    </w:pPr>
    <w:rPr>
      <w:rFonts w:cs="Times New Roman"/>
      <w:b/>
      <w:bCs/>
      <w:color w:val="104862"/>
    </w:rPr>
  </w:style>
  <w:style w:type="paragraph" w:styleId="8">
    <w:name w:val="heading 7"/>
    <w:basedOn w:val="1"/>
    <w:next w:val="1"/>
    <w:qFormat/>
    <w:uiPriority w:val="0"/>
    <w:pPr>
      <w:keepNext/>
      <w:keepLines/>
      <w:widowControl w:val="0"/>
      <w:spacing w:before="40" w:after="0"/>
      <w:outlineLvl w:val="6"/>
    </w:pPr>
    <w:rPr>
      <w:rFonts w:cs="Times New Roman"/>
      <w:b/>
      <w:bCs/>
      <w:color w:val="595959"/>
    </w:rPr>
  </w:style>
  <w:style w:type="paragraph" w:styleId="9">
    <w:name w:val="heading 8"/>
    <w:basedOn w:val="1"/>
    <w:next w:val="1"/>
    <w:qFormat/>
    <w:uiPriority w:val="0"/>
    <w:pPr>
      <w:keepNext/>
      <w:keepLines/>
      <w:widowControl w:val="0"/>
      <w:spacing w:after="0"/>
      <w:outlineLvl w:val="7"/>
    </w:pPr>
    <w:rPr>
      <w:rFonts w:cs="Times New Roman"/>
      <w:color w:val="595959"/>
    </w:rPr>
  </w:style>
  <w:style w:type="paragraph" w:styleId="10">
    <w:name w:val="heading 9"/>
    <w:basedOn w:val="1"/>
    <w:next w:val="1"/>
    <w:qFormat/>
    <w:uiPriority w:val="0"/>
    <w:pPr>
      <w:keepNext/>
      <w:keepLines/>
      <w:widowControl w:val="0"/>
      <w:spacing w:after="0"/>
      <w:outlineLvl w:val="8"/>
    </w:pPr>
    <w:rPr>
      <w:rFonts w:eastAsia="等线 Light" w:cs="Times New Roman"/>
      <w:color w:val="595959"/>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spacing w:line="240" w:lineRule="auto"/>
    </w:pPr>
    <w:rPr>
      <w:sz w:val="18"/>
      <w:szCs w:val="18"/>
    </w:rPr>
  </w:style>
  <w:style w:type="paragraph" w:styleId="12">
    <w:name w:val="header"/>
    <w:basedOn w:val="1"/>
    <w:qFormat/>
    <w:uiPriority w:val="0"/>
    <w:pPr>
      <w:tabs>
        <w:tab w:val="center" w:pos="4153"/>
        <w:tab w:val="right" w:pos="8306"/>
      </w:tabs>
      <w:snapToGrid w:val="0"/>
      <w:spacing w:line="240" w:lineRule="auto"/>
      <w:jc w:val="center"/>
    </w:pPr>
    <w:rPr>
      <w:sz w:val="18"/>
      <w:szCs w:val="18"/>
    </w:rPr>
  </w:style>
  <w:style w:type="paragraph" w:styleId="13">
    <w:name w:val="Subtitle"/>
    <w:basedOn w:val="1"/>
    <w:next w:val="1"/>
    <w:qFormat/>
    <w:uiPriority w:val="0"/>
    <w:pPr>
      <w:jc w:val="center"/>
    </w:pPr>
    <w:rPr>
      <w:rFonts w:ascii="等线 Light" w:eastAsia="等线 Light" w:cs="Times New Roman"/>
      <w:color w:val="595959"/>
      <w:spacing w:val="15"/>
      <w:sz w:val="28"/>
      <w:szCs w:val="28"/>
    </w:rPr>
  </w:style>
  <w:style w:type="paragraph" w:styleId="14">
    <w:name w:val="Title"/>
    <w:basedOn w:val="1"/>
    <w:next w:val="1"/>
    <w:qFormat/>
    <w:uiPriority w:val="0"/>
    <w:pPr>
      <w:spacing w:after="80" w:line="240" w:lineRule="auto"/>
      <w:contextualSpacing/>
      <w:jc w:val="center"/>
    </w:pPr>
    <w:rPr>
      <w:rFonts w:ascii="等线 Light" w:eastAsia="等线 Light" w:cs="Times New Roman"/>
      <w:spacing w:val="-10"/>
      <w:kern w:val="28"/>
      <w:sz w:val="56"/>
      <w:szCs w:val="56"/>
    </w:rPr>
  </w:style>
  <w:style w:type="paragraph" w:styleId="17">
    <w:name w:val="Quote"/>
    <w:basedOn w:val="1"/>
    <w:next w:val="1"/>
    <w:qFormat/>
    <w:uiPriority w:val="0"/>
    <w:pPr>
      <w:spacing w:before="160"/>
      <w:jc w:val="center"/>
    </w:pPr>
    <w:rPr>
      <w:i/>
      <w:iCs/>
      <w:color w:val="404040"/>
    </w:rPr>
  </w:style>
  <w:style w:type="paragraph" w:styleId="18">
    <w:name w:val="List Paragraph"/>
    <w:basedOn w:val="1"/>
    <w:qFormat/>
    <w:uiPriority w:val="0"/>
    <w:pPr>
      <w:ind w:left="720"/>
      <w:contextualSpacing/>
    </w:pPr>
  </w:style>
  <w:style w:type="character" w:customStyle="1" w:styleId="19">
    <w:name w:val="Intense Emphasis"/>
    <w:basedOn w:val="16"/>
    <w:qFormat/>
    <w:uiPriority w:val="0"/>
    <w:rPr>
      <w:i/>
      <w:iCs/>
      <w:color w:val="104862"/>
    </w:rPr>
  </w:style>
  <w:style w:type="paragraph" w:styleId="20">
    <w:name w:val="Intense Quote"/>
    <w:basedOn w:val="1"/>
    <w:next w:val="1"/>
    <w:qFormat/>
    <w:uiPriority w:val="0"/>
    <w:pPr>
      <w:pBdr>
        <w:top w:val="single" w:color="0F4761" w:sz="4" w:space="10"/>
        <w:bottom w:val="single" w:color="0F4761" w:sz="4" w:space="10"/>
      </w:pBdr>
      <w:spacing w:before="360" w:after="360"/>
      <w:ind w:left="864" w:right="864"/>
      <w:jc w:val="center"/>
    </w:pPr>
    <w:rPr>
      <w:i/>
      <w:iCs/>
      <w:color w:val="104862"/>
    </w:rPr>
  </w:style>
  <w:style w:type="character" w:customStyle="1" w:styleId="21">
    <w:name w:val="Intense Reference"/>
    <w:basedOn w:val="16"/>
    <w:qFormat/>
    <w:uiPriority w:val="0"/>
    <w:rPr>
      <w:b/>
      <w:bCs/>
      <w:smallCaps/>
      <w:color w:val="104862"/>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235</Words>
  <Characters>235</Characters>
  <Lines>248</Lines>
  <Paragraphs>125</Paragraphs>
  <TotalTime>185</TotalTime>
  <ScaleCrop>false</ScaleCrop>
  <LinksUpToDate>false</LinksUpToDate>
  <CharactersWithSpaces>296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2025-03-03T05:49:00Z</dcterms:created>
  <dc:creator>志达 刘</dc:creator>
  <cp:lastModifiedBy>努力向前</cp:lastModifiedBy>
  <dcterms:modified xsi:type="dcterms:W3CDTF">2025-10-29T10:15:34Z</dcterms:modified>
  <cp:revision>496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7E9C986E017D4BFC88AD4D27D30F9905_13</vt:lpwstr>
  </property>
  <property fmtid="{D5CDD505-2E9C-101B-9397-08002B2CF9AE}" pid="4" name="KSOTemplateDocerSaveRecord">
    <vt:lpwstr>eyJoZGlkIjoiOTQxZDRjMWFlOTdiOGY4YjVmMzAzMmE0NGFkNTU4NmMiLCJ1c2VySWQiOiIxMTUwMzQ4MTY1In0=</vt:lpwstr>
  </property>
</Properties>
</file>