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xlsx" ContentType="application/vnd.openxmlformats-officedocument.spreadsheetml.sheet"/>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line="600" w:lineRule="auto"/>
        <w:jc w:val="both"/>
        <w:rPr>
          <w:rFonts w:ascii="楷体_GB2312" w:eastAsia="楷体_GB2312" w:cs="楷体_GB2312" w:hint="eastAsia"/>
          <w:color w:val="000000"/>
          <w:sz w:val="40"/>
          <w:szCs w:val="40"/>
        </w:rPr>
      </w:pPr>
      <w:r>
        <w:drawing>
          <wp:anchor distT="0" distB="0" distL="114300" distR="114300" simplePos="0" relativeHeight="2" behindDoc="1" locked="0" layoutInCell="1" hidden="0" allowOverlap="1">
            <wp:simplePos x="0" y="0"/>
            <wp:positionH relativeFrom="column">
              <wp:posOffset>-1692910</wp:posOffset>
            </wp:positionH>
            <wp:positionV relativeFrom="paragraph">
              <wp:posOffset>-1319530</wp:posOffset>
            </wp:positionV>
            <wp:extent cx="8646795" cy="11107419"/>
            <wp:effectExtent l="0" t="0" r="0" b="0"/>
            <wp:wrapNone/>
            <wp:docPr id="1" name="图片 15" descr="7b0a202020202266696c746572223a202230220a7d0a"/>
            <wp:cNvGraphicFramePr>
              <a:graphicFrameLocks noChangeAspect="1"/>
            </wp:cNvGraphicFramePr>
            <a:graphic>
              <a:graphicData uri="http://schemas.openxmlformats.org/drawingml/2006/picture">
                <pic:pic>
                  <pic:nvPicPr>
                    <pic:cNvPr id="3" name="图片 15 3"/>
                    <pic:cNvPicPr/>
                  </pic:nvPicPr>
                  <pic:blipFill>
                    <a:blip r:embed="rId3">
                      <a:lum bright="5999"/>
                    </a:blip>
                    <a:srcRect t="559" b="3637"/>
                    <a:stretch>
                      <a:fillRect/>
                    </a:stretch>
                  </pic:blipFill>
                  <pic:spPr>
                    <a:xfrm rot="0">
                      <a:off x="0" y="0"/>
                      <a:ext cx="8646795" cy="11107419"/>
                    </a:xfrm>
                    <a:prstGeom prst="rect"/>
                    <a:noFill/>
                    <a:ln w="9525" cmpd="sng" cap="flat">
                      <a:noFill/>
                      <a:prstDash val="solid"/>
                      <a:miter/>
                    </a:ln>
                  </pic:spPr>
                </pic:pic>
              </a:graphicData>
            </a:graphic>
          </wp:anchor>
        </w:drawing>
      </w:r>
      <w:r>
        <mc:AlternateContent>
          <mc:Choice Requires="wps">
            <w:drawing>
              <wp:anchor distT="0" distB="0" distL="114298" distR="114298" simplePos="0" relativeHeight="31" behindDoc="0" locked="0" layoutInCell="1" hidden="0" allowOverlap="1">
                <wp:simplePos x="0" y="0"/>
                <wp:positionH relativeFrom="column">
                  <wp:posOffset>-546735</wp:posOffset>
                </wp:positionH>
                <wp:positionV relativeFrom="paragraph">
                  <wp:posOffset>253365</wp:posOffset>
                </wp:positionV>
                <wp:extent cx="6431279" cy="2862579"/>
                <wp:effectExtent l="0" t="0" r="0" b="0"/>
                <wp:wrapNone/>
                <wp:docPr id="4" name="文本框 1" descr="7b0a2020202022776f7264617274223a20227b5c2269645c223a32353030323136362c5c227469645c223a5c225c227d220a7d0a"/>
                <wp:cNvGraphicFramePr>
                  <a:graphicFrameLocks noChangeAspect="0"/>
                </wp:cNvGraphicFramePr>
                <a:graphic>
                  <a:graphicData uri="http://schemas.microsoft.com/office/word/2010/wordprocessingShape">
                    <wps:wsp>
                      <wps:cNvSpPr/>
                      <wps:spPr>
                        <a:xfrm rot="0">
                          <a:off x="0" y="0"/>
                          <a:ext cx="6431279" cy="2862579"/>
                        </a:xfrm>
                        <a:prstGeom prst="rect"/>
                        <a:noFill/>
                        <a:ln w="9525" cmpd="sng" cap="flat">
                          <a:noFill/>
                          <a:prstDash val="solid"/>
                          <a:round/>
                        </a:ln>
                      </wps:spPr>
                      <wps:txbx id="5">
                        <w:txbxContent>
                          <w:p>
                            <w:pPr>
                              <w:spacing w:line="1400" w:lineRule="exact"/>
                              <w:jc w:val="left"/>
                              <w:rPr>
                                <w:rFonts w:ascii="方正小标宋_GBK" w:eastAsia="方正小标宋_GBK" w:cs="方正小标宋_GBK"/>
                                <w:b/>
                                <w:bCs/>
                                <w:color w:val="0D0D0D"/>
                                <w:sz w:val="112"/>
                                <w:szCs w:val="112"/>
                              </w:rPr>
                            </w:pPr>
                            <w:r>
                              <w:rPr>
                                <w:rFonts w:ascii="方正小标宋_GBK" w:eastAsia="方正小标宋_GBK" w:cs="方正小标宋_GBK" w:hint="eastAsia"/>
                                <w:b/>
                                <w:bCs/>
                                <w:color w:val="0D0D0D"/>
                                <w:sz w:val="112"/>
                                <w:szCs w:val="112"/>
                              </w:rPr>
                              <w:t>2024年度</w:t>
                            </w:r>
                          </w:p>
                          <w:p>
                            <w:pPr>
                              <w:spacing w:line="1400" w:lineRule="exact"/>
                              <w:jc w:val="left"/>
                              <w:rPr>
                                <w:rFonts w:ascii="方正小标宋_GBK" w:eastAsia="方正小标宋_GBK" w:cs="方正小标宋_GBK"/>
                                <w:b/>
                                <w:bCs/>
                                <w:color w:val="0D0D0D"/>
                                <w:sz w:val="112"/>
                                <w:szCs w:val="112"/>
                              </w:rPr>
                            </w:pPr>
                            <w:r>
                              <w:rPr>
                                <w:rFonts w:ascii="方正小标宋_GBK" w:eastAsia="方正小标宋_GBK" w:cs="方正小标宋_GBK" w:hint="eastAsia"/>
                                <w:b/>
                                <w:bCs/>
                                <w:color w:val="0D0D0D"/>
                                <w:sz w:val="112"/>
                                <w:szCs w:val="112"/>
                              </w:rPr>
                              <w:t>部门决算公开文本</w:t>
                            </w:r>
                          </w:p>
                        </w:txbxContent>
                      </wps:txbx>
                      <wps:bodyPr vert="horz" wrap="square" lIns="91440" tIns="45720" rIns="91440" bIns="45720" anchor="t" anchorCtr="0" upright="1">
                        <a:noAutofit/>
                      </wps:bodyPr>
                    </wps:wsp>
                  </a:graphicData>
                </a:graphic>
              </wp:anchor>
            </w:drawing>
          </mc:Choice>
          <mc:Fallback>
            <w:pict>
              <v:rect type="#_x0000_t1" id="文本框 1 6" o:spid="_x0000_s6" filled="f" stroked="f" alt="7b0a2020202022776f7264617274223a20227b5c2269645c223a32353030323136362c5c227469645c223a5c225c227d220a7d0a" style="position:absolute;margin-left:-43.05pt;margin-top:19.95pt;width:506.4pt;height:225.4pt;z-index:31;mso-position-horizontal:absolute;mso-position-vertical:absolute;mso-wrap-distance-left:8.999863pt;mso-wrap-distance-right:8.999863pt;mso-wrap-style:square;">
                <v:stroke color="#000000"/>
                <v:textbox id="855" inset="2.54mm,1.27mm,2.54mm,1.27mm" o:insetmode="custom" style="layout-flow:horizontal;v-text-anchor:top;">
                  <w:txbxContent>
                    <w:p>
                      <w:pPr>
                        <w:spacing w:line="1400" w:lineRule="exact"/>
                        <w:jc w:val="left"/>
                        <w:rPr>
                          <w:rFonts w:ascii="方正小标宋_GBK" w:eastAsia="方正小标宋_GBK" w:cs="方正小标宋_GBK"/>
                          <w:b/>
                          <w:bCs/>
                          <w:color w:val="0D0D0D"/>
                          <w:sz w:val="112"/>
                          <w:szCs w:val="112"/>
                        </w:rPr>
                      </w:pPr>
                      <w:r>
                        <w:rPr>
                          <w:rFonts w:ascii="方正小标宋_GBK" w:eastAsia="方正小标宋_GBK" w:cs="方正小标宋_GBK" w:hint="eastAsia"/>
                          <w:b/>
                          <w:bCs/>
                          <w:color w:val="0D0D0D"/>
                          <w:sz w:val="112"/>
                          <w:szCs w:val="112"/>
                        </w:rPr>
                        <w:t>2024年度</w:t>
                      </w:r>
                    </w:p>
                    <w:p>
                      <w:pPr>
                        <w:spacing w:line="1400" w:lineRule="exact"/>
                        <w:jc w:val="left"/>
                        <w:rPr>
                          <w:rFonts w:ascii="方正小标宋_GBK" w:eastAsia="方正小标宋_GBK" w:cs="方正小标宋_GBK"/>
                          <w:b/>
                          <w:bCs/>
                          <w:color w:val="0D0D0D"/>
                          <w:sz w:val="112"/>
                          <w:szCs w:val="112"/>
                        </w:rPr>
                      </w:pPr>
                      <w:r>
                        <w:rPr>
                          <w:rFonts w:ascii="方正小标宋_GBK" w:eastAsia="方正小标宋_GBK" w:cs="方正小标宋_GBK" w:hint="eastAsia"/>
                          <w:b/>
                          <w:bCs/>
                          <w:color w:val="0D0D0D"/>
                          <w:sz w:val="112"/>
                          <w:szCs w:val="112"/>
                        </w:rPr>
                        <w:t>部门决算公开文本</w:t>
                      </w:r>
                    </w:p>
                  </w:txbxContent>
                </v:textbox>
              </v:rect>
            </w:pict>
          </mc:Fallback>
        </mc:AlternateContent>
      </w: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both"/>
        <w:rPr>
          <w:rFonts w:ascii="楷体_GB2312" w:eastAsia="楷体_GB2312" w:cs="楷体_GB2312" w:hint="eastAsia"/>
          <w:color w:val="000000"/>
          <w:sz w:val="40"/>
          <w:szCs w:val="40"/>
        </w:rPr>
      </w:pPr>
    </w:p>
    <w:p>
      <w:pPr>
        <w:spacing w:line="600" w:lineRule="auto"/>
        <w:jc w:val="left"/>
        <w:rPr>
          <w:rFonts w:ascii="楷体_GB2312" w:eastAsia="楷体_GB2312" w:cs="楷体_GB2312" w:hint="eastAsia"/>
          <w:color w:val="000000"/>
          <w:sz w:val="40"/>
          <w:szCs w:val="40"/>
          <w:lang w:val="en-US" w:eastAsia="zh-CN"/>
        </w:rPr>
      </w:pPr>
      <w:r>
        <w:rPr>
          <w:rFonts w:ascii="黑体" w:eastAsia="黑体" w:cs="黑体" w:hint="eastAsia"/>
          <w:color w:val="000000"/>
          <w:sz w:val="40"/>
          <w:szCs w:val="40"/>
        </w:rPr>
        <w:t>预算代码</w:t>
      </w:r>
      <w:r>
        <w:rPr>
          <w:rFonts w:ascii="楷体_GB2312" w:eastAsia="楷体_GB2312" w:cs="楷体_GB2312" w:hint="eastAsia"/>
          <w:color w:val="000000"/>
          <w:sz w:val="40"/>
          <w:szCs w:val="40"/>
        </w:rPr>
        <w:t>：</w:t>
      </w:r>
      <w:r>
        <w:rPr>
          <w:rFonts w:ascii="楷体_GB2312" w:eastAsia="楷体_GB2312" w:cs="楷体_GB2312" w:hint="eastAsia"/>
          <w:color w:val="000000"/>
          <w:sz w:val="40"/>
          <w:szCs w:val="40"/>
          <w:lang w:val="en-US" w:eastAsia="zh-CN"/>
        </w:rPr>
        <w:t>213</w:t>
      </w:r>
    </w:p>
    <w:p>
      <w:pPr>
        <w:spacing w:line="600" w:lineRule="auto"/>
        <w:jc w:val="left"/>
        <w:rPr>
          <w:rFonts w:ascii="楷体_GB2312" w:eastAsia="楷体_GB2312" w:cs="楷体_GB2312" w:hint="eastAsia"/>
          <w:color w:val="000000"/>
          <w:sz w:val="40"/>
          <w:szCs w:val="40"/>
        </w:rPr>
      </w:pPr>
      <w:r>
        <w:rPr>
          <w:rFonts w:ascii="黑体" w:eastAsia="黑体" w:cs="黑体" w:hint="eastAsia"/>
          <w:color w:val="000000"/>
          <w:sz w:val="40"/>
          <w:szCs w:val="40"/>
        </w:rPr>
        <w:t>单位名称</w:t>
      </w:r>
      <w:r>
        <w:rPr>
          <w:rFonts w:ascii="楷体_GB2312" w:eastAsia="楷体_GB2312" w:cs="楷体_GB2312" w:hint="eastAsia"/>
          <w:color w:val="000000"/>
          <w:sz w:val="40"/>
          <w:szCs w:val="40"/>
        </w:rPr>
        <w:t>：中国共产党涞源县委员会统战部</w:t>
      </w:r>
    </w:p>
    <w:p>
      <w:pPr>
        <w:spacing w:line="600" w:lineRule="auto"/>
        <w:jc w:val="both"/>
        <w:rPr>
          <w:rFonts w:ascii="楷体_GB2312" w:eastAsia="楷体_GB2312" w:cs="楷体_GB2312" w:hint="eastAsia"/>
          <w:color w:val="000000"/>
          <w:sz w:val="40"/>
          <w:szCs w:val="40"/>
        </w:rPr>
        <w:sectPr>
          <w:footerReference w:type="default" r:id="rId2"/>
          <w:pgSz w:w="11906" w:h="16838"/>
          <w:pgMar w:top="2098" w:right="1417" w:bottom="1871" w:left="1417" w:header="851" w:footer="992" w:gutter="0"/>
          <w:pgNumType w:start="1"/>
          <w:docGrid w:type="lines" w:linePitch="312" w:charSpace="0"/>
        </w:sectPr>
      </w:pPr>
    </w:p>
    <w:p>
      <w:pPr>
        <w:spacing w:line="600" w:lineRule="auto"/>
        <w:jc w:val="center"/>
        <w:rPr>
          <w:rFonts w:ascii="楷体_GB2312" w:eastAsia="楷体_GB2312" w:cs="楷体_GB2312" w:hint="eastAsia"/>
          <w:color w:val="000000"/>
          <w:sz w:val="40"/>
          <w:szCs w:val="40"/>
        </w:rPr>
      </w:pPr>
    </w:p>
    <w:p>
      <w:pPr>
        <w:rPr>
          <w:rFonts w:ascii="黑体" w:eastAsia="黑体" w:cs="黑体" w:hint="eastAsia"/>
          <w:b/>
          <w:bCs/>
          <w:sz w:val="32"/>
          <w:szCs w:val="36"/>
          <w:highlight w:val="yellow"/>
        </w:rPr>
      </w:pPr>
    </w:p>
    <w:p>
      <w:pPr>
        <w:widowControl/>
        <w:spacing w:before="0" w:beforeAutospacing="0" w:after="0" w:afterAutospacing="0" w:line="360" w:lineRule="auto"/>
        <w:ind w:leftChars="-100" w:left="-240" w:firstLine="0"/>
        <w:jc w:val="center"/>
        <w:rPr>
          <w:rFonts w:ascii="Times New Roman" w:eastAsia="方正小标宋_GBK" w:hAnsi="Times New Roman"/>
          <w:sz w:val="72"/>
          <w:szCs w:val="72"/>
        </w:rPr>
      </w:pPr>
      <w:r>
        <w:rPr>
          <w:rFonts w:ascii="Times New Roman" w:eastAsia="方正小标宋_GBK" w:hAnsi="Times New Roman"/>
          <w:b w:val="0"/>
          <w:sz w:val="72"/>
          <w:szCs w:val="72"/>
        </w:rPr>
        <w:t>中国共产党涞源县委员会统战部</w:t>
      </w:r>
    </w:p>
    <w:p>
      <w:pPr>
        <w:widowControl/>
        <w:spacing w:before="0" w:beforeAutospacing="0" w:after="0" w:afterAutospacing="0" w:line="360" w:lineRule="auto"/>
        <w:jc w:val="center"/>
        <w:rPr>
          <w:rFonts w:ascii="Times New Roman" w:eastAsia="方正小标宋_GBK" w:hAnsi="Times New Roman"/>
          <w:sz w:val="72"/>
          <w:szCs w:val="72"/>
        </w:rPr>
      </w:pPr>
      <w:r>
        <w:rPr>
          <w:rFonts w:ascii="Times New Roman" w:eastAsia="仿宋_GB2312" w:hAnsi="Times New Roman"/>
          <w:b w:val="0"/>
          <w:sz w:val="72"/>
          <w:szCs w:val="72"/>
        </w:rPr>
        <w:t>2024</w:t>
      </w:r>
      <w:r>
        <w:rPr>
          <w:rFonts w:ascii="Times New Roman" w:eastAsia="方正小标宋_GBK" w:hAnsi="Times New Roman"/>
          <w:b w:val="0"/>
          <w:sz w:val="72"/>
          <w:szCs w:val="72"/>
        </w:rPr>
        <w:t>年度部门决算公开文本</w:t>
      </w:r>
    </w:p>
    <w:p>
      <w:pPr>
        <w:spacing w:line="360" w:lineRule="auto"/>
        <w:jc w:val="center"/>
        <w:rPr>
          <w:rFonts w:ascii="黑体" w:eastAsia="黑体" w:cs="黑体"/>
          <w:sz w:val="56"/>
          <w:szCs w:val="72"/>
        </w:rPr>
      </w:pPr>
    </w:p>
    <w:p>
      <w:pPr>
        <w:spacing w:line="600" w:lineRule="auto"/>
        <w:jc w:val="center"/>
        <w:rPr>
          <w:rFonts w:ascii="黑体" w:eastAsia="黑体" w:cs="黑体"/>
          <w:sz w:val="56"/>
          <w:szCs w:val="72"/>
        </w:rPr>
      </w:pPr>
    </w:p>
    <w:p>
      <w:pPr>
        <w:spacing w:line="600" w:lineRule="auto"/>
        <w:jc w:val="center"/>
        <w:rPr>
          <w:rFonts w:ascii="黑体" w:eastAsia="黑体" w:cs="黑体"/>
          <w:sz w:val="56"/>
          <w:szCs w:val="72"/>
        </w:rPr>
      </w:pPr>
    </w:p>
    <w:p>
      <w:pPr>
        <w:spacing w:line="480" w:lineRule="auto"/>
        <w:jc w:val="both"/>
        <w:rPr>
          <w:rFonts w:ascii="黑体" w:eastAsia="黑体" w:cs="黑体"/>
          <w:sz w:val="56"/>
          <w:szCs w:val="72"/>
        </w:rPr>
      </w:pPr>
    </w:p>
    <w:p>
      <w:pPr>
        <w:spacing w:line="480" w:lineRule="auto"/>
        <w:jc w:val="both"/>
        <w:rPr>
          <w:rFonts w:ascii="黑体" w:eastAsia="黑体" w:cs="黑体"/>
          <w:sz w:val="56"/>
          <w:szCs w:val="72"/>
        </w:rPr>
      </w:pPr>
    </w:p>
    <w:p>
      <w:pPr>
        <w:widowControl/>
        <w:spacing w:before="0" w:beforeAutospacing="0" w:after="0" w:afterAutospacing="0" w:line="360" w:lineRule="auto"/>
        <w:jc w:val="center"/>
        <w:rPr>
          <w:rFonts w:ascii="Times New Roman" w:eastAsia="楷体_GB2312" w:hAnsi="Times New Roman"/>
          <w:b w:val="0"/>
          <w:sz w:val="44"/>
          <w:szCs w:val="44"/>
        </w:rPr>
      </w:pPr>
      <w:r>
        <w:rPr>
          <w:rFonts w:ascii="Times New Roman" w:eastAsia="楷体_GB2312" w:hAnsi="Times New Roman"/>
          <w:b w:val="0"/>
          <w:sz w:val="44"/>
          <w:szCs w:val="44"/>
        </w:rPr>
        <w:t>中国共产党涞源县委员会统战部</w:t>
      </w:r>
    </w:p>
    <w:p>
      <w:pPr>
        <w:widowControl/>
        <w:spacing w:before="0" w:beforeAutospacing="0" w:after="0" w:afterAutospacing="0" w:line="360" w:lineRule="auto"/>
        <w:jc w:val="center"/>
        <w:rPr>
          <w:rFonts w:ascii="Times New Roman" w:eastAsia="楷体_GB2312" w:hAnsi="Times New Roman"/>
          <w:sz w:val="44"/>
          <w:szCs w:val="44"/>
        </w:rPr>
      </w:pPr>
      <w:r>
        <w:rPr>
          <w:rFonts w:ascii="Times New Roman" w:eastAsia="楷体_GB2312" w:hAnsi="Times New Roman"/>
          <w:b w:val="0"/>
          <w:sz w:val="44"/>
          <w:szCs w:val="44"/>
        </w:rPr>
        <w:t>二〇二五年十一月</w:t>
      </w:r>
    </w:p>
    <w:p>
      <w:pPr>
        <w:snapToGrid w:val="0"/>
        <w:jc w:val="left"/>
        <w:rPr>
          <w:rFonts w:ascii="楷体_GB2312" w:eastAsia="楷体_GB2312" w:cs="楷体_GB2312" w:hint="eastAsia"/>
          <w:color w:val="000000"/>
          <w:kern w:val="0"/>
          <w:sz w:val="44"/>
          <w:szCs w:val="44"/>
          <w14:shadow w14:sx="100000" w14:sy="100000" w14:blurRad="38100" w14:dir="2700000" w14:dist="19050" w14:algn="tl">
            <w14:srgbClr w14:val="000000">
              <w14:alpha w14:val="60000"/>
            </w14:srgbClr>
          </w14:shadow>
          <w:lang w:val="en-US" w:eastAsia="zh-CN"/>
        </w:rPr>
      </w:pPr>
    </w:p>
    <w:p>
      <w:pPr>
        <w:snapToGrid w:val="0"/>
        <w:jc w:val="left"/>
        <w:rPr>
          <w:rFonts w:ascii="楷体_GB2312" w:eastAsia="楷体_GB2312" w:cs="楷体_GB2312"/>
          <w:color w:val="000000"/>
          <w:kern w:val="0"/>
          <w:sz w:val="44"/>
          <w:szCs w:val="44"/>
          <w14:shadow w14:sx="100000" w14:sy="100000" w14:blurRad="38100" w14:dir="2700000" w14:dist="19050" w14:algn="tl">
            <w14:srgbClr w14:val="000000">
              <w14:alpha w14:val="60000"/>
            </w14:srgbClr>
          </w14:shadow>
          <w:lang w:val="en-US" w:eastAsia="zh-CN"/>
        </w:rPr>
        <w:sectPr>
          <w:footerReference w:type="default" r:id="rId4"/>
          <w:pgSz w:w="11906" w:h="16838"/>
          <w:pgMar w:top="1531" w:right="1984" w:bottom="1531" w:left="2098" w:header="851" w:footer="992" w:gutter="0"/>
          <w:docGrid w:type="lines" w:linePitch="312" w:charSpace="0"/>
        </w:sectPr>
      </w:pPr>
    </w:p>
    <w:p>
      <w:pPr>
        <w:widowControl/>
        <w:spacing w:line="600" w:lineRule="exact"/>
        <w:jc w:val="left"/>
        <w:rPr>
          <w:rFonts w:ascii="黑体" w:eastAsia="黑体" w:cs="黑体"/>
          <w:bCs/>
          <w:sz w:val="32"/>
          <w:szCs w:val="32"/>
        </w:rPr>
      </w:pPr>
    </w:p>
    <w:p>
      <w:pPr>
        <w:tabs>
          <w:tab w:val="left" w:pos="2728"/>
        </w:tabs>
        <w:jc w:val="center"/>
        <w:rPr>
          <w:rFonts w:ascii="黑体" w:eastAsia="黑体" w:cs="Times New Roman"/>
          <w:sz w:val="48"/>
          <w:szCs w:val="48"/>
        </w:rPr>
      </w:pPr>
    </w:p>
    <w:p>
      <w:pPr>
        <w:widowControl/>
        <w:spacing w:before="0" w:beforeAutospacing="0" w:after="0" w:afterAutospacing="0" w:line="360" w:lineRule="auto"/>
        <w:jc w:val="center"/>
        <w:outlineLvl w:val="0"/>
        <w:rPr>
          <w:rFonts w:ascii="Times New Roman" w:eastAsia="黑体" w:hAnsi="Times New Roman"/>
          <w:sz w:val="44"/>
          <w:szCs w:val="44"/>
        </w:rPr>
      </w:pPr>
      <w:r>
        <w:rPr>
          <w:rFonts w:ascii="Times New Roman" w:eastAsia="黑体" w:hAnsi="Times New Roman"/>
          <w:b w:val="0"/>
          <w:sz w:val="44"/>
          <w:szCs w:val="44"/>
        </w:rPr>
        <w:t>目  录</w:t>
      </w:r>
    </w:p>
    <w:p>
      <w:pPr>
        <w:widowControl/>
        <w:spacing w:after="160" w:line="580" w:lineRule="exact"/>
        <w:ind w:firstLineChars="200" w:firstLine="640"/>
        <w:rPr>
          <w:rFonts w:ascii="Times New Roman" w:eastAsia="黑体" w:cs="Times New Roman" w:hAnsi="Times New Roman"/>
          <w:sz w:val="32"/>
          <w:szCs w:val="32"/>
        </w:rPr>
      </w:pPr>
    </w:p>
    <w:p>
      <w:pPr>
        <w:widowControl/>
        <w:spacing w:before="0" w:beforeAutospacing="0" w:after="0" w:afterAutospacing="0" w:line="360" w:lineRule="auto"/>
        <w:jc w:val="left"/>
        <w:rPr>
          <w:rFonts w:ascii="Times New Roman" w:eastAsia="黑体" w:hAnsi="Times New Roman"/>
          <w:sz w:val="32"/>
          <w:szCs w:val="32"/>
        </w:rPr>
      </w:pPr>
      <w:r>
        <w:rPr>
          <w:rFonts w:ascii="Times New Roman" w:eastAsia="黑体" w:hAnsi="Times New Roman"/>
          <w:b w:val="0"/>
          <w:sz w:val="32"/>
          <w:szCs w:val="32"/>
        </w:rPr>
        <w:t>第一部分</w:t>
      </w:r>
      <w:r>
        <w:rPr>
          <w:rFonts w:ascii="Times New Roman" w:eastAsia="黑体" w:hAnsi="Times New Roman" w:hint="eastAsia"/>
          <w:b w:val="0"/>
          <w:sz w:val="32"/>
          <w:szCs w:val="32"/>
          <w:lang w:val="en-US" w:eastAsia="zh-CN"/>
        </w:rPr>
        <w:t xml:space="preserve"> </w:t>
      </w:r>
      <w:r>
        <w:rPr>
          <w:rFonts w:ascii="Times New Roman" w:eastAsia="黑体" w:hAnsi="Times New Roman"/>
          <w:b w:val="0"/>
          <w:sz w:val="32"/>
          <w:szCs w:val="32"/>
        </w:rPr>
        <w:t>部门概况</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一、部门职责</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二、机构设置</w:t>
      </w:r>
    </w:p>
    <w:p>
      <w:pPr>
        <w:widowControl/>
        <w:spacing w:before="0" w:beforeAutospacing="0" w:after="0" w:afterAutospacing="0" w:line="360" w:lineRule="auto"/>
        <w:jc w:val="left"/>
        <w:outlineLvl w:val="0"/>
        <w:rPr>
          <w:rFonts w:ascii="Times New Roman" w:eastAsia="黑体" w:hAnsi="Times New Roman"/>
          <w:sz w:val="32"/>
          <w:szCs w:val="32"/>
        </w:rPr>
      </w:pPr>
      <w:r>
        <w:rPr>
          <w:rFonts w:ascii="Times New Roman" w:eastAsia="黑体" w:hAnsi="Times New Roman"/>
          <w:b w:val="0"/>
          <w:sz w:val="32"/>
          <w:szCs w:val="32"/>
        </w:rPr>
        <w:t>第二部分 2024年度部门决算报表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一、收入支出决算总表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二、收入决算表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三、支出决算表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四、财政拨款收入支出决算总表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五、一般公共预算财政拨款支出决算表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六、一般公共预算财政拨款基本支出决算明细表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七、政府性基金预算财政拨款收入支出决算表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八、国有资本经营预算财政拨款支出决算表</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九、财政拨款“三公”经费支出决算表</w:t>
      </w:r>
    </w:p>
    <w:p>
      <w:pPr>
        <w:widowControl/>
        <w:spacing w:before="0" w:beforeAutospacing="0" w:after="0" w:afterAutospacing="0" w:line="360" w:lineRule="auto"/>
        <w:jc w:val="left"/>
        <w:rPr>
          <w:rFonts w:ascii="Times New Roman" w:eastAsia="黑体" w:hAnsi="Times New Roman"/>
          <w:sz w:val="32"/>
          <w:szCs w:val="32"/>
        </w:rPr>
      </w:pPr>
      <w:r>
        <w:rPr>
          <w:rFonts w:ascii="Times New Roman" w:eastAsia="黑体" w:hAnsi="Times New Roman"/>
          <w:b w:val="0"/>
          <w:sz w:val="32"/>
          <w:szCs w:val="32"/>
        </w:rPr>
        <w:t>第三部分 2024年度部门决算情况说明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一、收入支出决算总体情况说明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二、收入决算情况说明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三、支出决算情况说明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四、财政拨款收入支出决算总体情况说明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五、财政拨款“三公”经费支出决算情况说明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六、机关运行经费支出说明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七、政府采购支出说明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八、国有资产占用情况说明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九、关于2024年度绩效评价情况的说明</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十、其他需要说明的情况</w:t>
      </w:r>
    </w:p>
    <w:p>
      <w:pPr>
        <w:widowControl/>
        <w:spacing w:before="0" w:beforeAutospacing="0" w:after="0" w:afterAutospacing="0" w:line="360" w:lineRule="auto"/>
        <w:jc w:val="left"/>
        <w:rPr>
          <w:rFonts w:ascii="Times New Roman" w:eastAsia="黑体" w:hAnsi="Times New Roman"/>
          <w:sz w:val="32"/>
          <w:szCs w:val="32"/>
        </w:rPr>
      </w:pPr>
      <w:r>
        <w:rPr>
          <w:rFonts w:ascii="Times New Roman" w:eastAsia="黑体" w:hAnsi="Times New Roman"/>
          <w:b w:val="0"/>
          <w:sz w:val="32"/>
          <w:szCs w:val="32"/>
        </w:rPr>
        <w:t>第四部分 名词解释</w:t>
      </w:r>
    </w:p>
    <w:p>
      <w:pPr>
        <w:widowControl/>
        <w:spacing w:after="160" w:line="580" w:lineRule="exact"/>
        <w:rPr>
          <w:rFonts w:ascii="Times New Roman" w:eastAsia="黑体" w:cs="Times New Roman" w:hAnsi="Times New Roman" w:hint="eastAsia"/>
          <w:sz w:val="32"/>
          <w:szCs w:val="32"/>
          <w:lang w:val="en-US" w:eastAsia="zh-CN"/>
        </w:rPr>
        <w:sectPr>
          <w:headerReference w:type="default" r:id="rId5"/>
          <w:headerReference w:type="first" r:id="rId6"/>
          <w:footerReference w:type="default" r:id="rId7"/>
          <w:footerReference w:type="first" r:id="rId8"/>
          <w:pgSz w:w="11906" w:h="16838"/>
          <w:pgMar w:top="1474" w:right="1531" w:bottom="1474" w:left="1531" w:header="851" w:footer="992" w:gutter="0"/>
          <w:titlePg/>
          <w:docGrid w:type="lines" w:linePitch="312" w:charSpace="0"/>
        </w:sectPr>
      </w:pPr>
    </w:p>
    <w:p>
      <w:pPr>
        <w:widowControl/>
        <w:spacing w:before="0" w:beforeAutospacing="0" w:after="0" w:afterAutospacing="0" w:line="360" w:lineRule="auto"/>
        <w:jc w:val="center"/>
        <w:outlineLvl w:val="0"/>
        <w:rPr>
          <w:rFonts w:ascii="Times New Roman" w:eastAsia="黑体" w:hAnsi="Times New Roman"/>
          <w:sz w:val="44"/>
          <w:szCs w:val="44"/>
        </w:rPr>
      </w:pPr>
      <w:r>
        <w:rPr>
          <w:rFonts w:ascii="Times New Roman" w:eastAsia="黑体" w:hAnsi="Times New Roman"/>
          <w:b w:val="0"/>
          <w:sz w:val="44"/>
          <w:szCs w:val="44"/>
        </w:rPr>
        <w:t>第一部分部门概况</w:t>
      </w:r>
    </w:p>
    <w:p>
      <w:pPr>
        <w:widowControl/>
        <w:spacing w:before="0" w:beforeAutospacing="0" w:after="0" w:afterAutospacing="0" w:line="360" w:lineRule="auto"/>
        <w:ind w:firstLineChars="200" w:firstLine="640"/>
        <w:jc w:val="left"/>
        <w:outlineLvl w:val="1"/>
        <w:rPr>
          <w:rFonts w:ascii="Times New Roman" w:eastAsia="黑体" w:hAnsi="Times New Roman"/>
          <w:b w:val="0"/>
          <w:sz w:val="32"/>
          <w:szCs w:val="32"/>
        </w:rPr>
      </w:pPr>
    </w:p>
    <w:p>
      <w:pPr>
        <w:widowControl/>
        <w:spacing w:before="0" w:beforeAutospacing="0" w:after="0" w:afterAutospacing="0" w:line="360" w:lineRule="auto"/>
        <w:ind w:firstLineChars="200" w:firstLine="640"/>
        <w:jc w:val="left"/>
        <w:outlineLvl w:val="1"/>
        <w:rPr>
          <w:rFonts w:ascii="Times New Roman" w:eastAsia="黑体" w:hAnsi="Times New Roman"/>
          <w:sz w:val="32"/>
          <w:szCs w:val="32"/>
        </w:rPr>
      </w:pPr>
      <w:r>
        <w:rPr>
          <w:rFonts w:ascii="Times New Roman" w:eastAsia="黑体" w:hAnsi="Times New Roman"/>
          <w:b w:val="0"/>
          <w:sz w:val="32"/>
          <w:szCs w:val="32"/>
        </w:rPr>
        <w:t>一、部门职责</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以习近平新时代中国特色社会主义思想为指导，围绕县委县政府中心工作，全方位服务全面深化改革。不断凝聚共识。加强形势政策宣传工作，引导广大统战成员加深对全面深化改革的认知认同，最大限度地把思想认识统一到中央、省、市关于全面深化改革的决策部署上来，营造改革良好氛围汇聚改革正能量。 1、积极献计出力。组织引导各民主党派、非公有经济人士、无党派人士发挥智力优势，聚焦改革重点，深入开展调研，积极建言献策。 2、抓好经济领域统战工作。支持非公有制经济健康发展。联合相关部门重点培育一批非公有制经济龙头企业;促进非公有制经济人士健康成长。深入开展以“信念、信任、信心、信誉”为主要内容的非公有制经济人士理想信念教育实践活动。 3、切实加强各领域统战工作。巩固发展社会主义民族关系。加强党外代表人士队伍建设。完善工作机制。推进统战办与组织办建立联席</w:t>
      </w:r>
      <w:bookmarkStart w:id="0" w:name="_GoBack"/>
      <w:bookmarkEnd w:id="0"/>
      <w:r>
        <w:rPr>
          <w:rFonts w:ascii="Times New Roman" w:eastAsia="仿宋_GB2312" w:hAnsi="Times New Roman"/>
          <w:b w:val="0"/>
          <w:sz w:val="32"/>
          <w:szCs w:val="32"/>
        </w:rPr>
        <w:t>会议制度，明确职能职责，规范工作程序，巩固发展社会主义民族关系。学习贯彻中央、省委民族工作会议精神，深入开展民族团结进步创建活动。维护宗教领域和谐稳定。认真贯彻党的宗教工作基本方针，依法管理宗教事务，加强宗教界代表人士队伍建设。深化港澳台海外统战工作。走访慰问我处港澳台海外人士亲属，关切他们的工作、学习、生活，维护他们的合法权益。</w:t>
      </w:r>
    </w:p>
    <w:p>
      <w:pPr>
        <w:widowControl/>
        <w:spacing w:before="0" w:beforeAutospacing="0" w:after="0" w:afterAutospacing="0" w:line="360" w:lineRule="auto"/>
        <w:ind w:firstLineChars="200" w:firstLine="640"/>
        <w:jc w:val="left"/>
        <w:outlineLvl w:val="1"/>
        <w:rPr>
          <w:rFonts w:ascii="Times New Roman" w:eastAsia="黑体" w:hAnsi="Times New Roman"/>
          <w:sz w:val="32"/>
          <w:szCs w:val="32"/>
        </w:rPr>
      </w:pPr>
      <w:r>
        <w:rPr>
          <w:rFonts w:ascii="Times New Roman" w:eastAsia="黑体" w:hAnsi="Times New Roman"/>
          <w:b w:val="0"/>
          <w:sz w:val="32"/>
          <w:szCs w:val="32"/>
        </w:rPr>
        <w:t>二、机构设置</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从决算编报单位构成看，纳入2024年度本部门决算汇编范围的独立核算单位（以下简称“单位”）共1个，具体情况如下：</w:t>
      </w:r>
    </w:p>
    <w:tbl>
      <w:tblPr>
        <w:tblpPr w:leftFromText="180" w:rightFromText="180" w:vertAnchor="text" w:horzAnchor="page" w:tblpXSpec="center" w:tblpY="10"/>
        <w:tblOverlap w:val="never"/>
        <w:tblW w:w="8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24"/>
        <w:gridCol w:w="3348"/>
        <w:gridCol w:w="2280"/>
        <w:gridCol w:w="2132"/>
      </w:tblGrid>
      <w:tr>
        <w:trPr>
          <w:trHeight w:val="811"/>
        </w:trPr>
        <w:tc>
          <w:tcPr>
            <w:tcW w:w="924" w:type="dxa"/>
            <w:tcBorders>
              <w:left w:val="single" w:sz="4" w:space="0" w:color="auto"/>
              <w:right w:val="single" w:sz="4" w:space="0" w:color="auto"/>
            </w:tcBorders>
            <w:vAlign w:val="center"/>
          </w:tcPr>
          <w:p>
            <w:pPr>
              <w:spacing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序号</w:t>
            </w:r>
          </w:p>
        </w:tc>
        <w:tc>
          <w:tcPr>
            <w:tcW w:w="3348" w:type="dxa"/>
            <w:tcBorders>
              <w:left w:val="single" w:sz="4" w:space="0" w:color="auto"/>
              <w:right w:val="single" w:sz="4" w:space="0" w:color="auto"/>
            </w:tcBorders>
            <w:vAlign w:val="center"/>
          </w:tcPr>
          <w:p>
            <w:pPr>
              <w:spacing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单位名称</w:t>
            </w:r>
          </w:p>
        </w:tc>
        <w:tc>
          <w:tcPr>
            <w:tcW w:w="2280" w:type="dxa"/>
            <w:tcBorders>
              <w:left w:val="single" w:sz="4" w:space="0" w:color="auto"/>
              <w:right w:val="single" w:sz="4" w:space="0" w:color="auto"/>
            </w:tcBorders>
            <w:vAlign w:val="center"/>
          </w:tcPr>
          <w:p>
            <w:pPr>
              <w:spacing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单位基本性质</w:t>
            </w:r>
          </w:p>
        </w:tc>
        <w:tc>
          <w:tcPr>
            <w:tcW w:w="2132" w:type="dxa"/>
            <w:tcBorders>
              <w:left w:val="single" w:sz="4" w:space="0" w:color="auto"/>
              <w:right w:val="single" w:sz="4" w:space="0" w:color="auto"/>
            </w:tcBorders>
            <w:vAlign w:val="center"/>
          </w:tcPr>
          <w:p>
            <w:pPr>
              <w:spacing w:line="560" w:lineRule="exact"/>
              <w:jc w:val="center"/>
              <w:rPr>
                <w:rFonts w:ascii="仿宋_GB2312" w:eastAsia="仿宋_GB2312" w:cs="ArialUnicodeMS"/>
                <w:b/>
                <w:bCs/>
                <w:kern w:val="0"/>
                <w:sz w:val="28"/>
                <w:szCs w:val="28"/>
              </w:rPr>
            </w:pPr>
            <w:r>
              <w:rPr>
                <w:rFonts w:ascii="仿宋_GB2312" w:eastAsia="仿宋_GB2312" w:cs="ArialUnicodeMS" w:hint="eastAsia"/>
                <w:b/>
                <w:bCs/>
                <w:kern w:val="0"/>
                <w:sz w:val="28"/>
                <w:szCs w:val="28"/>
              </w:rPr>
              <w:t>经费形式</w:t>
            </w:r>
          </w:p>
        </w:tc>
      </w:tr>
      <w:tr>
        <w:trPr>
          <w:trHeight w:val="596"/>
        </w:trPr>
        <w:tc>
          <w:tcPr>
            <w:tcW w:w="924" w:type="dxa"/>
            <w:tcBorders>
              <w:top w:val="single" w:sz="4" w:space="0" w:color="auto"/>
              <w:left w:val="single" w:sz="4" w:space="0" w:color="auto"/>
              <w:right w:val="single" w:sz="4" w:space="0" w:color="auto"/>
            </w:tcBorders>
          </w:tcPr>
          <w:p>
            <w:pPr>
              <w:spacing w:line="560" w:lineRule="exact"/>
              <w:jc w:val="center"/>
              <w:rPr>
                <w:rFonts w:ascii="仿宋_GB2312" w:eastAsia="仿宋_GB2312" w:cs="ArialUnicodeMS"/>
                <w:kern w:val="0"/>
                <w:sz w:val="28"/>
                <w:szCs w:val="28"/>
              </w:rPr>
            </w:pPr>
            <w:r>
              <w:rPr>
                <w:rFonts w:ascii="仿宋_GB2312" w:eastAsia="仿宋_GB2312" w:cs="ArialUnicodeMS" w:hint="eastAsia"/>
                <w:kern w:val="0"/>
                <w:sz w:val="28"/>
                <w:szCs w:val="28"/>
                <w:lang w:val="en-US" w:eastAsia="zh-CN"/>
              </w:rPr>
              <w:t>1</w:t>
            </w:r>
          </w:p>
        </w:tc>
        <w:tc>
          <w:tcPr>
            <w:tcW w:w="3348" w:type="dxa"/>
            <w:tcBorders>
              <w:top w:val="single" w:sz="4" w:space="0" w:color="auto"/>
              <w:left w:val="single" w:sz="4" w:space="0" w:color="auto"/>
              <w:right w:val="single" w:sz="4" w:space="0" w:color="auto"/>
            </w:tcBorders>
          </w:tcPr>
          <w:p>
            <w:pPr>
              <w:spacing w:line="560" w:lineRule="exact"/>
              <w:jc w:val="center"/>
              <w:rPr>
                <w:rFonts w:ascii="仿宋_GB2312" w:eastAsia="仿宋_GB2312" w:cs="ArialUnicodeMS"/>
                <w:kern w:val="0"/>
                <w:sz w:val="28"/>
                <w:szCs w:val="28"/>
                <w:lang w:val="en-US"/>
              </w:rPr>
            </w:pPr>
            <w:r>
              <w:rPr>
                <w:rFonts w:ascii="仿宋_GB2312" w:eastAsia="仿宋_GB2312" w:cs="ArialUnicodeMS" w:hint="eastAsia"/>
                <w:kern w:val="0"/>
                <w:sz w:val="28"/>
                <w:szCs w:val="28"/>
                <w:lang w:val="en-US" w:eastAsia="zh-CN"/>
              </w:rPr>
              <w:t>中国共产党涞源县委员会统战部（本级)</w:t>
            </w:r>
          </w:p>
        </w:tc>
        <w:tc>
          <w:tcPr>
            <w:tcW w:w="2280" w:type="dxa"/>
            <w:tcBorders>
              <w:top w:val="single" w:sz="4" w:space="0" w:color="auto"/>
              <w:left w:val="single" w:sz="4" w:space="0" w:color="auto"/>
              <w:right w:val="single" w:sz="4" w:space="0" w:color="auto"/>
            </w:tcBorders>
          </w:tcPr>
          <w:p>
            <w:pPr>
              <w:spacing w:line="560" w:lineRule="exact"/>
              <w:jc w:val="center"/>
              <w:rPr>
                <w:rFonts w:ascii="仿宋_GB2312" w:eastAsia="仿宋_GB2312" w:cs="ArialUnicodeMS" w:hint="eastAsia"/>
                <w:kern w:val="0"/>
                <w:sz w:val="28"/>
                <w:szCs w:val="28"/>
                <w:lang w:val="en-US" w:eastAsia="zh-CN"/>
              </w:rPr>
            </w:pPr>
            <w:r>
              <w:rPr>
                <w:rFonts w:ascii="仿宋_GB2312" w:eastAsia="仿宋_GB2312" w:cs="ArialUnicodeMS" w:hint="eastAsia"/>
                <w:kern w:val="0"/>
                <w:sz w:val="28"/>
                <w:szCs w:val="28"/>
                <w:lang w:val="en-US" w:eastAsia="zh-CN"/>
              </w:rPr>
              <w:t>行政单位</w:t>
            </w:r>
          </w:p>
        </w:tc>
        <w:tc>
          <w:tcPr>
            <w:tcW w:w="2132" w:type="dxa"/>
            <w:tcBorders>
              <w:top w:val="single" w:sz="4" w:space="0" w:color="auto"/>
              <w:left w:val="single" w:sz="4" w:space="0" w:color="auto"/>
              <w:right w:val="single" w:sz="4" w:space="0" w:color="auto"/>
            </w:tcBorders>
          </w:tcPr>
          <w:p>
            <w:pPr>
              <w:spacing w:line="560" w:lineRule="exact"/>
              <w:jc w:val="center"/>
              <w:rPr>
                <w:rFonts w:ascii="仿宋_GB2312" w:eastAsia="仿宋_GB2312" w:cs="ArialUnicodeMS"/>
                <w:kern w:val="0"/>
                <w:sz w:val="28"/>
                <w:szCs w:val="28"/>
              </w:rPr>
            </w:pPr>
            <w:r>
              <w:rPr>
                <w:rFonts w:ascii="仿宋_GB2312" w:eastAsia="仿宋_GB2312" w:cs="ArialUnicodeMS" w:hint="eastAsia"/>
                <w:kern w:val="0"/>
                <w:sz w:val="28"/>
                <w:szCs w:val="28"/>
                <w:lang w:val="en-US" w:eastAsia="zh-CN"/>
              </w:rPr>
              <w:t>全额</w:t>
            </w:r>
            <w:r>
              <w:rPr>
                <w:rFonts w:ascii="仿宋_GB2312" w:eastAsia="仿宋_GB2312" w:cs="ArialUnicodeMS"/>
                <w:kern w:val="0"/>
                <w:sz w:val="28"/>
                <w:szCs w:val="28"/>
                <w:lang w:val="en-US" w:eastAsia="zh-CN"/>
              </w:rPr>
              <w:t>财政拨款</w:t>
            </w:r>
          </w:p>
        </w:tc>
      </w:tr>
    </w:tbl>
    <w:p>
      <w:pPr>
        <w:widowControl/>
        <w:spacing w:before="0" w:beforeAutospacing="0" w:after="0" w:afterAutospacing="0" w:line="360" w:lineRule="auto"/>
        <w:ind w:firstLineChars="200" w:firstLine="640"/>
        <w:jc w:val="left"/>
        <w:rPr>
          <w:rFonts w:ascii="Times New Roman" w:eastAsia="仿宋_GB2312" w:cs="宋体" w:hAnsi="Times New Roman" w:hint="eastAsia"/>
          <w:b w:val="0"/>
          <w:sz w:val="32"/>
          <w:szCs w:val="32"/>
        </w:rPr>
      </w:pPr>
      <w:r>
        <w:rPr>
          <w:rFonts w:ascii="仿宋_GB2312" w:eastAsia="仿宋_GB2312" w:cs="仿宋_GB2312" w:hint="eastAsia"/>
          <w:b w:val="0"/>
          <w:sz w:val="32"/>
          <w:szCs w:val="32"/>
          <w:lang w:eastAsia="zh-CN"/>
        </w:rPr>
        <w:t>我部门无二级预算单位，因此，</w:t>
      </w:r>
      <w:r>
        <w:rPr>
          <w:rFonts w:ascii="仿宋_GB2312" w:eastAsia="仿宋_GB2312" w:cs="仿宋_GB2312" w:hint="eastAsia"/>
          <w:kern w:val="0"/>
          <w:sz w:val="32"/>
          <w:szCs w:val="32"/>
          <w:lang w:val="en-US" w:eastAsia="zh-CN"/>
        </w:rPr>
        <w:t>中国共产党涞源县委员会统战部</w:t>
      </w:r>
      <w:r>
        <w:rPr>
          <w:rFonts w:ascii="仿宋_GB2312" w:eastAsia="仿宋_GB2312" w:cs="仿宋_GB2312" w:hint="eastAsia"/>
          <w:b w:val="0"/>
          <w:sz w:val="32"/>
          <w:szCs w:val="32"/>
          <w:lang w:eastAsia="zh-CN"/>
        </w:rPr>
        <w:t>202</w:t>
      </w:r>
      <w:r>
        <w:rPr>
          <w:rFonts w:ascii="仿宋_GB2312" w:eastAsia="仿宋_GB2312" w:cs="仿宋_GB2312" w:hint="eastAsia"/>
          <w:b w:val="0"/>
          <w:sz w:val="32"/>
          <w:szCs w:val="32"/>
          <w:lang w:val="en-US" w:eastAsia="zh-CN"/>
        </w:rPr>
        <w:t>4</w:t>
      </w:r>
      <w:r>
        <w:rPr>
          <w:rFonts w:ascii="仿宋_GB2312" w:eastAsia="仿宋_GB2312" w:cs="仿宋_GB2312" w:hint="eastAsia"/>
          <w:b w:val="0"/>
          <w:sz w:val="32"/>
          <w:szCs w:val="32"/>
          <w:lang w:eastAsia="zh-CN"/>
        </w:rPr>
        <w:t>年度部门决算即</w:t>
      </w:r>
      <w:r>
        <w:rPr>
          <w:rFonts w:ascii="仿宋_GB2312" w:eastAsia="仿宋_GB2312" w:cs="仿宋_GB2312" w:hint="eastAsia"/>
          <w:kern w:val="0"/>
          <w:sz w:val="32"/>
          <w:szCs w:val="32"/>
          <w:lang w:val="en-US" w:eastAsia="zh-CN"/>
        </w:rPr>
        <w:t>中国共产党涞源县委员会统战部</w:t>
      </w:r>
      <w:r>
        <w:rPr>
          <w:rFonts w:ascii="仿宋_GB2312" w:eastAsia="仿宋_GB2312" w:cs="仿宋_GB2312" w:hint="eastAsia"/>
          <w:b w:val="0"/>
          <w:sz w:val="32"/>
          <w:szCs w:val="32"/>
          <w:lang w:eastAsia="zh-CN"/>
        </w:rPr>
        <w:t>本级202</w:t>
      </w:r>
      <w:r>
        <w:rPr>
          <w:rFonts w:ascii="仿宋_GB2312" w:eastAsia="仿宋_GB2312" w:cs="仿宋_GB2312" w:hint="eastAsia"/>
          <w:b w:val="0"/>
          <w:sz w:val="32"/>
          <w:szCs w:val="32"/>
          <w:lang w:val="en-US" w:eastAsia="zh-CN"/>
        </w:rPr>
        <w:t>4</w:t>
      </w:r>
      <w:r>
        <w:rPr>
          <w:rFonts w:ascii="仿宋_GB2312" w:eastAsia="仿宋_GB2312" w:cs="仿宋_GB2312" w:hint="eastAsia"/>
          <w:b w:val="0"/>
          <w:sz w:val="32"/>
          <w:szCs w:val="32"/>
          <w:lang w:eastAsia="zh-CN"/>
        </w:rPr>
        <w:t>年度</w:t>
      </w:r>
      <w:r>
        <w:rPr>
          <w:rFonts w:ascii="仿宋_GB2312" w:eastAsia="仿宋_GB2312" w:cs="仿宋_GB2312" w:hint="eastAsia"/>
          <w:b w:val="0"/>
          <w:sz w:val="32"/>
          <w:szCs w:val="32"/>
          <w:lang w:val="en-US" w:eastAsia="zh-CN"/>
        </w:rPr>
        <w:t>单位</w:t>
      </w:r>
      <w:r>
        <w:rPr>
          <w:rFonts w:ascii="仿宋_GB2312" w:eastAsia="仿宋_GB2312" w:cs="仿宋_GB2312" w:hint="eastAsia"/>
          <w:b w:val="0"/>
          <w:sz w:val="32"/>
          <w:szCs w:val="32"/>
          <w:lang w:eastAsia="zh-CN"/>
        </w:rPr>
        <w:t>决算。</w:t>
      </w:r>
    </w:p>
    <w:p>
      <w:pPr>
        <w:rPr>
          <w:rFonts w:ascii="Times New Roman" w:eastAsia="黑体" w:cs="Times New Roman" w:hAnsi="Times New Roman" w:hint="eastAsia"/>
          <w:sz w:val="32"/>
          <w:szCs w:val="32"/>
          <w:highlight w:val="yellow"/>
        </w:rPr>
      </w:pPr>
      <w:r>
        <w:rPr>
          <w:rFonts w:ascii="Times New Roman" w:eastAsia="黑体" w:cs="Times New Roman" w:hAnsi="Times New Roman" w:hint="eastAsia"/>
          <w:sz w:val="32"/>
          <w:szCs w:val="32"/>
          <w:highlight w:val="yellow"/>
        </w:rPr>
        <w:br w:type="page"/>
      </w:r>
    </w:p>
    <w:p>
      <w:pPr>
        <w:widowControl/>
        <w:spacing w:before="0" w:beforeAutospacing="0" w:after="0" w:afterAutospacing="0" w:line="360" w:lineRule="auto"/>
        <w:jc w:val="center"/>
        <w:outlineLvl w:val="0"/>
        <w:rPr>
          <w:rFonts w:ascii="Times New Roman" w:eastAsia="黑体" w:hAnsi="Times New Roman"/>
          <w:sz w:val="44"/>
          <w:szCs w:val="44"/>
        </w:rPr>
      </w:pPr>
      <w:r>
        <w:rPr>
          <w:rFonts w:ascii="Times New Roman" w:eastAsia="黑体" w:hAnsi="Times New Roman"/>
          <w:b w:val="0"/>
          <w:sz w:val="44"/>
          <w:szCs w:val="44"/>
        </w:rPr>
        <w:t>第二部分</w:t>
      </w:r>
      <w:r>
        <w:rPr>
          <w:rFonts w:ascii="Times New Roman" w:eastAsia="仿宋_GB2312" w:hAnsi="Times New Roman"/>
          <w:b w:val="0"/>
          <w:sz w:val="44"/>
          <w:szCs w:val="44"/>
        </w:rPr>
        <w:t>2024</w:t>
      </w:r>
      <w:r>
        <w:rPr>
          <w:rFonts w:ascii="Times New Roman" w:eastAsia="黑体" w:hAnsi="Times New Roman"/>
          <w:b w:val="0"/>
          <w:sz w:val="44"/>
          <w:szCs w:val="44"/>
        </w:rPr>
        <w:t>年度部门决算表</w:t>
      </w:r>
    </w:p>
    <w:tbl>
      <w:tblPr>
        <w:jc w:val="left"/>
        <w:tblInd w:w="-891" w:type="dxa"/>
        <w:tblW w:w="7478"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3395"/>
        <w:gridCol w:w="902"/>
        <w:gridCol w:w="1030"/>
        <w:gridCol w:w="2456"/>
        <w:gridCol w:w="456"/>
        <w:gridCol w:w="721"/>
        <w:gridCol w:w="1042"/>
        <w:gridCol w:w="1862"/>
      </w:tblGrid>
      <w:tr>
        <w:trPr>
          <w:trHeight w:val="361"/>
          <w:gridAfter w:val="1"/>
          <w:wAfter w:w="1862" w:type="dxa"/>
        </w:trPr>
        <w:tc>
          <w:tcPr>
            <w:tcW w:w="4215" w:type="pct"/>
            <w:gridSpan w:val="7"/>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b w:val="0"/>
                <w:bCs/>
                <w:color w:val="auto"/>
                <w:kern w:val="0"/>
                <w:sz w:val="32"/>
                <w:szCs w:val="32"/>
                <w:lang w:val="en-US" w:eastAsia="zh-CN"/>
                <w:highlight w:val="auto"/>
              </w:rPr>
              <w:t>收入支出决算总表</w:t>
            </w:r>
          </w:p>
        </w:tc>
      </w:tr>
      <w:tr>
        <w:trPr>
          <w:trHeight w:val="357"/>
          <w:gridAfter w:val="1"/>
          <w:wAfter w:w="1862" w:type="dxa"/>
        </w:trPr>
        <w:tc>
          <w:tcPr>
            <w:tcW w:w="4215" w:type="pct"/>
            <w:gridSpan w:val="7"/>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 xml:space="preserve"> 公开</w:t>
            </w:r>
            <w:r>
              <w:rPr>
                <w:rFonts w:ascii="Times New Roman" w:eastAsia="宋体" w:cs="Times New Roman" w:hAnsi="Times New Roman" w:hint="eastAsia"/>
                <w:i w:val="0"/>
                <w:iCs w:val="0"/>
                <w:color w:val="000000"/>
                <w:sz w:val="20"/>
                <w:szCs w:val="20"/>
                <w:u w:val="none"/>
                <w:lang w:val="en-US" w:eastAsia="zh-CN"/>
                <w:highlight w:val="auto"/>
              </w:rPr>
              <w:t>01</w:t>
            </w:r>
            <w:r>
              <w:rPr>
                <w:rFonts w:ascii="方正仿宋_GB2312" w:eastAsia="方正仿宋_GB2312" w:cs="方正仿宋_GB2312" w:hint="eastAsia"/>
                <w:i w:val="0"/>
                <w:iCs w:val="0"/>
                <w:color w:val="000000"/>
                <w:kern w:val="0"/>
                <w:sz w:val="20"/>
                <w:szCs w:val="20"/>
                <w:u w:val="none"/>
                <w:lang w:val="en-US" w:eastAsia="zh-CN"/>
                <w:highlight w:val="auto"/>
              </w:rPr>
              <w:t>表</w:t>
            </w:r>
          </w:p>
        </w:tc>
      </w:tr>
      <w:tr>
        <w:trPr>
          <w:trHeight w:val="351"/>
          <w:gridAfter w:val="1"/>
          <w:wAfter w:w="1862" w:type="dxa"/>
        </w:trPr>
        <w:tc>
          <w:tcPr>
            <w:tcW w:w="1811" w:type="pct"/>
            <w:gridSpan w:val="2"/>
            <w:tcBorders>
              <w:top w:val="nil"/>
              <w:left w:val="nil"/>
              <w:bottom w:val="single" w:sz="4" w:space="0" w:color="auto"/>
              <w:right w:val="nil"/>
            </w:tcBorders>
            <w:noWrap/>
            <w:vAlign w:val="bottom"/>
          </w:tcPr>
          <w:p>
            <w:pPr>
              <w:jc w:val="both"/>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部门（单位）：中国共产党涞源县委员会统战部</w:t>
            </w:r>
          </w:p>
        </w:tc>
        <w:tc>
          <w:tcPr>
            <w:tcW w:w="1469" w:type="pct"/>
            <w:gridSpan w:val="2"/>
            <w:tcBorders>
              <w:top w:val="nil"/>
              <w:left w:val="nil"/>
              <w:bottom w:val="single" w:sz="4" w:space="0" w:color="auto"/>
              <w:right w:val="nil"/>
            </w:tcBorders>
            <w:noWrap/>
            <w:vAlign w:val="bottom"/>
          </w:tcPr>
          <w:p>
            <w:pPr>
              <w:jc w:val="center"/>
              <w:rPr>
                <w:rFonts w:ascii="宋体" w:eastAsia="宋体" w:cs="宋体"/>
                <w:i w:val="0"/>
                <w:iCs w:val="0"/>
                <w:color w:val="000000"/>
                <w:kern w:val="0"/>
                <w:sz w:val="20"/>
                <w:szCs w:val="20"/>
                <w:u w:val="none"/>
                <w:lang w:val="en-US" w:eastAsia="zh-CN"/>
                <w:highlight w:val="auto"/>
              </w:rPr>
            </w:pPr>
            <w:r>
              <w:rPr>
                <w:rFonts w:ascii="Times New Roman" w:eastAsia="宋体" w:cs="Times New Roman" w:hAnsi="Times New Roman" w:hint="eastAsia"/>
                <w:i w:val="0"/>
                <w:iCs w:val="0"/>
                <w:color w:val="000000"/>
                <w:sz w:val="20"/>
                <w:szCs w:val="20"/>
                <w:u w:val="none"/>
                <w:lang w:val="en-US" w:eastAsia="zh-CN"/>
                <w:highlight w:val="auto"/>
              </w:rPr>
              <w:t>2024</w:t>
            </w:r>
            <w:r>
              <w:rPr>
                <w:rFonts w:ascii="方正仿宋_GB2312" w:eastAsia="方正仿宋_GB2312" w:cs="方正仿宋_GB2312" w:hint="eastAsia"/>
                <w:i w:val="0"/>
                <w:iCs w:val="0"/>
                <w:color w:val="000000"/>
                <w:kern w:val="0"/>
                <w:sz w:val="20"/>
                <w:szCs w:val="20"/>
                <w:u w:val="none"/>
                <w:lang w:val="en-US" w:eastAsia="zh-CN"/>
                <w:highlight w:val="auto"/>
              </w:rPr>
              <w:t>年度</w:t>
            </w:r>
          </w:p>
        </w:tc>
        <w:tc>
          <w:tcPr>
            <w:tcW w:w="935" w:type="pct"/>
            <w:gridSpan w:val="3"/>
            <w:tcBorders>
              <w:top w:val="nil"/>
              <w:left w:val="nil"/>
              <w:bottom w:val="single" w:sz="4" w:space="0" w:color="auto"/>
              <w:right w:val="nil"/>
            </w:tcBorders>
            <w:noWrap/>
            <w:vAlign w:val="bottom"/>
          </w:tcPr>
          <w:p>
            <w:pPr>
              <w:jc w:val="right"/>
              <w:rPr>
                <w:rFonts w:ascii="宋体" w:eastAsia="宋体" w:cs="宋体"/>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金额单位：万元</w:t>
            </w:r>
          </w:p>
        </w:tc>
      </w:tr>
      <w:tr>
        <w:trPr>
          <w:trHeight w:val="544"/>
          <w:gridAfter w:val="1"/>
          <w:wAfter w:w="1862" w:type="dxa"/>
        </w:trPr>
        <w:tc>
          <w:tcPr>
            <w:tcW w:w="2245" w:type="pct"/>
            <w:gridSpan w:val="3"/>
            <w:tcBorders>
              <w:top w:val="single" w:sz="4" w:space="0" w:color="auto"/>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收入</w:t>
            </w:r>
          </w:p>
        </w:tc>
        <w:tc>
          <w:tcPr>
            <w:tcW w:w="1970" w:type="pct"/>
            <w:gridSpan w:val="4"/>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支出</w:t>
            </w:r>
          </w:p>
        </w:tc>
      </w:tr>
      <w:tr>
        <w:trPr>
          <w:trHeight w:val="308"/>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行次</w:t>
            </w:r>
          </w:p>
        </w:tc>
        <w:tc>
          <w:tcPr>
            <w:tcW w:w="43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决算数</w:t>
            </w: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行次</w:t>
            </w:r>
          </w:p>
        </w:tc>
        <w:tc>
          <w:tcPr>
            <w:tcW w:w="43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决算数</w:t>
            </w: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栏次</w:t>
            </w:r>
          </w:p>
        </w:tc>
        <w:tc>
          <w:tcPr>
            <w:tcW w:w="379" w:type="pct"/>
            <w:tcBorders>
              <w:top w:val="nil"/>
              <w:left w:val="nil"/>
              <w:bottom w:val="single" w:sz="4" w:space="0" w:color="000000"/>
              <w:right w:val="single" w:sz="4" w:space="0" w:color="000000"/>
            </w:tcBorders>
            <w:noWrap/>
            <w:vAlign w:val="center"/>
          </w:tcPr>
          <w:p>
            <w:pPr>
              <w:jc w:val="center"/>
              <w:rPr>
                <w:rFonts w:ascii="宋体" w:eastAsia="宋体" w:cs="宋体" w:hint="eastAsia"/>
                <w:i w:val="0"/>
                <w:iCs w:val="0"/>
                <w:color w:val="000000"/>
                <w:sz w:val="20"/>
                <w:szCs w:val="20"/>
                <w:u w:val="none"/>
                <w:highlight w:val="auto"/>
              </w:rPr>
            </w:pPr>
          </w:p>
        </w:tc>
        <w:tc>
          <w:tcPr>
            <w:tcW w:w="43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Times New Roman" w:eastAsia="宋体" w:cs="Times New Roman" w:hAnsi="Times New Roman" w:hint="eastAsia"/>
                <w:i w:val="0"/>
                <w:iCs w:val="0"/>
                <w:color w:val="000000"/>
                <w:sz w:val="20"/>
                <w:szCs w:val="20"/>
                <w:u w:val="none"/>
                <w:lang w:val="en-US" w:eastAsia="zh-CN"/>
                <w:highlight w:val="auto"/>
              </w:rPr>
              <w:t>1</w:t>
            </w: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栏次</w:t>
            </w:r>
          </w:p>
        </w:tc>
        <w:tc>
          <w:tcPr>
            <w:tcW w:w="304" w:type="pct"/>
            <w:tcBorders>
              <w:top w:val="nil"/>
              <w:left w:val="nil"/>
              <w:bottom w:val="single" w:sz="4" w:space="0" w:color="000000"/>
              <w:right w:val="single" w:sz="4" w:space="0" w:color="000000"/>
            </w:tcBorders>
            <w:noWrap/>
            <w:vAlign w:val="center"/>
          </w:tcPr>
          <w:p>
            <w:pPr>
              <w:jc w:val="center"/>
              <w:rPr>
                <w:rFonts w:ascii="宋体" w:eastAsia="宋体" w:cs="宋体" w:hint="eastAsia"/>
                <w:i w:val="0"/>
                <w:iCs w:val="0"/>
                <w:color w:val="000000"/>
                <w:sz w:val="20"/>
                <w:szCs w:val="20"/>
                <w:u w:val="none"/>
                <w:highlight w:val="auto"/>
              </w:rPr>
            </w:pPr>
          </w:p>
        </w:tc>
        <w:tc>
          <w:tcPr>
            <w:tcW w:w="43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Times New Roman" w:eastAsia="宋体" w:cs="Times New Roman" w:hAnsi="Times New Roman" w:hint="eastAsia"/>
                <w:i w:val="0"/>
                <w:iCs w:val="0"/>
                <w:color w:val="000000"/>
                <w:sz w:val="20"/>
                <w:szCs w:val="20"/>
                <w:u w:val="none"/>
                <w:lang w:val="en-US" w:eastAsia="zh-CN"/>
                <w:highlight w:val="auto"/>
              </w:rPr>
              <w:t>2</w:t>
            </w: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一、一般公共预算财政拨款收入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宋体" w:eastAsia="宋体" w:cs="宋体"/>
                <w:i w:val="0"/>
                <w:iCs w:val="0"/>
                <w:color w:val="000000"/>
                <w:sz w:val="20"/>
                <w:szCs w:val="20"/>
                <w:u w:val="none"/>
                <w:lang w:val="en-US" w:eastAsia="zh-CN"/>
                <w:highlight w:val="auto"/>
              </w:rPr>
              <w:t>1</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143.61</w:t>
            </w: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一、一般公共服务支出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32</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125.60</w:t>
            </w: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二、政府性基金预算财政拨款收入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二、外交支出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33</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三、国有资本经营预算财政拨款收入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三、国防支出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34</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四、上级补助收入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四、公共安全支出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35</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五、事业收入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五、教育支出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36</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六、经营收入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六、科学技术支出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37</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七、附属单位上缴收入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7</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七、文化旅游体育与传媒支出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38</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八、其他收入</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8</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0.16</w:t>
            </w: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八、社会保障和就业支出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39</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12.89</w:t>
            </w: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9</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九、卫生健康支出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eastAsia="zh-CN"/>
                <w:highlight w:val="auto"/>
              </w:rPr>
            </w:pPr>
            <w:r>
              <w:rPr>
                <w:rFonts w:ascii="Times New Roman" w:eastAsia="宋体" w:cs="Times New Roman" w:hAnsi="Times New Roman"/>
                <w:i w:val="0"/>
                <w:iCs w:val="0"/>
                <w:color w:val="000000"/>
                <w:sz w:val="20"/>
                <w:szCs w:val="20"/>
                <w:u w:val="none"/>
                <w:lang w:val="en-US" w:eastAsia="zh-CN"/>
                <w:highlight w:val="auto"/>
              </w:rPr>
              <w:t>40</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10</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十、节能环保支出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41</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11</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十一、城乡社区支出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42</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12</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十二、农林水支出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43</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13</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十三、交通运输支出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44</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auto"/>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auto"/>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14</w:t>
            </w:r>
          </w:p>
        </w:tc>
        <w:tc>
          <w:tcPr>
            <w:tcW w:w="434" w:type="pct"/>
            <w:tcBorders>
              <w:top w:val="nil"/>
              <w:left w:val="nil"/>
              <w:bottom w:val="single" w:sz="4" w:space="0" w:color="auto"/>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auto"/>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十四、资源勘探工业信息等支出</w:t>
            </w:r>
          </w:p>
        </w:tc>
        <w:tc>
          <w:tcPr>
            <w:tcW w:w="304" w:type="pct"/>
            <w:tcBorders>
              <w:top w:val="nil"/>
              <w:left w:val="nil"/>
              <w:bottom w:val="single" w:sz="4" w:space="0" w:color="auto"/>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45</w:t>
            </w:r>
          </w:p>
        </w:tc>
        <w:tc>
          <w:tcPr>
            <w:tcW w:w="439" w:type="pct"/>
            <w:tcBorders>
              <w:top w:val="nil"/>
              <w:left w:val="nil"/>
              <w:bottom w:val="single" w:sz="4" w:space="0" w:color="auto"/>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15</w:t>
            </w:r>
          </w:p>
        </w:tc>
        <w:tc>
          <w:tcPr>
            <w:tcW w:w="434"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十五、商业服务业等支出</w:t>
            </w:r>
          </w:p>
        </w:tc>
        <w:tc>
          <w:tcPr>
            <w:tcW w:w="304"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46</w:t>
            </w:r>
          </w:p>
        </w:tc>
        <w:tc>
          <w:tcPr>
            <w:tcW w:w="439"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16</w:t>
            </w:r>
          </w:p>
        </w:tc>
        <w:tc>
          <w:tcPr>
            <w:tcW w:w="434"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十六、金融支出</w:t>
            </w:r>
          </w:p>
        </w:tc>
        <w:tc>
          <w:tcPr>
            <w:tcW w:w="304"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47</w:t>
            </w:r>
          </w:p>
        </w:tc>
        <w:tc>
          <w:tcPr>
            <w:tcW w:w="439"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17</w:t>
            </w:r>
          </w:p>
        </w:tc>
        <w:tc>
          <w:tcPr>
            <w:tcW w:w="434"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十七、援助其他地区支出</w:t>
            </w:r>
          </w:p>
        </w:tc>
        <w:tc>
          <w:tcPr>
            <w:tcW w:w="304"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48</w:t>
            </w:r>
          </w:p>
        </w:tc>
        <w:tc>
          <w:tcPr>
            <w:tcW w:w="439"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18</w:t>
            </w:r>
          </w:p>
        </w:tc>
        <w:tc>
          <w:tcPr>
            <w:tcW w:w="434"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十八、自然资源海洋气象等支出</w:t>
            </w:r>
          </w:p>
        </w:tc>
        <w:tc>
          <w:tcPr>
            <w:tcW w:w="304"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49</w:t>
            </w:r>
          </w:p>
        </w:tc>
        <w:tc>
          <w:tcPr>
            <w:tcW w:w="439"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19</w:t>
            </w:r>
          </w:p>
        </w:tc>
        <w:tc>
          <w:tcPr>
            <w:tcW w:w="434"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十九、住房保障支出</w:t>
            </w:r>
          </w:p>
        </w:tc>
        <w:tc>
          <w:tcPr>
            <w:tcW w:w="304"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eastAsia="zh-CN"/>
                <w:highlight w:val="auto"/>
              </w:rPr>
            </w:pPr>
            <w:r>
              <w:rPr>
                <w:rFonts w:ascii="Times New Roman" w:eastAsia="宋体" w:cs="Times New Roman" w:hAnsi="Times New Roman"/>
                <w:i w:val="0"/>
                <w:iCs w:val="0"/>
                <w:color w:val="000000"/>
                <w:sz w:val="20"/>
                <w:szCs w:val="20"/>
                <w:u w:val="none"/>
                <w:lang w:val="en-US" w:eastAsia="zh-CN"/>
                <w:highlight w:val="auto"/>
              </w:rPr>
              <w:t>50</w:t>
            </w:r>
          </w:p>
        </w:tc>
        <w:tc>
          <w:tcPr>
            <w:tcW w:w="439"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5.29</w:t>
            </w:r>
          </w:p>
        </w:tc>
      </w:tr>
      <w:tr>
        <w:trPr>
          <w:trHeight w:val="476"/>
          <w:gridAfter w:val="1"/>
          <w:wAfter w:w="1862" w:type="dxa"/>
        </w:trPr>
        <w:tc>
          <w:tcPr>
            <w:tcW w:w="1431"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20</w:t>
            </w:r>
          </w:p>
        </w:tc>
        <w:tc>
          <w:tcPr>
            <w:tcW w:w="434"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二十、粮油物资储备支出</w:t>
            </w:r>
          </w:p>
        </w:tc>
        <w:tc>
          <w:tcPr>
            <w:tcW w:w="304"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51</w:t>
            </w:r>
          </w:p>
        </w:tc>
        <w:tc>
          <w:tcPr>
            <w:tcW w:w="439"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single" w:sz="4" w:space="0" w:color="auto"/>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21</w:t>
            </w:r>
          </w:p>
        </w:tc>
        <w:tc>
          <w:tcPr>
            <w:tcW w:w="434" w:type="pct"/>
            <w:tcBorders>
              <w:top w:val="single" w:sz="4" w:space="0" w:color="auto"/>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二十一、国有资本经营预算支出</w:t>
            </w:r>
          </w:p>
        </w:tc>
        <w:tc>
          <w:tcPr>
            <w:tcW w:w="304" w:type="pc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52</w:t>
            </w:r>
          </w:p>
        </w:tc>
        <w:tc>
          <w:tcPr>
            <w:tcW w:w="439" w:type="pct"/>
            <w:tcBorders>
              <w:top w:val="single" w:sz="4" w:space="0" w:color="auto"/>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22</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二十二、灾害防治及应急管理支出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53</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23</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二十三、其他支出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54</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24</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二十四、债务还本支出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55</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25</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二十五、债务付息支出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56</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26</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二十六、抗疫特别国债安排的支出</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57</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本年收入合计</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27</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143.77</w:t>
            </w: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本年支出合计</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58</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143.78</w:t>
            </w: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使用非财政拨款结余（含专用结余）</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28</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结余分配</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59</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年初结转和结余</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29</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0.04</w:t>
            </w: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年末结转和结余</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eastAsia="zh-CN"/>
                <w:highlight w:val="auto"/>
              </w:rPr>
            </w:pPr>
            <w:r>
              <w:rPr>
                <w:rFonts w:ascii="Times New Roman" w:eastAsia="宋体" w:cs="Times New Roman" w:hAnsi="Times New Roman"/>
                <w:i w:val="0"/>
                <w:iCs w:val="0"/>
                <w:color w:val="000000"/>
                <w:sz w:val="20"/>
                <w:szCs w:val="20"/>
                <w:u w:val="none"/>
                <w:lang w:val="en-US" w:eastAsia="zh-CN"/>
                <w:highlight w:val="auto"/>
              </w:rPr>
              <w:t>60</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0.03</w:t>
            </w:r>
          </w:p>
        </w:tc>
      </w:tr>
      <w:tr>
        <w:trPr>
          <w:trHeight w:val="476"/>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kern w:val="0"/>
                <w:sz w:val="20"/>
                <w:szCs w:val="20"/>
                <w:u w:val="none"/>
                <w:lang w:val="en-US" w:eastAsia="zh-CN"/>
                <w:highlight w:val="auto"/>
              </w:rPr>
            </w:pP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kern w:val="0"/>
                <w:sz w:val="20"/>
                <w:szCs w:val="20"/>
                <w:u w:val="none"/>
                <w:lang w:val="en-US" w:eastAsia="zh-CN"/>
                <w:highlight w:val="auto"/>
              </w:rPr>
            </w:pPr>
            <w:r>
              <w:rPr>
                <w:rFonts w:ascii="Times New Roman" w:eastAsia="宋体" w:cs="Times New Roman" w:hAnsi="Times New Roman"/>
                <w:i w:val="0"/>
                <w:iCs w:val="0"/>
                <w:color w:val="000000"/>
                <w:kern w:val="0"/>
                <w:sz w:val="20"/>
                <w:szCs w:val="20"/>
                <w:u w:val="none"/>
                <w:lang w:val="en-US" w:eastAsia="zh-CN"/>
                <w:highlight w:val="auto"/>
              </w:rPr>
              <w:t>30</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kern w:val="0"/>
                <w:sz w:val="20"/>
                <w:szCs w:val="20"/>
                <w:u w:val="none"/>
                <w:lang w:val="en-US" w:eastAsia="zh-CN"/>
                <w:highlight w:val="auto"/>
              </w:rPr>
            </w:pP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kern w:val="0"/>
                <w:sz w:val="20"/>
                <w:szCs w:val="20"/>
                <w:u w:val="none"/>
                <w:lang w:val="en-US" w:eastAsia="zh-CN"/>
                <w:highlight w:val="auto"/>
              </w:rPr>
            </w:pPr>
            <w:r>
              <w:rPr>
                <w:rFonts w:ascii="Times New Roman" w:eastAsia="宋体" w:cs="Times New Roman" w:hAnsi="Times New Roman"/>
                <w:i w:val="0"/>
                <w:iCs w:val="0"/>
                <w:color w:val="000000"/>
                <w:kern w:val="0"/>
                <w:sz w:val="20"/>
                <w:szCs w:val="20"/>
                <w:u w:val="none"/>
                <w:lang w:val="en-US" w:eastAsia="zh-CN"/>
                <w:highlight w:val="auto"/>
              </w:rPr>
              <w:t>61</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gridAfter w:val="1"/>
          <w:wAfter w:w="1862" w:type="dxa"/>
        </w:trPr>
        <w:tc>
          <w:tcPr>
            <w:tcW w:w="1431"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总计</w:t>
            </w:r>
          </w:p>
        </w:tc>
        <w:tc>
          <w:tcPr>
            <w:tcW w:w="37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31</w:t>
            </w:r>
          </w:p>
        </w:tc>
        <w:tc>
          <w:tcPr>
            <w:tcW w:w="43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143.81</w:t>
            </w:r>
          </w:p>
        </w:tc>
        <w:tc>
          <w:tcPr>
            <w:tcW w:w="122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总计</w:t>
            </w:r>
          </w:p>
        </w:tc>
        <w:tc>
          <w:tcPr>
            <w:tcW w:w="3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lang w:val="en-US"/>
                <w:highlight w:val="auto"/>
              </w:rPr>
            </w:pPr>
            <w:r>
              <w:rPr>
                <w:rFonts w:ascii="Times New Roman" w:eastAsia="宋体" w:cs="Times New Roman" w:hAnsi="Times New Roman"/>
                <w:i w:val="0"/>
                <w:iCs w:val="0"/>
                <w:color w:val="000000"/>
                <w:kern w:val="0"/>
                <w:sz w:val="20"/>
                <w:szCs w:val="20"/>
                <w:u w:val="none"/>
                <w:lang w:val="en-US" w:eastAsia="zh-CN"/>
                <w:highlight w:val="auto"/>
              </w:rPr>
              <w:t>62</w:t>
            </w:r>
          </w:p>
        </w:tc>
        <w:tc>
          <w:tcPr>
            <w:tcW w:w="439"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143.81</w:t>
            </w:r>
          </w:p>
        </w:tc>
      </w:tr>
      <w:tr>
        <w:trPr>
          <w:trHeight w:val="308"/>
        </w:trPr>
        <w:tc>
          <w:tcPr>
            <w:tcW w:w="5000" w:type="pct"/>
            <w:gridSpan w:val="8"/>
            <w:tcBorders>
              <w:top w:val="nil"/>
              <w:left w:val="nil"/>
              <w:bottom w:val="nil"/>
              <w:right w:val="nil"/>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注：1.本表反映部门本年度的总收支和年末结转结余情况。</w:t>
            </w:r>
          </w:p>
          <w:p>
            <w:pPr>
              <w:keepNext w:val="0"/>
              <w:keepLines w:val="0"/>
              <w:widowControl/>
              <w:suppressLineNumbers w:val="0"/>
              <w:ind w:firstLineChars="200" w:firstLine="400"/>
              <w:jc w:val="left"/>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2.本套报表金额转换时可能存在尾数误差。</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r>
        <w:rPr>
          <w:rFonts w:ascii="仿宋_GB2312" w:eastAsia="仿宋_GB2312" w:hint="eastAsia"/>
          <w:b/>
          <w:color w:val="auto"/>
          <w:kern w:val="0"/>
          <w:sz w:val="32"/>
          <w:szCs w:val="32"/>
          <w:highlight w:val="auto"/>
        </w:rPr>
        <w:br w:type="page"/>
      </w:r>
    </w:p>
    <w:tbl>
      <w:tblPr>
        <w:jc w:val="center"/>
        <w:tblW w:w="9449"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040"/>
        <w:gridCol w:w="1630"/>
        <w:gridCol w:w="1176"/>
        <w:gridCol w:w="1128"/>
        <w:gridCol w:w="1080"/>
        <w:gridCol w:w="588"/>
        <w:gridCol w:w="180"/>
        <w:gridCol w:w="816"/>
        <w:gridCol w:w="852"/>
        <w:gridCol w:w="959"/>
      </w:tblGrid>
      <w:tr>
        <w:trPr>
          <w:trHeight w:val="550"/>
        </w:trPr>
        <w:tc>
          <w:tcPr>
            <w:tcW w:w="9449" w:type="dxa"/>
            <w:gridSpan w:val="10"/>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b w:val="0"/>
                <w:bCs/>
                <w:color w:val="auto"/>
                <w:kern w:val="0"/>
                <w:sz w:val="32"/>
                <w:szCs w:val="32"/>
                <w:lang w:val="en-US" w:eastAsia="zh-CN"/>
                <w:highlight w:val="auto"/>
              </w:rPr>
              <w:t>收入决算表</w:t>
            </w:r>
          </w:p>
        </w:tc>
      </w:tr>
      <w:tr>
        <w:trPr>
          <w:trHeight w:val="300"/>
        </w:trPr>
        <w:tc>
          <w:tcPr>
            <w:tcW w:w="9449" w:type="dxa"/>
            <w:gridSpan w:val="10"/>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公开</w:t>
            </w:r>
            <w:r>
              <w:rPr>
                <w:rFonts w:ascii="Times New Roman" w:eastAsia="宋体" w:cs="Times New Roman" w:hAnsi="Times New Roman" w:hint="eastAsia"/>
                <w:i w:val="0"/>
                <w:iCs w:val="0"/>
                <w:color w:val="000000"/>
                <w:sz w:val="20"/>
                <w:szCs w:val="20"/>
                <w:u w:val="none"/>
                <w:lang w:val="en-US" w:eastAsia="zh-CN"/>
                <w:highlight w:val="auto"/>
              </w:rPr>
              <w:t>02</w:t>
            </w:r>
            <w:r>
              <w:rPr>
                <w:rFonts w:ascii="方正仿宋_GB2312" w:eastAsia="方正仿宋_GB2312" w:cs="方正仿宋_GB2312" w:hint="eastAsia"/>
                <w:i w:val="0"/>
                <w:iCs w:val="0"/>
                <w:color w:val="000000"/>
                <w:kern w:val="0"/>
                <w:sz w:val="20"/>
                <w:szCs w:val="20"/>
                <w:u w:val="none"/>
                <w:lang w:val="en-US" w:eastAsia="zh-CN"/>
                <w:highlight w:val="auto"/>
              </w:rPr>
              <w:t>表</w:t>
            </w:r>
          </w:p>
        </w:tc>
      </w:tr>
      <w:tr>
        <w:trPr>
          <w:trHeight w:val="300"/>
        </w:trPr>
        <w:tc>
          <w:tcPr>
            <w:tcW w:w="3846" w:type="dxa"/>
            <w:gridSpan w:val="3"/>
            <w:tcBorders>
              <w:top w:val="nil"/>
              <w:left w:val="nil"/>
              <w:bottom w:val="single" w:sz="4" w:space="0" w:color="auto"/>
              <w:right w:val="nil"/>
            </w:tcBorders>
            <w:noWrap/>
            <w:vAlign w:val="bottom"/>
          </w:tcPr>
          <w:p>
            <w:pP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 xml:space="preserve">部门（单位）：中国共产党涞源县委员会统战部                                                                                                         </w:t>
            </w:r>
          </w:p>
        </w:tc>
        <w:tc>
          <w:tcPr>
            <w:tcW w:w="2796" w:type="dxa"/>
            <w:gridSpan w:val="3"/>
            <w:tcBorders>
              <w:top w:val="nil"/>
              <w:left w:val="nil"/>
              <w:bottom w:val="single" w:sz="4" w:space="0" w:color="auto"/>
              <w:right w:val="nil"/>
            </w:tcBorders>
            <w:noWrap/>
            <w:vAlign w:val="bottom"/>
          </w:tcPr>
          <w:p>
            <w:pPr>
              <w:jc w:val="center"/>
              <w:rPr>
                <w:rFonts w:ascii="方正仿宋_GB2312" w:eastAsia="方正仿宋_GB2312" w:cs="方正仿宋_GB2312" w:hint="eastAsia"/>
                <w:i w:val="0"/>
                <w:iCs w:val="0"/>
                <w:color w:val="000000"/>
                <w:kern w:val="0"/>
                <w:sz w:val="20"/>
                <w:szCs w:val="20"/>
                <w:u w:val="none"/>
                <w:lang w:val="en-US" w:eastAsia="zh-CN"/>
                <w:highlight w:val="auto"/>
              </w:rPr>
            </w:pPr>
            <w:r>
              <w:rPr>
                <w:rFonts w:ascii="Times New Roman" w:eastAsia="方正仿宋_GB2312" w:cs="Times New Roman" w:hAnsi="Times New Roman"/>
                <w:i w:val="0"/>
                <w:iCs w:val="0"/>
                <w:color w:val="000000"/>
                <w:sz w:val="20"/>
                <w:szCs w:val="20"/>
                <w:u w:val="none"/>
                <w:lang w:val="en-US" w:eastAsia="zh-CN"/>
                <w:highlight w:val="auto"/>
              </w:rPr>
              <w:t>202</w:t>
            </w:r>
            <w:r>
              <w:rPr>
                <w:rFonts w:ascii="Times New Roman" w:eastAsia="方正仿宋_GB2312" w:cs="Times New Roman" w:hAnsi="Times New Roman" w:hint="eastAsia"/>
                <w:i w:val="0"/>
                <w:iCs w:val="0"/>
                <w:color w:val="000000"/>
                <w:sz w:val="20"/>
                <w:szCs w:val="20"/>
                <w:u w:val="none"/>
                <w:lang w:val="en-US" w:eastAsia="zh-CN"/>
                <w:highlight w:val="auto"/>
              </w:rPr>
              <w:t>4</w:t>
            </w:r>
            <w:r>
              <w:rPr>
                <w:rFonts w:ascii="方正仿宋_GB2312" w:eastAsia="方正仿宋_GB2312" w:cs="方正仿宋_GB2312" w:hint="eastAsia"/>
                <w:i w:val="0"/>
                <w:iCs w:val="0"/>
                <w:color w:val="000000"/>
                <w:kern w:val="0"/>
                <w:sz w:val="20"/>
                <w:szCs w:val="20"/>
                <w:u w:val="none"/>
                <w:lang w:val="en-US" w:eastAsia="zh-CN"/>
                <w:highlight w:val="auto"/>
              </w:rPr>
              <w:t>年度</w:t>
            </w:r>
          </w:p>
        </w:tc>
        <w:tc>
          <w:tcPr>
            <w:tcW w:w="2807" w:type="dxa"/>
            <w:gridSpan w:val="4"/>
            <w:tcBorders>
              <w:top w:val="nil"/>
              <w:left w:val="nil"/>
              <w:bottom w:val="single" w:sz="4" w:space="0" w:color="auto"/>
              <w:right w:val="nil"/>
            </w:tcBorders>
            <w:noWrap/>
            <w:vAlign w:val="bottom"/>
          </w:tcPr>
          <w:p>
            <w:pPr>
              <w:jc w:val="right"/>
              <w:rPr>
                <w:rFonts w:ascii="方正仿宋_GB2312" w:eastAsia="方正仿宋_GB2312" w:cs="方正仿宋_GB2312" w:hint="eastAsia"/>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金额单位：万元</w:t>
            </w:r>
          </w:p>
        </w:tc>
      </w:tr>
      <w:tr>
        <w:trPr>
          <w:trHeight w:val="510"/>
        </w:trPr>
        <w:tc>
          <w:tcPr>
            <w:tcW w:w="2670" w:type="dxa"/>
            <w:gridSpan w:val="2"/>
            <w:tcBorders>
              <w:top w:val="single" w:sz="4" w:space="0" w:color="auto"/>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w:t>
            </w:r>
          </w:p>
        </w:tc>
        <w:tc>
          <w:tcPr>
            <w:tcW w:w="1176" w:type="dxa"/>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本年收入合计</w:t>
            </w:r>
          </w:p>
        </w:tc>
        <w:tc>
          <w:tcPr>
            <w:tcW w:w="1128" w:type="dxa"/>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财政拨款收入</w:t>
            </w:r>
          </w:p>
        </w:tc>
        <w:tc>
          <w:tcPr>
            <w:tcW w:w="1080" w:type="dxa"/>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上级补助收入</w:t>
            </w:r>
          </w:p>
        </w:tc>
        <w:tc>
          <w:tcPr>
            <w:tcW w:w="768" w:type="dxa"/>
            <w:gridSpan w:val="2"/>
            <w:vMerge w:val="restart"/>
            <w:tcBorders>
              <w:top w:val="single" w:sz="4" w:space="0" w:color="auto"/>
              <w:left w:val="nil"/>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事业收入</w:t>
            </w:r>
          </w:p>
        </w:tc>
        <w:tc>
          <w:tcPr>
            <w:tcW w:w="816" w:type="dxa"/>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经营收入</w:t>
            </w:r>
          </w:p>
        </w:tc>
        <w:tc>
          <w:tcPr>
            <w:tcW w:w="852" w:type="dxa"/>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附属单位上缴收入</w:t>
            </w:r>
          </w:p>
        </w:tc>
        <w:tc>
          <w:tcPr>
            <w:tcW w:w="959" w:type="dxa"/>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其他收入</w:t>
            </w:r>
          </w:p>
        </w:tc>
      </w:tr>
      <w:tr>
        <w:trPr>
          <w:trHeight w:val="312"/>
        </w:trPr>
        <w:tc>
          <w:tcPr>
            <w:tcW w:w="1040" w:type="dxa"/>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科目代码</w:t>
            </w:r>
          </w:p>
        </w:tc>
        <w:tc>
          <w:tcPr>
            <w:tcW w:w="1630" w:type="dxa"/>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科目名称</w:t>
            </w:r>
          </w:p>
        </w:tc>
        <w:tc>
          <w:tcPr>
            <w:tcW w:w="1176" w:type="dxa"/>
            <w:vMerge/>
            <w:tcBorders>
              <w:top w:val="single" w:sz="4" w:space="0" w:color="000000"/>
              <w:left w:val="nil"/>
              <w:bottom w:val="single" w:sz="4" w:space="0" w:color="000000"/>
              <w:right w:val="single" w:sz="4" w:space="0" w:color="000000"/>
            </w:tcBorders>
            <w:noWrap/>
            <w:vAlign w:val="center"/>
          </w:tcPr>
          <w:p/>
        </w:tc>
        <w:tc>
          <w:tcPr>
            <w:tcW w:w="1128" w:type="dxa"/>
            <w:vMerge/>
            <w:tcBorders>
              <w:top w:val="single" w:sz="4" w:space="0" w:color="000000"/>
              <w:left w:val="nil"/>
              <w:bottom w:val="single" w:sz="4" w:space="0" w:color="000000"/>
              <w:right w:val="single" w:sz="4" w:space="0" w:color="000000"/>
            </w:tcBorders>
            <w:noWrap/>
            <w:vAlign w:val="center"/>
          </w:tcPr>
          <w:p/>
        </w:tc>
        <w:tc>
          <w:tcPr>
            <w:tcW w:w="1080" w:type="dxa"/>
            <w:vMerge/>
            <w:tcBorders>
              <w:top w:val="single" w:sz="4" w:space="0" w:color="000000"/>
              <w:left w:val="nil"/>
              <w:bottom w:val="single" w:sz="4" w:space="0" w:color="000000"/>
              <w:right w:val="single" w:sz="4" w:space="0" w:color="000000"/>
            </w:tcBorders>
            <w:noWrap/>
            <w:vAlign w:val="center"/>
          </w:tcPr>
          <w:p/>
        </w:tc>
        <w:tc>
          <w:tcPr>
            <w:tcW w:w="768" w:type="dxa"/>
            <w:gridSpan w:val="2"/>
            <w:vMerge/>
            <w:tcBorders>
              <w:left w:val="nil"/>
              <w:right w:val="single" w:sz="4" w:space="0" w:color="000000"/>
            </w:tcBorders>
            <w:noWrap/>
            <w:vAlign w:val="center"/>
          </w:tcPr>
          <w:p/>
        </w:tc>
        <w:tc>
          <w:tcPr>
            <w:tcW w:w="816" w:type="dxa"/>
            <w:vMerge/>
            <w:tcBorders>
              <w:top w:val="single" w:sz="4" w:space="0" w:color="000000"/>
              <w:left w:val="nil"/>
              <w:bottom w:val="single" w:sz="4" w:space="0" w:color="000000"/>
              <w:right w:val="single" w:sz="4" w:space="0" w:color="000000"/>
            </w:tcBorders>
            <w:noWrap/>
            <w:vAlign w:val="center"/>
          </w:tcPr>
          <w:p/>
        </w:tc>
        <w:tc>
          <w:tcPr>
            <w:tcW w:w="852" w:type="dxa"/>
            <w:vMerge/>
            <w:tcBorders>
              <w:top w:val="single" w:sz="4" w:space="0" w:color="000000"/>
              <w:left w:val="nil"/>
              <w:bottom w:val="single" w:sz="4" w:space="0" w:color="000000"/>
              <w:right w:val="single" w:sz="4" w:space="0" w:color="000000"/>
            </w:tcBorders>
            <w:noWrap/>
            <w:vAlign w:val="center"/>
          </w:tcPr>
          <w:p/>
        </w:tc>
        <w:tc>
          <w:tcPr>
            <w:tcW w:w="959" w:type="dxa"/>
            <w:vMerge/>
            <w:tcBorders>
              <w:top w:val="single" w:sz="4" w:space="0" w:color="000000"/>
              <w:left w:val="nil"/>
              <w:bottom w:val="single" w:sz="4" w:space="0" w:color="000000"/>
              <w:right w:val="single" w:sz="4" w:space="0" w:color="000000"/>
            </w:tcBorders>
            <w:noWrap/>
            <w:vAlign w:val="center"/>
          </w:tcPr>
          <w:p/>
        </w:tc>
      </w:tr>
      <w:tr>
        <w:trPr>
          <w:trHeight w:val="312"/>
        </w:trPr>
        <w:tc>
          <w:tcPr>
            <w:tcW w:w="1040" w:type="dxa"/>
            <w:vMerge/>
            <w:tcBorders>
              <w:top w:val="nil"/>
              <w:left w:val="single" w:sz="4" w:space="0" w:color="000000"/>
              <w:bottom w:val="single" w:sz="4" w:space="0" w:color="000000"/>
              <w:right w:val="single" w:sz="4" w:space="0" w:color="000000"/>
            </w:tcBorders>
            <w:noWrap/>
            <w:vAlign w:val="center"/>
          </w:tcPr>
          <w:p/>
        </w:tc>
        <w:tc>
          <w:tcPr>
            <w:tcW w:w="1630" w:type="dxa"/>
            <w:vMerge/>
            <w:tcBorders>
              <w:top w:val="nil"/>
              <w:left w:val="nil"/>
              <w:bottom w:val="single" w:sz="4" w:space="0" w:color="000000"/>
              <w:right w:val="single" w:sz="4" w:space="0" w:color="000000"/>
            </w:tcBorders>
            <w:noWrap/>
            <w:vAlign w:val="center"/>
          </w:tcPr>
          <w:p/>
        </w:tc>
        <w:tc>
          <w:tcPr>
            <w:tcW w:w="1176" w:type="dxa"/>
            <w:vMerge/>
            <w:tcBorders>
              <w:top w:val="single" w:sz="4" w:space="0" w:color="000000"/>
              <w:left w:val="nil"/>
              <w:bottom w:val="single" w:sz="4" w:space="0" w:color="000000"/>
              <w:right w:val="single" w:sz="4" w:space="0" w:color="000000"/>
            </w:tcBorders>
            <w:noWrap/>
            <w:vAlign w:val="center"/>
          </w:tcPr>
          <w:p/>
        </w:tc>
        <w:tc>
          <w:tcPr>
            <w:tcW w:w="1128" w:type="dxa"/>
            <w:vMerge/>
            <w:tcBorders>
              <w:top w:val="single" w:sz="4" w:space="0" w:color="000000"/>
              <w:left w:val="nil"/>
              <w:bottom w:val="single" w:sz="4" w:space="0" w:color="000000"/>
              <w:right w:val="single" w:sz="4" w:space="0" w:color="000000"/>
            </w:tcBorders>
            <w:noWrap/>
            <w:vAlign w:val="center"/>
          </w:tcPr>
          <w:p/>
        </w:tc>
        <w:tc>
          <w:tcPr>
            <w:tcW w:w="1080" w:type="dxa"/>
            <w:vMerge/>
            <w:tcBorders>
              <w:top w:val="single" w:sz="4" w:space="0" w:color="000000"/>
              <w:left w:val="nil"/>
              <w:bottom w:val="single" w:sz="4" w:space="0" w:color="000000"/>
              <w:right w:val="single" w:sz="4" w:space="0" w:color="000000"/>
            </w:tcBorders>
            <w:noWrap/>
            <w:vAlign w:val="center"/>
          </w:tcPr>
          <w:p/>
        </w:tc>
        <w:tc>
          <w:tcPr>
            <w:tcW w:w="768" w:type="dxa"/>
            <w:gridSpan w:val="2"/>
            <w:vMerge/>
            <w:tcBorders>
              <w:left w:val="nil"/>
              <w:right w:val="single" w:sz="4" w:space="0" w:color="000000"/>
            </w:tcBorders>
            <w:noWrap/>
            <w:vAlign w:val="center"/>
          </w:tcPr>
          <w:p/>
        </w:tc>
        <w:tc>
          <w:tcPr>
            <w:tcW w:w="816" w:type="dxa"/>
            <w:vMerge/>
            <w:tcBorders>
              <w:top w:val="single" w:sz="4" w:space="0" w:color="000000"/>
              <w:left w:val="nil"/>
              <w:bottom w:val="single" w:sz="4" w:space="0" w:color="000000"/>
              <w:right w:val="single" w:sz="4" w:space="0" w:color="000000"/>
            </w:tcBorders>
            <w:noWrap/>
            <w:vAlign w:val="center"/>
          </w:tcPr>
          <w:p/>
        </w:tc>
        <w:tc>
          <w:tcPr>
            <w:tcW w:w="852" w:type="dxa"/>
            <w:vMerge/>
            <w:tcBorders>
              <w:top w:val="single" w:sz="4" w:space="0" w:color="000000"/>
              <w:left w:val="nil"/>
              <w:bottom w:val="single" w:sz="4" w:space="0" w:color="000000"/>
              <w:right w:val="single" w:sz="4" w:space="0" w:color="000000"/>
            </w:tcBorders>
            <w:noWrap/>
            <w:vAlign w:val="center"/>
          </w:tcPr>
          <w:p/>
        </w:tc>
        <w:tc>
          <w:tcPr>
            <w:tcW w:w="959" w:type="dxa"/>
            <w:vMerge/>
            <w:tcBorders>
              <w:top w:val="single" w:sz="4" w:space="0" w:color="000000"/>
              <w:left w:val="nil"/>
              <w:bottom w:val="single" w:sz="4" w:space="0" w:color="000000"/>
              <w:right w:val="single" w:sz="4" w:space="0" w:color="000000"/>
            </w:tcBorders>
            <w:noWrap/>
            <w:vAlign w:val="center"/>
          </w:tcPr>
          <w:p/>
        </w:tc>
      </w:tr>
      <w:tr>
        <w:trPr>
          <w:trHeight w:val="312"/>
        </w:trPr>
        <w:tc>
          <w:tcPr>
            <w:tcW w:w="1040" w:type="dxa"/>
            <w:vMerge/>
            <w:tcBorders>
              <w:top w:val="nil"/>
              <w:left w:val="single" w:sz="4" w:space="0" w:color="000000"/>
              <w:bottom w:val="single" w:sz="4" w:space="0" w:color="000000"/>
              <w:right w:val="single" w:sz="4" w:space="0" w:color="000000"/>
            </w:tcBorders>
            <w:noWrap/>
            <w:vAlign w:val="center"/>
          </w:tcPr>
          <w:p/>
        </w:tc>
        <w:tc>
          <w:tcPr>
            <w:tcW w:w="1630" w:type="dxa"/>
            <w:vMerge/>
            <w:tcBorders>
              <w:top w:val="nil"/>
              <w:left w:val="nil"/>
              <w:bottom w:val="single" w:sz="4" w:space="0" w:color="000000"/>
              <w:right w:val="single" w:sz="4" w:space="0" w:color="000000"/>
            </w:tcBorders>
            <w:noWrap/>
            <w:vAlign w:val="center"/>
          </w:tcPr>
          <w:p/>
        </w:tc>
        <w:tc>
          <w:tcPr>
            <w:tcW w:w="1176" w:type="dxa"/>
            <w:vMerge/>
            <w:tcBorders>
              <w:top w:val="single" w:sz="4" w:space="0" w:color="000000"/>
              <w:left w:val="nil"/>
              <w:bottom w:val="single" w:sz="4" w:space="0" w:color="000000"/>
              <w:right w:val="single" w:sz="4" w:space="0" w:color="000000"/>
            </w:tcBorders>
            <w:noWrap/>
            <w:vAlign w:val="center"/>
          </w:tcPr>
          <w:p/>
        </w:tc>
        <w:tc>
          <w:tcPr>
            <w:tcW w:w="1128" w:type="dxa"/>
            <w:vMerge/>
            <w:tcBorders>
              <w:top w:val="single" w:sz="4" w:space="0" w:color="000000"/>
              <w:left w:val="nil"/>
              <w:bottom w:val="single" w:sz="4" w:space="0" w:color="000000"/>
              <w:right w:val="single" w:sz="4" w:space="0" w:color="000000"/>
            </w:tcBorders>
            <w:noWrap/>
            <w:vAlign w:val="center"/>
          </w:tcPr>
          <w:p/>
        </w:tc>
        <w:tc>
          <w:tcPr>
            <w:tcW w:w="1080" w:type="dxa"/>
            <w:vMerge/>
            <w:tcBorders>
              <w:top w:val="single" w:sz="4" w:space="0" w:color="000000"/>
              <w:left w:val="nil"/>
              <w:bottom w:val="single" w:sz="4" w:space="0" w:color="000000"/>
              <w:right w:val="single" w:sz="4" w:space="0" w:color="000000"/>
            </w:tcBorders>
            <w:noWrap/>
            <w:vAlign w:val="center"/>
          </w:tcPr>
          <w:p/>
        </w:tc>
        <w:tc>
          <w:tcPr>
            <w:tcW w:w="768" w:type="dxa"/>
            <w:gridSpan w:val="2"/>
            <w:vMerge/>
            <w:tcBorders>
              <w:left w:val="nil"/>
              <w:bottom w:val="single" w:sz="4" w:space="0" w:color="000000"/>
              <w:right w:val="single" w:sz="4" w:space="0" w:color="000000"/>
            </w:tcBorders>
            <w:noWrap/>
            <w:vAlign w:val="center"/>
          </w:tcPr>
          <w:p/>
        </w:tc>
        <w:tc>
          <w:tcPr>
            <w:tcW w:w="816" w:type="dxa"/>
            <w:vMerge/>
            <w:tcBorders>
              <w:top w:val="single" w:sz="4" w:space="0" w:color="000000"/>
              <w:left w:val="nil"/>
              <w:bottom w:val="single" w:sz="4" w:space="0" w:color="000000"/>
              <w:right w:val="single" w:sz="4" w:space="0" w:color="000000"/>
            </w:tcBorders>
            <w:noWrap/>
            <w:vAlign w:val="center"/>
          </w:tcPr>
          <w:p/>
        </w:tc>
        <w:tc>
          <w:tcPr>
            <w:tcW w:w="852" w:type="dxa"/>
            <w:vMerge/>
            <w:tcBorders>
              <w:top w:val="single" w:sz="4" w:space="0" w:color="000000"/>
              <w:left w:val="nil"/>
              <w:bottom w:val="single" w:sz="4" w:space="0" w:color="000000"/>
              <w:right w:val="single" w:sz="4" w:space="0" w:color="000000"/>
            </w:tcBorders>
            <w:noWrap/>
            <w:vAlign w:val="center"/>
          </w:tcPr>
          <w:p/>
        </w:tc>
        <w:tc>
          <w:tcPr>
            <w:tcW w:w="959" w:type="dxa"/>
            <w:vMerge/>
            <w:tcBorders>
              <w:top w:val="single" w:sz="4" w:space="0" w:color="000000"/>
              <w:left w:val="nil"/>
              <w:bottom w:val="single" w:sz="4" w:space="0" w:color="000000"/>
              <w:right w:val="single" w:sz="4" w:space="0" w:color="000000"/>
            </w:tcBorders>
            <w:noWrap/>
            <w:vAlign w:val="center"/>
          </w:tcPr>
          <w:p/>
        </w:tc>
      </w:tr>
      <w:tr>
        <w:trPr>
          <w:trHeight w:val="454"/>
        </w:trPr>
        <w:tc>
          <w:tcPr>
            <w:tcW w:w="2670"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栏次</w:t>
            </w:r>
          </w:p>
        </w:tc>
        <w:tc>
          <w:tcPr>
            <w:tcW w:w="1176" w:type="dxa"/>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1</w:t>
            </w:r>
          </w:p>
        </w:tc>
        <w:tc>
          <w:tcPr>
            <w:tcW w:w="1128" w:type="dxa"/>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2</w:t>
            </w:r>
          </w:p>
        </w:tc>
        <w:tc>
          <w:tcPr>
            <w:tcW w:w="1080" w:type="dxa"/>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3</w:t>
            </w:r>
          </w:p>
        </w:tc>
        <w:tc>
          <w:tcPr>
            <w:tcW w:w="768" w:type="dxa"/>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i w:val="0"/>
                <w:iCs w:val="0"/>
                <w:color w:val="000000"/>
                <w:sz w:val="20"/>
                <w:szCs w:val="20"/>
                <w:u w:val="none"/>
                <w:lang w:val="en-US" w:eastAsia="zh-CN"/>
                <w:highlight w:val="auto"/>
              </w:rPr>
            </w:pPr>
            <w:r>
              <w:rPr>
                <w:rFonts w:ascii="宋体" w:eastAsia="宋体" w:cs="宋体" w:hint="eastAsia"/>
                <w:i w:val="0"/>
                <w:iCs w:val="0"/>
                <w:color w:val="000000"/>
                <w:sz w:val="20"/>
                <w:szCs w:val="20"/>
                <w:u w:val="none"/>
                <w:lang w:val="en-US" w:eastAsia="zh-CN"/>
                <w:highlight w:val="auto"/>
              </w:rPr>
              <w:t>4</w:t>
            </w:r>
          </w:p>
        </w:tc>
        <w:tc>
          <w:tcPr>
            <w:tcW w:w="816" w:type="dxa"/>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5</w:t>
            </w:r>
          </w:p>
        </w:tc>
        <w:tc>
          <w:tcPr>
            <w:tcW w:w="852" w:type="dxa"/>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6</w:t>
            </w:r>
          </w:p>
        </w:tc>
        <w:tc>
          <w:tcPr>
            <w:tcW w:w="959" w:type="dxa"/>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7</w:t>
            </w:r>
          </w:p>
        </w:tc>
      </w:tr>
      <w:tr>
        <w:trPr>
          <w:trHeight w:val="567"/>
        </w:trPr>
        <w:tc>
          <w:tcPr>
            <w:tcW w:w="2670" w:type="dxa"/>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合计</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highlight w:val="auto"/>
              </w:rPr>
              <w:t>143.77</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highlight w:val="auto"/>
              </w:rPr>
              <w:t>143.61</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highlight w:val="auto"/>
              </w:rPr>
              <w:t>0.16</w:t>
            </w: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201</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一般公共服务支出</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125.60</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125.43</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0.16</w:t>
            </w: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20134</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统战事务</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125.60</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125.43</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0.16</w:t>
            </w: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2013401</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行政运行</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91.25</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91.09</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0.16</w:t>
            </w: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2013402</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一般行政管理事务</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1.25</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1.25</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2013450</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事业运行</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21.91</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21.91</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2013499</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其他统战事务支出</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11.18</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11.18</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208</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社会保障和就业支出</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12.89</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12.89</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20805</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行政事业单位养老支出</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12.89</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12.89</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2080501</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行政单位离退休</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1.43</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1.43</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2080505</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机关事业单位基本养老保险缴费支出</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11.46</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11.46</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221</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住房保障支出</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5.29</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5.29</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22102</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住房改革支出</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5.29</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5.29</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1040" w:type="dxa"/>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2210201</w:t>
            </w:r>
          </w:p>
        </w:tc>
        <w:tc>
          <w:tcPr>
            <w:tcW w:w="1630" w:type="dxa"/>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kern w:val="0"/>
                <w:sz w:val="20"/>
                <w:szCs w:val="20"/>
                <w:u w:val="none"/>
                <w:lang w:val="en-US" w:eastAsia="zh-CN" w:bidi="ar-SA"/>
                <w:highlight w:val="auto"/>
              </w:rPr>
            </w:pPr>
            <w:r>
              <w:rPr>
                <w:rFonts w:ascii="方正仿宋_GB2312" w:eastAsia="方正仿宋_GB2312" w:cs="方正仿宋_GB2312" w:hint="eastAsia"/>
                <w:spacing w:val="-2"/>
                <w:sz w:val="20"/>
                <w:szCs w:val="20"/>
                <w:lang w:val="en-US" w:eastAsia="zh-CN"/>
              </w:rPr>
              <w:t>住房公积金</w:t>
            </w:r>
          </w:p>
        </w:tc>
        <w:tc>
          <w:tcPr>
            <w:tcW w:w="117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5.29</w:t>
            </w:r>
          </w:p>
        </w:tc>
        <w:tc>
          <w:tcPr>
            <w:tcW w:w="1128"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r>
              <w:rPr>
                <w:rFonts w:ascii="Times New Roman" w:eastAsia="宋体" w:cs="Times New Roman" w:hAnsi="Times New Roman"/>
                <w:spacing w:val="-2"/>
                <w:sz w:val="20"/>
                <w:szCs w:val="20"/>
                <w:lang w:val="en-US" w:eastAsia="zh-CN"/>
              </w:rPr>
              <w:t>5.29</w:t>
            </w:r>
          </w:p>
        </w:tc>
        <w:tc>
          <w:tcPr>
            <w:tcW w:w="1080"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768" w:type="dxa"/>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16"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852"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c>
          <w:tcPr>
            <w:tcW w:w="959" w:type="dxa"/>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kern w:val="0"/>
                <w:sz w:val="20"/>
                <w:szCs w:val="20"/>
                <w:u w:val="none"/>
                <w:lang w:val="en-US" w:eastAsia="zh-CN" w:bidi="ar-SA"/>
                <w:highlight w:val="auto"/>
              </w:rPr>
            </w:pPr>
          </w:p>
        </w:tc>
      </w:tr>
      <w:tr>
        <w:trPr>
          <w:trHeight w:val="308"/>
        </w:trPr>
        <w:tc>
          <w:tcPr>
            <w:tcW w:w="9449" w:type="dxa"/>
            <w:gridSpan w:val="10"/>
            <w:tcBorders>
              <w:top w:val="nil"/>
              <w:left w:val="nil"/>
              <w:bottom w:val="nil"/>
              <w:right w:val="nil"/>
            </w:tcBorders>
            <w:noWrap/>
            <w:vAlign w:val="center"/>
          </w:tcPr>
          <w:p>
            <w:pPr>
              <w:keepNext w:val="0"/>
              <w:keepLines w:val="0"/>
              <w:widowControl/>
              <w:suppressLineNumbers w:val="0"/>
              <w:jc w:val="left"/>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注：本表反映部门本年度取得的各项收入情况。</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黑体" w:eastAsia="黑体" w:cs="宋体" w:hint="eastAsia"/>
          <w:bCs/>
          <w:kern w:val="0"/>
          <w:sz w:val="32"/>
          <w:szCs w:val="32"/>
          <w:highlight w:val="auto"/>
        </w:rPr>
      </w:pPr>
      <w:r>
        <w:rPr>
          <w:rFonts w:ascii="仿宋_GB2312" w:eastAsia="仿宋_GB2312" w:hint="eastAsia"/>
          <w:b/>
          <w:color w:val="auto"/>
          <w:kern w:val="0"/>
          <w:sz w:val="32"/>
          <w:szCs w:val="32"/>
          <w:highlight w:val="auto"/>
        </w:rPr>
        <w:br w:type="page"/>
      </w:r>
    </w:p>
    <w:tbl>
      <w:tblPr>
        <w:jc w:val="center"/>
        <w:tblW w:w="5811"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023"/>
        <w:gridCol w:w="1830"/>
        <w:gridCol w:w="577"/>
        <w:gridCol w:w="735"/>
        <w:gridCol w:w="1017"/>
        <w:gridCol w:w="831"/>
        <w:gridCol w:w="304"/>
        <w:gridCol w:w="1017"/>
        <w:gridCol w:w="745"/>
        <w:gridCol w:w="1135"/>
      </w:tblGrid>
      <w:tr>
        <w:trPr>
          <w:trHeight w:val="550"/>
        </w:trPr>
        <w:tc>
          <w:tcPr>
            <w:tcW w:w="5000" w:type="pct"/>
            <w:gridSpan w:val="10"/>
            <w:tcBorders>
              <w:top w:val="nil"/>
              <w:left w:val="nil"/>
              <w:bottom w:val="nil"/>
              <w:right w:val="nil"/>
            </w:tcBorders>
            <w:noWrap/>
            <w:vAlign w:val="bottom"/>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b w:val="0"/>
                <w:bCs/>
                <w:color w:val="auto"/>
                <w:kern w:val="0"/>
                <w:sz w:val="32"/>
                <w:szCs w:val="32"/>
                <w:lang w:val="en-US" w:eastAsia="zh-CN"/>
                <w:highlight w:val="auto"/>
              </w:rPr>
              <w:br w:type="page"/>
              <w:t>支出决算表</w:t>
            </w:r>
          </w:p>
        </w:tc>
      </w:tr>
      <w:tr>
        <w:trPr>
          <w:trHeight w:val="300"/>
        </w:trPr>
        <w:tc>
          <w:tcPr>
            <w:tcW w:w="5000" w:type="pct"/>
            <w:gridSpan w:val="10"/>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公开</w:t>
            </w:r>
            <w:r>
              <w:rPr>
                <w:rFonts w:ascii="Times New Roman" w:eastAsia="宋体" w:cs="Times New Roman" w:hAnsi="Times New Roman"/>
                <w:i w:val="0"/>
                <w:iCs w:val="0"/>
                <w:color w:val="000000"/>
                <w:kern w:val="0"/>
                <w:sz w:val="20"/>
                <w:szCs w:val="20"/>
                <w:u w:val="none"/>
                <w:lang w:val="en-US" w:eastAsia="zh-CN"/>
                <w:highlight w:val="auto"/>
              </w:rPr>
              <w:t>03</w:t>
            </w:r>
            <w:r>
              <w:rPr>
                <w:rFonts w:ascii="方正仿宋_GB2312" w:eastAsia="方正仿宋_GB2312" w:cs="方正仿宋_GB2312" w:hint="eastAsia"/>
                <w:i w:val="0"/>
                <w:iCs w:val="0"/>
                <w:color w:val="000000"/>
                <w:kern w:val="0"/>
                <w:sz w:val="20"/>
                <w:szCs w:val="20"/>
                <w:u w:val="none"/>
                <w:lang w:val="en-US" w:eastAsia="zh-CN"/>
                <w:highlight w:val="auto"/>
              </w:rPr>
              <w:t>表</w:t>
            </w:r>
          </w:p>
        </w:tc>
      </w:tr>
      <w:tr>
        <w:trPr>
          <w:trHeight w:val="300"/>
        </w:trPr>
        <w:tc>
          <w:tcPr>
            <w:tcW w:w="1861" w:type="pct"/>
            <w:gridSpan w:val="3"/>
            <w:tcBorders>
              <w:top w:val="nil"/>
              <w:left w:val="nil"/>
              <w:bottom w:val="single" w:sz="4" w:space="0" w:color="auto"/>
              <w:right w:val="nil"/>
            </w:tcBorders>
            <w:noWrap/>
            <w:vAlign w:val="bottom"/>
          </w:tcPr>
          <w:p>
            <w:pPr>
              <w:keepNext w:val="0"/>
              <w:keepLines w:val="0"/>
              <w:widowControl/>
              <w:suppressLineNumbers w:val="0"/>
              <w:jc w:val="lef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 xml:space="preserve">部门（单位）：中国共产党涞源县委员会统战部 </w:t>
            </w:r>
            <w:r>
              <w:rPr>
                <w:rFonts w:ascii="宋体" w:eastAsia="宋体" w:cs="宋体" w:hint="eastAsia"/>
                <w:i w:val="0"/>
                <w:iCs w:val="0"/>
                <w:color w:val="000000"/>
                <w:kern w:val="0"/>
                <w:sz w:val="20"/>
                <w:szCs w:val="20"/>
                <w:u w:val="none"/>
                <w:lang w:val="en-US" w:eastAsia="zh-CN"/>
                <w:highlight w:val="auto"/>
              </w:rPr>
              <w:t xml:space="preserve">                                                                                                         </w:t>
            </w:r>
          </w:p>
        </w:tc>
        <w:tc>
          <w:tcPr>
            <w:tcW w:w="1402" w:type="pct"/>
            <w:gridSpan w:val="3"/>
            <w:tcBorders>
              <w:top w:val="nil"/>
              <w:left w:val="nil"/>
              <w:bottom w:val="single" w:sz="4" w:space="0" w:color="auto"/>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kern w:val="0"/>
                <w:sz w:val="20"/>
                <w:szCs w:val="20"/>
                <w:u w:val="none"/>
                <w:lang w:val="en-US" w:eastAsia="zh-CN"/>
                <w:highlight w:val="auto"/>
              </w:rPr>
            </w:pPr>
            <w:r>
              <w:rPr>
                <w:rFonts w:ascii="Times New Roman" w:eastAsia="宋体" w:cs="Times New Roman" w:hAnsi="Times New Roman"/>
                <w:i w:val="0"/>
                <w:iCs w:val="0"/>
                <w:color w:val="000000"/>
                <w:kern w:val="0"/>
                <w:sz w:val="20"/>
                <w:szCs w:val="20"/>
                <w:u w:val="none"/>
                <w:lang w:val="en-US" w:eastAsia="zh-CN"/>
                <w:highlight w:val="auto"/>
              </w:rPr>
              <w:t>202</w:t>
            </w:r>
            <w:r>
              <w:rPr>
                <w:rFonts w:ascii="Times New Roman" w:cs="Times New Roman" w:hAnsi="Times New Roman" w:hint="eastAsia"/>
                <w:i w:val="0"/>
                <w:iCs w:val="0"/>
                <w:color w:val="000000"/>
                <w:kern w:val="0"/>
                <w:sz w:val="20"/>
                <w:szCs w:val="20"/>
                <w:u w:val="none"/>
                <w:lang w:val="en-US" w:eastAsia="zh-CN"/>
                <w:highlight w:val="auto"/>
              </w:rPr>
              <w:t>4</w:t>
            </w:r>
            <w:r>
              <w:rPr>
                <w:rFonts w:ascii="方正仿宋_GB2312" w:eastAsia="方正仿宋_GB2312" w:cs="方正仿宋_GB2312" w:hint="eastAsia"/>
                <w:i w:val="0"/>
                <w:iCs w:val="0"/>
                <w:color w:val="000000"/>
                <w:kern w:val="0"/>
                <w:sz w:val="20"/>
                <w:szCs w:val="20"/>
                <w:u w:val="none"/>
                <w:lang w:val="en-US" w:eastAsia="zh-CN"/>
                <w:highlight w:val="auto"/>
              </w:rPr>
              <w:t>年度</w:t>
            </w:r>
          </w:p>
        </w:tc>
        <w:tc>
          <w:tcPr>
            <w:tcW w:w="1735" w:type="pct"/>
            <w:gridSpan w:val="4"/>
            <w:tcBorders>
              <w:top w:val="nil"/>
              <w:left w:val="nil"/>
              <w:bottom w:val="single" w:sz="4" w:space="0" w:color="auto"/>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 xml:space="preserve"> 金额单位：万元</w:t>
            </w:r>
          </w:p>
        </w:tc>
      </w:tr>
      <w:tr>
        <w:trPr>
          <w:trHeight w:val="510"/>
        </w:trPr>
        <w:tc>
          <w:tcPr>
            <w:tcW w:w="1548" w:type="pct"/>
            <w:gridSpan w:val="2"/>
            <w:tcBorders>
              <w:top w:val="single" w:sz="4" w:space="0" w:color="auto"/>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w:t>
            </w:r>
          </w:p>
        </w:tc>
        <w:tc>
          <w:tcPr>
            <w:tcW w:w="712" w:type="pct"/>
            <w:gridSpan w:val="2"/>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本年支出合计</w:t>
            </w:r>
          </w:p>
        </w:tc>
        <w:tc>
          <w:tcPr>
            <w:tcW w:w="552" w:type="pct"/>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基本支出</w:t>
            </w:r>
          </w:p>
        </w:tc>
        <w:tc>
          <w:tcPr>
            <w:tcW w:w="616" w:type="pct"/>
            <w:gridSpan w:val="2"/>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项目支出</w:t>
            </w:r>
          </w:p>
        </w:tc>
        <w:tc>
          <w:tcPr>
            <w:tcW w:w="552" w:type="pct"/>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上缴上级支出</w:t>
            </w:r>
          </w:p>
        </w:tc>
        <w:tc>
          <w:tcPr>
            <w:tcW w:w="404" w:type="pct"/>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经营支出</w:t>
            </w:r>
          </w:p>
        </w:tc>
        <w:tc>
          <w:tcPr>
            <w:tcW w:w="613" w:type="pct"/>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对附属单位补助支出</w:t>
            </w:r>
          </w:p>
        </w:tc>
      </w:tr>
      <w:tr>
        <w:trPr>
          <w:trHeight w:val="308"/>
        </w:trPr>
        <w:tc>
          <w:tcPr>
            <w:tcW w:w="555" w:type="pct"/>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科目代码</w:t>
            </w:r>
          </w:p>
        </w:tc>
        <w:tc>
          <w:tcPr>
            <w:tcW w:w="992"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科目名称</w:t>
            </w:r>
          </w:p>
        </w:tc>
        <w:tc>
          <w:tcPr>
            <w:tcW w:w="712" w:type="pct"/>
            <w:gridSpan w:val="2"/>
            <w:vMerge/>
            <w:tcBorders>
              <w:top w:val="single" w:sz="4" w:space="0" w:color="000000"/>
              <w:left w:val="nil"/>
              <w:bottom w:val="single" w:sz="4" w:space="0" w:color="000000"/>
              <w:right w:val="single" w:sz="4" w:space="0" w:color="000000"/>
            </w:tcBorders>
            <w:noWrap/>
            <w:vAlign w:val="center"/>
          </w:tcPr>
          <w:p/>
        </w:tc>
        <w:tc>
          <w:tcPr>
            <w:tcW w:w="552" w:type="pct"/>
            <w:vMerge/>
            <w:tcBorders>
              <w:top w:val="single" w:sz="4" w:space="0" w:color="000000"/>
              <w:left w:val="nil"/>
              <w:bottom w:val="single" w:sz="4" w:space="0" w:color="000000"/>
              <w:right w:val="single" w:sz="4" w:space="0" w:color="000000"/>
            </w:tcBorders>
            <w:noWrap/>
            <w:vAlign w:val="center"/>
          </w:tcPr>
          <w:p/>
        </w:tc>
        <w:tc>
          <w:tcPr>
            <w:tcW w:w="616" w:type="pct"/>
            <w:gridSpan w:val="2"/>
            <w:vMerge/>
            <w:tcBorders>
              <w:top w:val="single" w:sz="4" w:space="0" w:color="000000"/>
              <w:left w:val="nil"/>
              <w:bottom w:val="single" w:sz="4" w:space="0" w:color="000000"/>
              <w:right w:val="single" w:sz="4" w:space="0" w:color="000000"/>
            </w:tcBorders>
            <w:noWrap/>
            <w:vAlign w:val="center"/>
          </w:tcPr>
          <w:p/>
        </w:tc>
        <w:tc>
          <w:tcPr>
            <w:tcW w:w="552" w:type="pct"/>
            <w:vMerge/>
            <w:tcBorders>
              <w:top w:val="single" w:sz="4" w:space="0" w:color="000000"/>
              <w:left w:val="nil"/>
              <w:bottom w:val="single" w:sz="4" w:space="0" w:color="000000"/>
              <w:right w:val="single" w:sz="4" w:space="0" w:color="000000"/>
            </w:tcBorders>
            <w:noWrap/>
            <w:vAlign w:val="center"/>
          </w:tcPr>
          <w:p/>
        </w:tc>
        <w:tc>
          <w:tcPr>
            <w:tcW w:w="404" w:type="pct"/>
            <w:vMerge/>
            <w:tcBorders>
              <w:top w:val="single" w:sz="4" w:space="0" w:color="000000"/>
              <w:left w:val="nil"/>
              <w:bottom w:val="single" w:sz="4" w:space="0" w:color="000000"/>
              <w:right w:val="single" w:sz="4" w:space="0" w:color="000000"/>
            </w:tcBorders>
            <w:noWrap/>
            <w:vAlign w:val="center"/>
          </w:tcPr>
          <w:p/>
        </w:tc>
        <w:tc>
          <w:tcPr>
            <w:tcW w:w="613" w:type="pct"/>
            <w:vMerge/>
            <w:tcBorders>
              <w:top w:val="single" w:sz="4" w:space="0" w:color="000000"/>
              <w:left w:val="nil"/>
              <w:bottom w:val="single" w:sz="4" w:space="0" w:color="000000"/>
              <w:right w:val="single" w:sz="4" w:space="0" w:color="000000"/>
            </w:tcBorders>
            <w:noWrap/>
            <w:vAlign w:val="center"/>
          </w:tcPr>
          <w:p/>
        </w:tc>
      </w:tr>
      <w:tr>
        <w:trPr>
          <w:trHeight w:val="308"/>
        </w:trPr>
        <w:tc>
          <w:tcPr>
            <w:tcW w:w="555" w:type="pct"/>
            <w:vMerge/>
            <w:tcBorders>
              <w:top w:val="nil"/>
              <w:left w:val="single" w:sz="4" w:space="0" w:color="000000"/>
              <w:bottom w:val="single" w:sz="4" w:space="0" w:color="000000"/>
              <w:right w:val="single" w:sz="4" w:space="0" w:color="000000"/>
            </w:tcBorders>
            <w:noWrap/>
            <w:vAlign w:val="center"/>
          </w:tcPr>
          <w:p/>
        </w:tc>
        <w:tc>
          <w:tcPr>
            <w:tcW w:w="992" w:type="pct"/>
            <w:vMerge/>
            <w:tcBorders>
              <w:top w:val="nil"/>
              <w:left w:val="nil"/>
              <w:bottom w:val="single" w:sz="4" w:space="0" w:color="000000"/>
              <w:right w:val="single" w:sz="4" w:space="0" w:color="000000"/>
            </w:tcBorders>
            <w:noWrap/>
            <w:vAlign w:val="center"/>
          </w:tcPr>
          <w:p/>
        </w:tc>
        <w:tc>
          <w:tcPr>
            <w:tcW w:w="712" w:type="pct"/>
            <w:gridSpan w:val="2"/>
            <w:vMerge/>
            <w:tcBorders>
              <w:top w:val="single" w:sz="4" w:space="0" w:color="000000"/>
              <w:left w:val="nil"/>
              <w:bottom w:val="single" w:sz="4" w:space="0" w:color="000000"/>
              <w:right w:val="single" w:sz="4" w:space="0" w:color="000000"/>
            </w:tcBorders>
            <w:noWrap/>
            <w:vAlign w:val="center"/>
          </w:tcPr>
          <w:p/>
        </w:tc>
        <w:tc>
          <w:tcPr>
            <w:tcW w:w="552" w:type="pct"/>
            <w:vMerge/>
            <w:tcBorders>
              <w:top w:val="single" w:sz="4" w:space="0" w:color="000000"/>
              <w:left w:val="nil"/>
              <w:bottom w:val="single" w:sz="4" w:space="0" w:color="000000"/>
              <w:right w:val="single" w:sz="4" w:space="0" w:color="000000"/>
            </w:tcBorders>
            <w:noWrap/>
            <w:vAlign w:val="center"/>
          </w:tcPr>
          <w:p/>
        </w:tc>
        <w:tc>
          <w:tcPr>
            <w:tcW w:w="616" w:type="pct"/>
            <w:gridSpan w:val="2"/>
            <w:vMerge/>
            <w:tcBorders>
              <w:top w:val="single" w:sz="4" w:space="0" w:color="000000"/>
              <w:left w:val="nil"/>
              <w:bottom w:val="single" w:sz="4" w:space="0" w:color="000000"/>
              <w:right w:val="single" w:sz="4" w:space="0" w:color="000000"/>
            </w:tcBorders>
            <w:noWrap/>
            <w:vAlign w:val="center"/>
          </w:tcPr>
          <w:p/>
        </w:tc>
        <w:tc>
          <w:tcPr>
            <w:tcW w:w="552" w:type="pct"/>
            <w:vMerge/>
            <w:tcBorders>
              <w:top w:val="single" w:sz="4" w:space="0" w:color="000000"/>
              <w:left w:val="nil"/>
              <w:bottom w:val="single" w:sz="4" w:space="0" w:color="000000"/>
              <w:right w:val="single" w:sz="4" w:space="0" w:color="000000"/>
            </w:tcBorders>
            <w:noWrap/>
            <w:vAlign w:val="center"/>
          </w:tcPr>
          <w:p/>
        </w:tc>
        <w:tc>
          <w:tcPr>
            <w:tcW w:w="404" w:type="pct"/>
            <w:vMerge/>
            <w:tcBorders>
              <w:top w:val="single" w:sz="4" w:space="0" w:color="000000"/>
              <w:left w:val="nil"/>
              <w:bottom w:val="single" w:sz="4" w:space="0" w:color="000000"/>
              <w:right w:val="single" w:sz="4" w:space="0" w:color="000000"/>
            </w:tcBorders>
            <w:noWrap/>
            <w:vAlign w:val="center"/>
          </w:tcPr>
          <w:p/>
        </w:tc>
        <w:tc>
          <w:tcPr>
            <w:tcW w:w="613" w:type="pct"/>
            <w:vMerge/>
            <w:tcBorders>
              <w:top w:val="single" w:sz="4" w:space="0" w:color="000000"/>
              <w:left w:val="nil"/>
              <w:bottom w:val="single" w:sz="4" w:space="0" w:color="000000"/>
              <w:right w:val="single" w:sz="4" w:space="0" w:color="000000"/>
            </w:tcBorders>
            <w:noWrap/>
            <w:vAlign w:val="center"/>
          </w:tcPr>
          <w:p/>
        </w:tc>
      </w:tr>
      <w:tr>
        <w:trPr>
          <w:trHeight w:val="308"/>
        </w:trPr>
        <w:tc>
          <w:tcPr>
            <w:tcW w:w="555" w:type="pct"/>
            <w:vMerge/>
            <w:tcBorders>
              <w:top w:val="nil"/>
              <w:left w:val="single" w:sz="4" w:space="0" w:color="000000"/>
              <w:bottom w:val="single" w:sz="4" w:space="0" w:color="000000"/>
              <w:right w:val="single" w:sz="4" w:space="0" w:color="000000"/>
            </w:tcBorders>
            <w:noWrap/>
            <w:vAlign w:val="center"/>
          </w:tcPr>
          <w:p/>
        </w:tc>
        <w:tc>
          <w:tcPr>
            <w:tcW w:w="992" w:type="pct"/>
            <w:vMerge/>
            <w:tcBorders>
              <w:top w:val="nil"/>
              <w:left w:val="nil"/>
              <w:bottom w:val="single" w:sz="4" w:space="0" w:color="000000"/>
              <w:right w:val="single" w:sz="4" w:space="0" w:color="000000"/>
            </w:tcBorders>
            <w:noWrap/>
            <w:vAlign w:val="center"/>
          </w:tcPr>
          <w:p/>
        </w:tc>
        <w:tc>
          <w:tcPr>
            <w:tcW w:w="712" w:type="pct"/>
            <w:gridSpan w:val="2"/>
            <w:vMerge/>
            <w:tcBorders>
              <w:top w:val="single" w:sz="4" w:space="0" w:color="000000"/>
              <w:left w:val="nil"/>
              <w:bottom w:val="single" w:sz="4" w:space="0" w:color="000000"/>
              <w:right w:val="single" w:sz="4" w:space="0" w:color="000000"/>
            </w:tcBorders>
            <w:noWrap/>
            <w:vAlign w:val="center"/>
          </w:tcPr>
          <w:p/>
        </w:tc>
        <w:tc>
          <w:tcPr>
            <w:tcW w:w="552" w:type="pct"/>
            <w:vMerge/>
            <w:tcBorders>
              <w:top w:val="single" w:sz="4" w:space="0" w:color="000000"/>
              <w:left w:val="nil"/>
              <w:bottom w:val="single" w:sz="4" w:space="0" w:color="000000"/>
              <w:right w:val="single" w:sz="4" w:space="0" w:color="000000"/>
            </w:tcBorders>
            <w:noWrap/>
            <w:vAlign w:val="center"/>
          </w:tcPr>
          <w:p/>
        </w:tc>
        <w:tc>
          <w:tcPr>
            <w:tcW w:w="616" w:type="pct"/>
            <w:gridSpan w:val="2"/>
            <w:vMerge/>
            <w:tcBorders>
              <w:top w:val="single" w:sz="4" w:space="0" w:color="000000"/>
              <w:left w:val="nil"/>
              <w:bottom w:val="single" w:sz="4" w:space="0" w:color="000000"/>
              <w:right w:val="single" w:sz="4" w:space="0" w:color="000000"/>
            </w:tcBorders>
            <w:noWrap/>
            <w:vAlign w:val="center"/>
          </w:tcPr>
          <w:p/>
        </w:tc>
        <w:tc>
          <w:tcPr>
            <w:tcW w:w="552" w:type="pct"/>
            <w:vMerge/>
            <w:tcBorders>
              <w:top w:val="single" w:sz="4" w:space="0" w:color="000000"/>
              <w:left w:val="nil"/>
              <w:bottom w:val="single" w:sz="4" w:space="0" w:color="000000"/>
              <w:right w:val="single" w:sz="4" w:space="0" w:color="000000"/>
            </w:tcBorders>
            <w:noWrap/>
            <w:vAlign w:val="center"/>
          </w:tcPr>
          <w:p/>
        </w:tc>
        <w:tc>
          <w:tcPr>
            <w:tcW w:w="404" w:type="pct"/>
            <w:vMerge/>
            <w:tcBorders>
              <w:top w:val="single" w:sz="4" w:space="0" w:color="000000"/>
              <w:left w:val="nil"/>
              <w:bottom w:val="single" w:sz="4" w:space="0" w:color="000000"/>
              <w:right w:val="single" w:sz="4" w:space="0" w:color="000000"/>
            </w:tcBorders>
            <w:noWrap/>
            <w:vAlign w:val="center"/>
          </w:tcPr>
          <w:p/>
        </w:tc>
        <w:tc>
          <w:tcPr>
            <w:tcW w:w="613" w:type="pct"/>
            <w:vMerge/>
            <w:tcBorders>
              <w:top w:val="single" w:sz="4" w:space="0" w:color="000000"/>
              <w:left w:val="nil"/>
              <w:bottom w:val="single" w:sz="4" w:space="0" w:color="000000"/>
              <w:right w:val="single" w:sz="4" w:space="0" w:color="000000"/>
            </w:tcBorders>
            <w:noWrap/>
            <w:vAlign w:val="center"/>
          </w:tcPr>
          <w:p/>
        </w:tc>
      </w:tr>
      <w:tr>
        <w:trPr>
          <w:trHeight w:val="454"/>
        </w:trPr>
        <w:tc>
          <w:tcPr>
            <w:tcW w:w="1548" w:type="pct"/>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栏次</w:t>
            </w:r>
          </w:p>
        </w:tc>
        <w:tc>
          <w:tcPr>
            <w:tcW w:w="712"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w:t>
            </w:r>
          </w:p>
        </w:tc>
        <w:tc>
          <w:tcPr>
            <w:tcW w:w="552"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w:t>
            </w:r>
          </w:p>
        </w:tc>
        <w:tc>
          <w:tcPr>
            <w:tcW w:w="61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w:t>
            </w:r>
          </w:p>
        </w:tc>
        <w:tc>
          <w:tcPr>
            <w:tcW w:w="552"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w:t>
            </w:r>
          </w:p>
        </w:tc>
        <w:tc>
          <w:tcPr>
            <w:tcW w:w="404"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w:t>
            </w:r>
          </w:p>
        </w:tc>
        <w:tc>
          <w:tcPr>
            <w:tcW w:w="613"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w:t>
            </w:r>
          </w:p>
        </w:tc>
      </w:tr>
      <w:tr>
        <w:trPr>
          <w:trHeight w:val="308"/>
        </w:trPr>
        <w:tc>
          <w:tcPr>
            <w:tcW w:w="1548" w:type="pct"/>
            <w:gridSpan w:val="2"/>
            <w:tcBorders>
              <w:top w:val="single" w:sz="4" w:space="0" w:color="000000"/>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合计</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143.78</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131.35</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12.43</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一般公共服务支出</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125.60</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113.17</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12.43</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统战事务</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125.60</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113.17</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12.43</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2013401</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行政运行</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91.26</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91.26</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2013402</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一般行政管理事务</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2013450</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事业运行</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21.91</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21.91</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2013499</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其他统战事务支出</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11.18</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11.18</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社会保障和就业支出</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20805</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行政事业单位养老支出</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2080501</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行政单位离退休</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1.43</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1.43</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2080505</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机关事业单位基本养老保险缴费支出</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11.46</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11.46</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221</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住房保障支出</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22102</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住房改革支出</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55" w:type="pct"/>
            <w:tcBorders>
              <w:top w:val="nil"/>
              <w:left w:val="single" w:sz="4" w:space="0" w:color="000000"/>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2210201</w:t>
            </w:r>
          </w:p>
        </w:tc>
        <w:tc>
          <w:tcPr>
            <w:tcW w:w="992" w:type="pct"/>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住房公积金</w:t>
            </w:r>
          </w:p>
        </w:tc>
        <w:tc>
          <w:tcPr>
            <w:tcW w:w="71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616"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04"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61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000" w:type="pct"/>
            <w:gridSpan w:val="10"/>
            <w:tcBorders>
              <w:top w:val="nil"/>
              <w:left w:val="nil"/>
              <w:bottom w:val="nil"/>
              <w:right w:val="nil"/>
            </w:tcBorders>
            <w:noWrap/>
            <w:vAlign w:val="center"/>
          </w:tcPr>
          <w:p>
            <w:pPr>
              <w:keepNext w:val="0"/>
              <w:keepLines w:val="0"/>
              <w:widowControl/>
              <w:suppressLineNumbers w:val="0"/>
              <w:jc w:val="left"/>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注：本表反映部门本年度各项支出情况。</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r>
        <w:rPr>
          <w:rFonts w:ascii="仿宋_GB2312" w:eastAsia="仿宋_GB2312" w:hint="eastAsia"/>
          <w:b/>
          <w:color w:val="auto"/>
          <w:kern w:val="0"/>
          <w:sz w:val="32"/>
          <w:szCs w:val="32"/>
          <w:highlight w:val="auto"/>
        </w:rPr>
        <w:br w:type="page"/>
      </w:r>
    </w:p>
    <w:tbl>
      <w:tblPr>
        <w:jc w:val="left"/>
        <w:tblInd w:w="-1479" w:type="dxa"/>
        <w:tblW w:w="6743"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578"/>
        <w:gridCol w:w="612"/>
        <w:gridCol w:w="1409"/>
        <w:gridCol w:w="1636"/>
        <w:gridCol w:w="430"/>
        <w:gridCol w:w="612"/>
        <w:gridCol w:w="456"/>
        <w:gridCol w:w="490"/>
        <w:gridCol w:w="1243"/>
        <w:gridCol w:w="1140"/>
        <w:gridCol w:w="1089"/>
      </w:tblGrid>
      <w:tr>
        <w:trPr>
          <w:trHeight w:val="550"/>
        </w:trPr>
        <w:tc>
          <w:tcPr>
            <w:tcW w:w="5000" w:type="pct"/>
            <w:gridSpan w:val="11"/>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b w:val="0"/>
                <w:bCs/>
                <w:color w:val="auto"/>
                <w:kern w:val="0"/>
                <w:sz w:val="32"/>
                <w:szCs w:val="32"/>
                <w:lang w:val="en-US" w:eastAsia="zh-CN"/>
                <w:highlight w:val="auto"/>
              </w:rPr>
              <w:t>财政拨款收入支出决算总表</w:t>
            </w:r>
          </w:p>
        </w:tc>
      </w:tr>
      <w:tr>
        <w:trPr>
          <w:trHeight w:val="300"/>
        </w:trPr>
        <w:tc>
          <w:tcPr>
            <w:tcW w:w="5000" w:type="pct"/>
            <w:gridSpan w:val="11"/>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公开04表</w:t>
            </w:r>
          </w:p>
        </w:tc>
      </w:tr>
      <w:tr>
        <w:trPr>
          <w:trHeight w:val="300"/>
        </w:trPr>
        <w:tc>
          <w:tcPr>
            <w:tcW w:w="2448" w:type="pct"/>
            <w:gridSpan w:val="4"/>
            <w:tcBorders>
              <w:top w:val="nil"/>
              <w:left w:val="nil"/>
              <w:bottom w:val="single" w:sz="4" w:space="0" w:color="auto"/>
              <w:right w:val="nil"/>
            </w:tcBorders>
            <w:noWrap/>
            <w:vAlign w:val="bottom"/>
          </w:tcPr>
          <w:p>
            <w:pPr>
              <w:rPr>
                <w:rFonts w:ascii="仿宋" w:eastAsia="仿宋" w:cs="仿宋"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 xml:space="preserve">部门（单位）：中国共产党涞源县委员会统战部 </w:t>
            </w:r>
            <w:r>
              <w:rPr>
                <w:rFonts w:ascii="宋体" w:eastAsia="宋体" w:cs="宋体" w:hint="eastAsia"/>
                <w:i w:val="0"/>
                <w:iCs w:val="0"/>
                <w:color w:val="000000"/>
                <w:kern w:val="0"/>
                <w:sz w:val="20"/>
                <w:szCs w:val="20"/>
                <w:u w:val="none"/>
                <w:lang w:val="en-US" w:eastAsia="zh-CN"/>
                <w:highlight w:val="auto"/>
              </w:rPr>
              <w:t xml:space="preserve">                                                                                                   </w:t>
            </w:r>
          </w:p>
        </w:tc>
        <w:tc>
          <w:tcPr>
            <w:tcW w:w="700" w:type="pct"/>
            <w:gridSpan w:val="3"/>
            <w:tcBorders>
              <w:top w:val="nil"/>
              <w:left w:val="nil"/>
              <w:bottom w:val="single" w:sz="4" w:space="0" w:color="auto"/>
              <w:right w:val="nil"/>
            </w:tcBorders>
            <w:noWrap/>
            <w:vAlign w:val="bottom"/>
          </w:tcPr>
          <w:p>
            <w:pPr>
              <w:jc w:val="center"/>
              <w:rPr>
                <w:rFonts w:ascii="宋体" w:eastAsia="宋体" w:cs="宋体"/>
                <w:i w:val="0"/>
                <w:iCs w:val="0"/>
                <w:color w:val="000000"/>
                <w:kern w:val="0"/>
                <w:sz w:val="20"/>
                <w:szCs w:val="20"/>
                <w:u w:val="none"/>
                <w:lang w:val="en-US" w:eastAsia="zh-CN"/>
                <w:highlight w:val="auto"/>
              </w:rPr>
            </w:pPr>
            <w:r>
              <w:rPr>
                <w:rFonts w:ascii="Times New Roman" w:cs="Times New Roman" w:hAnsi="Times New Roman"/>
                <w:i w:val="0"/>
                <w:iCs w:val="0"/>
                <w:color w:val="000000"/>
                <w:kern w:val="0"/>
                <w:sz w:val="20"/>
                <w:szCs w:val="20"/>
                <w:u w:val="none"/>
                <w:lang w:val="en-US" w:eastAsia="zh-CN"/>
                <w:highlight w:val="auto"/>
              </w:rPr>
              <w:t>202</w:t>
            </w:r>
            <w:r>
              <w:rPr>
                <w:rFonts w:ascii="Times New Roman" w:cs="Times New Roman" w:hAnsi="Times New Roman" w:hint="eastAsia"/>
                <w:i w:val="0"/>
                <w:iCs w:val="0"/>
                <w:color w:val="000000"/>
                <w:kern w:val="0"/>
                <w:sz w:val="20"/>
                <w:szCs w:val="20"/>
                <w:u w:val="none"/>
                <w:lang w:val="en-US" w:eastAsia="zh-CN"/>
                <w:highlight w:val="auto"/>
              </w:rPr>
              <w:t>4</w:t>
            </w:r>
            <w:r>
              <w:rPr>
                <w:rFonts w:ascii="方正仿宋_GB2312" w:eastAsia="方正仿宋_GB2312" w:cs="方正仿宋_GB2312" w:hint="eastAsia"/>
                <w:i w:val="0"/>
                <w:iCs w:val="0"/>
                <w:color w:val="000000"/>
                <w:kern w:val="0"/>
                <w:sz w:val="20"/>
                <w:szCs w:val="20"/>
                <w:u w:val="none"/>
                <w:lang w:val="en-US" w:eastAsia="zh-CN"/>
                <w:highlight w:val="auto"/>
              </w:rPr>
              <w:t>年度</w:t>
            </w:r>
          </w:p>
        </w:tc>
        <w:tc>
          <w:tcPr>
            <w:tcW w:w="1851" w:type="pct"/>
            <w:gridSpan w:val="4"/>
            <w:tcBorders>
              <w:top w:val="nil"/>
              <w:left w:val="nil"/>
              <w:bottom w:val="single" w:sz="4" w:space="0" w:color="auto"/>
              <w:right w:val="nil"/>
            </w:tcBorders>
            <w:noWrap/>
            <w:vAlign w:val="bottom"/>
          </w:tcPr>
          <w:p>
            <w:pPr>
              <w:jc w:val="right"/>
              <w:rPr>
                <w:rFonts w:ascii="宋体" w:eastAsia="宋体" w:cs="宋体"/>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金额单位：万元</w:t>
            </w:r>
          </w:p>
        </w:tc>
      </w:tr>
      <w:tr>
        <w:trPr>
          <w:trHeight w:val="308"/>
        </w:trPr>
        <w:tc>
          <w:tcPr>
            <w:tcW w:w="1683" w:type="pct"/>
            <w:gridSpan w:val="3"/>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收入</w:t>
            </w:r>
          </w:p>
        </w:tc>
        <w:tc>
          <w:tcPr>
            <w:tcW w:w="3316" w:type="pct"/>
            <w:gridSpan w:val="8"/>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支出</w:t>
            </w:r>
          </w:p>
        </w:tc>
      </w:tr>
      <w:tr>
        <w:trPr>
          <w:trHeight w:val="312"/>
        </w:trPr>
        <w:tc>
          <w:tcPr>
            <w:tcW w:w="738" w:type="pct"/>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    目</w:t>
            </w:r>
          </w:p>
        </w:tc>
        <w:tc>
          <w:tcPr>
            <w:tcW w:w="286"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行次</w:t>
            </w:r>
          </w:p>
        </w:tc>
        <w:tc>
          <w:tcPr>
            <w:tcW w:w="658"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金额</w:t>
            </w:r>
          </w:p>
        </w:tc>
        <w:tc>
          <w:tcPr>
            <w:tcW w:w="966" w:type="pct"/>
            <w:gridSpan w:val="2"/>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w:t>
            </w:r>
          </w:p>
        </w:tc>
        <w:tc>
          <w:tcPr>
            <w:tcW w:w="286"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行次</w:t>
            </w:r>
          </w:p>
        </w:tc>
        <w:tc>
          <w:tcPr>
            <w:tcW w:w="442" w:type="pct"/>
            <w:gridSpan w:val="2"/>
            <w:vMerge w:val="restart"/>
            <w:tcBorders>
              <w:top w:val="nil"/>
              <w:left w:val="nil"/>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highlight w:val="auto"/>
              </w:rPr>
              <w:t>合计</w:t>
            </w:r>
          </w:p>
        </w:tc>
        <w:tc>
          <w:tcPr>
            <w:tcW w:w="581" w:type="pct"/>
            <w:vMerge w:val="restart"/>
            <w:tcBorders>
              <w:top w:val="nil"/>
              <w:left w:val="nil"/>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highlight w:val="auto"/>
              </w:rPr>
              <w:t>一般公共预算财政拨款</w:t>
            </w:r>
          </w:p>
        </w:tc>
        <w:tc>
          <w:tcPr>
            <w:tcW w:w="533" w:type="pct"/>
            <w:vMerge w:val="restart"/>
            <w:tcBorders>
              <w:top w:val="nil"/>
              <w:left w:val="nil"/>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highlight w:val="auto"/>
              </w:rPr>
              <w:t>政府性基金预算财政拨款</w:t>
            </w:r>
          </w:p>
        </w:tc>
        <w:tc>
          <w:tcPr>
            <w:tcW w:w="505" w:type="pct"/>
            <w:vMerge w:val="restart"/>
            <w:tcBorders>
              <w:top w:val="nil"/>
              <w:left w:val="nil"/>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highlight w:val="auto"/>
              </w:rPr>
              <w:t>国有资本经营预算财政拨款</w:t>
            </w:r>
          </w:p>
        </w:tc>
      </w:tr>
      <w:tr>
        <w:trPr>
          <w:trHeight w:val="312"/>
        </w:trPr>
        <w:tc>
          <w:tcPr>
            <w:tcW w:w="847" w:type="pct"/>
            <w:vMerge/>
            <w:tcBorders>
              <w:top w:val="nil"/>
              <w:left w:val="single" w:sz="4" w:space="0" w:color="000000"/>
              <w:bottom w:val="single" w:sz="4" w:space="0" w:color="000000"/>
              <w:right w:val="single" w:sz="4" w:space="0" w:color="000000"/>
            </w:tcBorders>
            <w:noWrap/>
            <w:vAlign w:val="center"/>
          </w:tcPr>
          <w:p/>
        </w:tc>
        <w:tc>
          <w:tcPr>
            <w:tcW w:w="266" w:type="pct"/>
            <w:vMerge/>
            <w:tcBorders>
              <w:top w:val="nil"/>
              <w:left w:val="nil"/>
              <w:bottom w:val="single" w:sz="4" w:space="0" w:color="000000"/>
              <w:right w:val="single" w:sz="4" w:space="0" w:color="000000"/>
            </w:tcBorders>
            <w:noWrap/>
            <w:vAlign w:val="center"/>
          </w:tcPr>
          <w:p/>
        </w:tc>
        <w:tc>
          <w:tcPr>
            <w:tcW w:w="609" w:type="pct"/>
            <w:vMerge/>
            <w:tcBorders>
              <w:top w:val="nil"/>
              <w:left w:val="nil"/>
              <w:bottom w:val="single" w:sz="4" w:space="0" w:color="000000"/>
              <w:right w:val="single" w:sz="4" w:space="0" w:color="000000"/>
            </w:tcBorders>
            <w:noWrap/>
            <w:vAlign w:val="center"/>
          </w:tcPr>
          <w:p/>
        </w:tc>
        <w:tc>
          <w:tcPr>
            <w:tcW w:w="895" w:type="pct"/>
            <w:gridSpan w:val="2"/>
            <w:vMerge/>
            <w:tcBorders>
              <w:top w:val="nil"/>
              <w:left w:val="nil"/>
              <w:bottom w:val="single" w:sz="4" w:space="0" w:color="000000"/>
              <w:right w:val="single" w:sz="4" w:space="0" w:color="000000"/>
            </w:tcBorders>
            <w:noWrap/>
            <w:vAlign w:val="center"/>
          </w:tcPr>
          <w:p/>
        </w:tc>
        <w:tc>
          <w:tcPr>
            <w:tcW w:w="266" w:type="pct"/>
            <w:vMerge/>
            <w:tcBorders>
              <w:top w:val="nil"/>
              <w:left w:val="nil"/>
              <w:bottom w:val="single" w:sz="4" w:space="0" w:color="000000"/>
              <w:right w:val="single" w:sz="4" w:space="0" w:color="000000"/>
            </w:tcBorders>
            <w:noWrap/>
            <w:vAlign w:val="center"/>
          </w:tcPr>
          <w:p/>
        </w:tc>
        <w:tc>
          <w:tcPr>
            <w:tcW w:w="552" w:type="pct"/>
            <w:gridSpan w:val="2"/>
            <w:vMerge/>
            <w:tcBorders>
              <w:left w:val="nil"/>
              <w:bottom w:val="single" w:sz="4" w:space="0" w:color="000000"/>
              <w:right w:val="single" w:sz="8" w:space="0" w:color="000000"/>
            </w:tcBorders>
            <w:noWrap/>
            <w:vAlign w:val="center"/>
          </w:tcPr>
          <w:p/>
        </w:tc>
        <w:tc>
          <w:tcPr>
            <w:tcW w:w="520" w:type="pct"/>
            <w:vMerge/>
            <w:tcBorders>
              <w:left w:val="nil"/>
              <w:bottom w:val="single" w:sz="4" w:space="0" w:color="000000"/>
              <w:right w:val="single" w:sz="8" w:space="0" w:color="000000"/>
            </w:tcBorders>
            <w:noWrap/>
            <w:vAlign w:val="center"/>
          </w:tcPr>
          <w:p/>
        </w:tc>
        <w:tc>
          <w:tcPr>
            <w:tcW w:w="520" w:type="pct"/>
            <w:vMerge/>
            <w:tcBorders>
              <w:left w:val="nil"/>
              <w:bottom w:val="single" w:sz="4" w:space="0" w:color="000000"/>
              <w:right w:val="single" w:sz="8" w:space="0" w:color="000000"/>
            </w:tcBorders>
            <w:noWrap/>
            <w:vAlign w:val="center"/>
          </w:tcPr>
          <w:p/>
        </w:tc>
        <w:tc>
          <w:tcPr>
            <w:tcW w:w="520" w:type="pct"/>
            <w:vMerge/>
            <w:tcBorders>
              <w:left w:val="nil"/>
              <w:bottom w:val="single" w:sz="4" w:space="0" w:color="000000"/>
              <w:right w:val="single" w:sz="8" w:space="0" w:color="000000"/>
            </w:tcBorders>
            <w:noWrap/>
            <w:vAlign w:val="center"/>
          </w:tc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    次</w:t>
            </w:r>
          </w:p>
        </w:tc>
        <w:tc>
          <w:tcPr>
            <w:tcW w:w="286" w:type="pct"/>
            <w:tcBorders>
              <w:top w:val="nil"/>
              <w:left w:val="nil"/>
              <w:bottom w:val="single" w:sz="4" w:space="0" w:color="000000"/>
              <w:right w:val="single" w:sz="4" w:space="0" w:color="000000"/>
            </w:tcBorders>
            <w:noWrap/>
            <w:vAlign w:val="center"/>
          </w:tcPr>
          <w:p>
            <w:pPr>
              <w:jc w:val="center"/>
              <w:rPr>
                <w:rFonts w:ascii="宋体" w:eastAsia="宋体" w:cs="宋体" w:hint="eastAsia"/>
                <w:i w:val="0"/>
                <w:iCs w:val="0"/>
                <w:color w:val="000000"/>
                <w:sz w:val="20"/>
                <w:szCs w:val="20"/>
                <w:u w:val="none"/>
                <w:highlight w:val="auto"/>
              </w:rPr>
            </w:pPr>
          </w:p>
        </w:tc>
        <w:tc>
          <w:tcPr>
            <w:tcW w:w="658"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1</w:t>
            </w: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    次</w:t>
            </w:r>
          </w:p>
        </w:tc>
        <w:tc>
          <w:tcPr>
            <w:tcW w:w="286" w:type="pct"/>
            <w:tcBorders>
              <w:top w:val="nil"/>
              <w:left w:val="nil"/>
              <w:bottom w:val="single" w:sz="4" w:space="0" w:color="000000"/>
              <w:right w:val="single" w:sz="4" w:space="0" w:color="000000"/>
            </w:tcBorders>
            <w:noWrap/>
            <w:vAlign w:val="center"/>
          </w:tcPr>
          <w:p>
            <w:pPr>
              <w:jc w:val="center"/>
              <w:rPr>
                <w:rFonts w:ascii="宋体" w:eastAsia="宋体" w:cs="宋体" w:hint="eastAsia"/>
                <w:i w:val="0"/>
                <w:iCs w:val="0"/>
                <w:color w:val="000000"/>
                <w:sz w:val="20"/>
                <w:szCs w:val="20"/>
                <w:u w:val="none"/>
                <w:highlight w:val="auto"/>
              </w:rPr>
            </w:pPr>
          </w:p>
        </w:tc>
        <w:tc>
          <w:tcPr>
            <w:tcW w:w="442"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2</w:t>
            </w:r>
          </w:p>
        </w:tc>
        <w:tc>
          <w:tcPr>
            <w:tcW w:w="581"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3</w:t>
            </w:r>
          </w:p>
        </w:tc>
        <w:tc>
          <w:tcPr>
            <w:tcW w:w="533"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4</w:t>
            </w:r>
          </w:p>
        </w:tc>
        <w:tc>
          <w:tcPr>
            <w:tcW w:w="505" w:type="pct"/>
            <w:tcBorders>
              <w:top w:val="nil"/>
              <w:left w:val="nil"/>
              <w:bottom w:val="single" w:sz="4" w:space="0" w:color="000000"/>
              <w:right w:val="single" w:sz="8" w:space="0" w:color="000000"/>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highlight w:val="auto"/>
              </w:rPr>
            </w:pPr>
            <w:r>
              <w:rPr>
                <w:rFonts w:ascii="宋体" w:eastAsia="宋体" w:cs="宋体" w:hint="eastAsia"/>
                <w:i w:val="0"/>
                <w:iCs w:val="0"/>
                <w:color w:val="000000"/>
                <w:kern w:val="0"/>
                <w:sz w:val="20"/>
                <w:szCs w:val="20"/>
                <w:u w:val="none"/>
                <w:lang w:val="en-US" w:eastAsia="zh-CN"/>
                <w:highlight w:val="auto"/>
              </w:rPr>
              <w:t>5</w:t>
            </w: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一、一般公共预算财政拨款</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143.61</w:t>
            </w: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一、一般公共服务支出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33</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125.44</w:t>
            </w: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125.44</w:t>
            </w: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二、政府性基金预算财政拨款</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二、外交支出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34</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三、国有资本经营预算财政拨款</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三、国防支出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35</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四、公共安全支出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36</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五、教育支出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37</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六、科学技术支出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38</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7</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七、文化旅游体育与传媒支出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39</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8</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八、社会保障和就业支出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40</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12.89</w:t>
            </w: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12.89</w:t>
            </w: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9</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九、卫生健康支出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41</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10</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十、节能环保支出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42</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11</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十一、城乡社区支出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43</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auto"/>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auto"/>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12</w:t>
            </w:r>
          </w:p>
        </w:tc>
        <w:tc>
          <w:tcPr>
            <w:tcW w:w="658" w:type="pct"/>
            <w:tcBorders>
              <w:top w:val="nil"/>
              <w:left w:val="nil"/>
              <w:bottom w:val="single" w:sz="4" w:space="0" w:color="auto"/>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auto"/>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十二、农林水支出</w:t>
            </w:r>
          </w:p>
        </w:tc>
        <w:tc>
          <w:tcPr>
            <w:tcW w:w="286" w:type="pct"/>
            <w:tcBorders>
              <w:top w:val="nil"/>
              <w:left w:val="nil"/>
              <w:bottom w:val="single" w:sz="4" w:space="0" w:color="auto"/>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44</w:t>
            </w:r>
          </w:p>
        </w:tc>
        <w:tc>
          <w:tcPr>
            <w:tcW w:w="442" w:type="pct"/>
            <w:gridSpan w:val="2"/>
            <w:tcBorders>
              <w:top w:val="nil"/>
              <w:left w:val="nil"/>
              <w:bottom w:val="single" w:sz="4" w:space="0" w:color="auto"/>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auto"/>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auto"/>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auto"/>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13</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十三、交通运输支出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45</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14</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十四、资源勘探工业信息等支出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46</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15</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十五、商业服务业等支出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47</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16</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十六、金融支出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48</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17</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十七、援助其他地区支出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49</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18</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十八、自然资源海洋气象等支出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50</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19</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十九、住房保障支出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51</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5.29</w:t>
            </w: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5.29</w:t>
            </w: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20</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二十、粮油物资储备支出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52</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21</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二十一、国有资本经营预算支出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53</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22</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二十二、灾害防治及应急管理支出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54</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23</w:t>
            </w:r>
          </w:p>
        </w:tc>
        <w:tc>
          <w:tcPr>
            <w:tcW w:w="658"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二十三、其他支出</w:t>
            </w:r>
          </w:p>
        </w:tc>
        <w:tc>
          <w:tcPr>
            <w:tcW w:w="28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55</w:t>
            </w:r>
          </w:p>
        </w:tc>
        <w:tc>
          <w:tcPr>
            <w:tcW w:w="442"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single" w:sz="4" w:space="0" w:color="auto"/>
              <w:left w:val="single" w:sz="4" w:space="0" w:color="000000"/>
              <w:bottom w:val="single" w:sz="4" w:space="0" w:color="000000"/>
              <w:right w:val="single" w:sz="4" w:space="0" w:color="000000"/>
            </w:tcBorders>
            <w:noWrap/>
            <w:vAlign w:val="center"/>
          </w:tcPr>
          <w:p>
            <w:pPr>
              <w:jc w:val="left"/>
              <w:rPr>
                <w:rFonts w:ascii="宋体" w:eastAsia="宋体" w:cs="宋体" w:hint="eastAsia"/>
                <w:i w:val="0"/>
                <w:iCs w:val="0"/>
                <w:color w:val="000000"/>
                <w:sz w:val="20"/>
                <w:szCs w:val="20"/>
                <w:u w:val="none"/>
                <w:highlight w:val="auto"/>
              </w:rPr>
            </w:pPr>
          </w:p>
        </w:tc>
        <w:tc>
          <w:tcPr>
            <w:tcW w:w="286" w:type="pc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24</w:t>
            </w:r>
          </w:p>
        </w:tc>
        <w:tc>
          <w:tcPr>
            <w:tcW w:w="658" w:type="pct"/>
            <w:tcBorders>
              <w:top w:val="single" w:sz="4" w:space="0" w:color="auto"/>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二十四、债务还本支出</w:t>
            </w:r>
          </w:p>
        </w:tc>
        <w:tc>
          <w:tcPr>
            <w:tcW w:w="286" w:type="pc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56</w:t>
            </w:r>
          </w:p>
        </w:tc>
        <w:tc>
          <w:tcPr>
            <w:tcW w:w="442" w:type="pct"/>
            <w:gridSpan w:val="2"/>
            <w:tcBorders>
              <w:top w:val="single" w:sz="4" w:space="0" w:color="auto"/>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single" w:sz="4" w:space="0" w:color="auto"/>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single" w:sz="4" w:space="0" w:color="auto"/>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single" w:sz="4" w:space="0" w:color="auto"/>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center"/>
              <w:rPr>
                <w:rFonts w:ascii="宋体" w:eastAsia="宋体" w:cs="宋体" w:hint="eastAsia"/>
                <w:b/>
                <w:bCs/>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25</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二十五、债务付息支出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57</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jc w:val="center"/>
              <w:rPr>
                <w:rFonts w:ascii="宋体" w:eastAsia="宋体" w:cs="宋体"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26</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二十六、抗疫特别国债安排的支出</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58</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本年收入合计</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27</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143.61</w:t>
            </w: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本年支出合计</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59</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143.62</w:t>
            </w: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143.62</w:t>
            </w: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年初财政拨款结转和结余</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28</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0.03</w:t>
            </w:r>
          </w:p>
        </w:tc>
        <w:tc>
          <w:tcPr>
            <w:tcW w:w="96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年末财政拨款结转和结余</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60</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0.02</w:t>
            </w:r>
          </w:p>
        </w:tc>
        <w:tc>
          <w:tcPr>
            <w:tcW w:w="581" w:type="pct"/>
            <w:tcBorders>
              <w:top w:val="nil"/>
              <w:left w:val="nil"/>
              <w:bottom w:val="single" w:sz="4" w:space="0" w:color="000000"/>
              <w:right w:val="single" w:sz="4" w:space="0" w:color="000000"/>
            </w:tcBorders>
            <w:noWrap/>
            <w:vAlign w:val="center"/>
          </w:tcPr>
          <w:p>
            <w:pPr>
              <w:jc w:val="both"/>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0.02</w:t>
            </w: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both"/>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一、一般公共预算财政拨款</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29</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0.03</w:t>
            </w:r>
          </w:p>
        </w:tc>
        <w:tc>
          <w:tcPr>
            <w:tcW w:w="966" w:type="pct"/>
            <w:gridSpan w:val="2"/>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61</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lef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二、政府性基金预算财政拨款</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30</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62</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lef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三、国有资本经营预算财政拨款</w:t>
            </w: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31</w:t>
            </w:r>
          </w:p>
        </w:tc>
        <w:tc>
          <w:tcPr>
            <w:tcW w:w="658"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66" w:type="pct"/>
            <w:gridSpan w:val="2"/>
            <w:tcBorders>
              <w:top w:val="nil"/>
              <w:left w:val="nil"/>
              <w:bottom w:val="single" w:sz="4" w:space="0" w:color="000000"/>
              <w:right w:val="single" w:sz="4" w:space="0" w:color="000000"/>
            </w:tcBorders>
            <w:noWrap/>
            <w:vAlign w:val="center"/>
          </w:tcPr>
          <w:p>
            <w:pPr>
              <w:jc w:val="left"/>
              <w:rPr>
                <w:rFonts w:ascii="方正仿宋_GB2312" w:eastAsia="方正仿宋_GB2312" w:cs="方正仿宋_GB2312" w:hint="eastAsia"/>
                <w:i w:val="0"/>
                <w:iCs w:val="0"/>
                <w:color w:val="000000"/>
                <w:sz w:val="20"/>
                <w:szCs w:val="20"/>
                <w:u w:val="none"/>
                <w:highlight w:val="auto"/>
              </w:rPr>
            </w:pPr>
          </w:p>
        </w:tc>
        <w:tc>
          <w:tcPr>
            <w:tcW w:w="286"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63</w:t>
            </w:r>
          </w:p>
        </w:tc>
        <w:tc>
          <w:tcPr>
            <w:tcW w:w="442"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8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4" w:space="0" w:color="000000"/>
              <w:right w:val="single" w:sz="8" w:space="0" w:color="000000"/>
            </w:tcBorders>
            <w:noWrap/>
            <w:vAlign w:val="center"/>
          </w:tcPr>
          <w:p>
            <w:pPr>
              <w:jc w:val="left"/>
              <w:rPr>
                <w:rFonts w:ascii="Times New Roman" w:eastAsia="宋体" w:cs="Times New Roman" w:hAnsi="Times New Roman"/>
                <w:i w:val="0"/>
                <w:iCs w:val="0"/>
                <w:color w:val="000000"/>
                <w:sz w:val="20"/>
                <w:szCs w:val="20"/>
                <w:u w:val="none"/>
                <w:highlight w:val="auto"/>
              </w:rPr>
            </w:pPr>
          </w:p>
        </w:tc>
      </w:tr>
      <w:tr>
        <w:trPr>
          <w:trHeight w:val="308"/>
        </w:trPr>
        <w:tc>
          <w:tcPr>
            <w:tcW w:w="738" w:type="pct"/>
            <w:tcBorders>
              <w:top w:val="nil"/>
              <w:left w:val="single" w:sz="4" w:space="0" w:color="000000"/>
              <w:bottom w:val="single" w:sz="8"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总计</w:t>
            </w:r>
          </w:p>
        </w:tc>
        <w:tc>
          <w:tcPr>
            <w:tcW w:w="286" w:type="pct"/>
            <w:tcBorders>
              <w:top w:val="nil"/>
              <w:left w:val="nil"/>
              <w:bottom w:val="single" w:sz="8"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32</w:t>
            </w:r>
          </w:p>
        </w:tc>
        <w:tc>
          <w:tcPr>
            <w:tcW w:w="658" w:type="pct"/>
            <w:tcBorders>
              <w:top w:val="nil"/>
              <w:left w:val="nil"/>
              <w:bottom w:val="single" w:sz="8"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143.64</w:t>
            </w:r>
          </w:p>
        </w:tc>
        <w:tc>
          <w:tcPr>
            <w:tcW w:w="966" w:type="pct"/>
            <w:gridSpan w:val="2"/>
            <w:tcBorders>
              <w:top w:val="nil"/>
              <w:left w:val="nil"/>
              <w:bottom w:val="single" w:sz="8"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b/>
                <w:bCs/>
                <w:i w:val="0"/>
                <w:iCs w:val="0"/>
                <w:color w:val="000000"/>
                <w:sz w:val="20"/>
                <w:szCs w:val="20"/>
                <w:u w:val="none"/>
                <w:highlight w:val="auto"/>
              </w:rPr>
            </w:pPr>
            <w:r>
              <w:rPr>
                <w:rFonts w:ascii="方正仿宋_GB2312" w:eastAsia="方正仿宋_GB2312" w:cs="方正仿宋_GB2312" w:hint="eastAsia"/>
                <w:b/>
                <w:bCs/>
                <w:i w:val="0"/>
                <w:iCs w:val="0"/>
                <w:color w:val="000000"/>
                <w:kern w:val="0"/>
                <w:sz w:val="20"/>
                <w:szCs w:val="20"/>
                <w:u w:val="none"/>
                <w:lang w:val="en-US" w:eastAsia="zh-CN"/>
                <w:highlight w:val="auto"/>
              </w:rPr>
              <w:t>总计</w:t>
            </w:r>
          </w:p>
        </w:tc>
        <w:tc>
          <w:tcPr>
            <w:tcW w:w="286" w:type="pct"/>
            <w:tcBorders>
              <w:top w:val="nil"/>
              <w:left w:val="nil"/>
              <w:bottom w:val="single" w:sz="8" w:space="0" w:color="000000"/>
              <w:right w:val="single" w:sz="4" w:space="0" w:color="000000"/>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kern w:val="0"/>
                <w:sz w:val="20"/>
                <w:szCs w:val="20"/>
                <w:u w:val="none"/>
                <w:lang w:val="en-US" w:eastAsia="zh-CN"/>
                <w:highlight w:val="auto"/>
              </w:rPr>
              <w:t>64</w:t>
            </w:r>
          </w:p>
        </w:tc>
        <w:tc>
          <w:tcPr>
            <w:tcW w:w="442" w:type="pct"/>
            <w:gridSpan w:val="2"/>
            <w:tcBorders>
              <w:top w:val="nil"/>
              <w:left w:val="nil"/>
              <w:bottom w:val="single" w:sz="8"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143.64</w:t>
            </w:r>
          </w:p>
        </w:tc>
        <w:tc>
          <w:tcPr>
            <w:tcW w:w="581" w:type="pct"/>
            <w:tcBorders>
              <w:top w:val="nil"/>
              <w:left w:val="nil"/>
              <w:bottom w:val="single" w:sz="8" w:space="0" w:color="000000"/>
              <w:right w:val="single" w:sz="4" w:space="0" w:color="000000"/>
            </w:tcBorders>
            <w:noWrap/>
            <w:vAlign w:val="center"/>
          </w:tcPr>
          <w:p>
            <w:pPr>
              <w:jc w:val="right"/>
              <w:rPr>
                <w:rFonts w:ascii="Times New Roman" w:cs="Times New Roman" w:hAnsi="Times New Roman"/>
                <w:sz w:val="20"/>
                <w:szCs w:val="20"/>
                <w:highlight w:val="auto"/>
              </w:rPr>
            </w:pPr>
          </w:p>
          <w:p>
            <w:pPr>
              <w:jc w:val="right"/>
              <w:rPr>
                <w:rFonts w:ascii="Times New Roman" w:cs="Times New Roman" w:hAnsi="Times New Roman"/>
                <w:sz w:val="20"/>
                <w:szCs w:val="20"/>
                <w:highlight w:val="auto"/>
              </w:rPr>
            </w:pPr>
            <w:r>
              <w:rPr>
                <w:rFonts w:ascii="Times New Roman" w:cs="Times New Roman" w:hAnsi="Times New Roman"/>
                <w:sz w:val="20"/>
                <w:szCs w:val="20"/>
                <w:highlight w:val="auto"/>
              </w:rPr>
              <w:t>143.64</w:t>
            </w:r>
          </w:p>
          <w:p>
            <w:pPr>
              <w:jc w:val="right"/>
              <w:rPr>
                <w:rFonts w:ascii="Times New Roman" w:eastAsia="宋体" w:cs="Times New Roman" w:hAnsi="Times New Roman"/>
                <w:i w:val="0"/>
                <w:iCs w:val="0"/>
                <w:color w:val="000000"/>
                <w:sz w:val="20"/>
                <w:szCs w:val="20"/>
                <w:u w:val="none"/>
                <w:highlight w:val="auto"/>
              </w:rPr>
            </w:pPr>
          </w:p>
        </w:tc>
        <w:tc>
          <w:tcPr>
            <w:tcW w:w="533" w:type="pct"/>
            <w:tcBorders>
              <w:top w:val="nil"/>
              <w:left w:val="nil"/>
              <w:bottom w:val="single" w:sz="8"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05" w:type="pct"/>
            <w:tcBorders>
              <w:top w:val="nil"/>
              <w:left w:val="nil"/>
              <w:bottom w:val="single" w:sz="8" w:space="0" w:color="000000"/>
              <w:right w:val="single" w:sz="8"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000" w:type="pct"/>
            <w:gridSpan w:val="11"/>
            <w:tcBorders>
              <w:top w:val="nil"/>
              <w:left w:val="nil"/>
              <w:bottom w:val="nil"/>
              <w:right w:val="nil"/>
            </w:tcBorders>
            <w:noWrap/>
            <w:vAlign w:val="center"/>
          </w:tcPr>
          <w:p>
            <w:pPr>
              <w:keepNext w:val="0"/>
              <w:keepLines w:val="0"/>
              <w:widowControl/>
              <w:suppressLineNumbers w:val="0"/>
              <w:jc w:val="left"/>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注：本表反映部门本年度一般公共预算财政拨款、政府性基金预算财政拨款和国有资本经营预算财政拨款的总收支和年末结转结余情况。</w:t>
            </w:r>
          </w:p>
        </w:tc>
      </w:tr>
    </w:tbl>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p>
    <w:tbl>
      <w:tblPr>
        <w:jc w:val="left"/>
        <w:tblInd w:w="-657" w:type="dxa"/>
        <w:tblW w:w="5891"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519"/>
        <w:gridCol w:w="3397"/>
        <w:gridCol w:w="983"/>
        <w:gridCol w:w="495"/>
        <w:gridCol w:w="650"/>
        <w:gridCol w:w="852"/>
        <w:gridCol w:w="1446"/>
      </w:tblGrid>
      <w:tr>
        <w:trPr>
          <w:trHeight w:val="657"/>
        </w:trPr>
        <w:tc>
          <w:tcPr>
            <w:tcW w:w="5000" w:type="pct"/>
            <w:gridSpan w:val="7"/>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b w:val="0"/>
                <w:bCs/>
                <w:color w:val="auto"/>
                <w:kern w:val="0"/>
                <w:sz w:val="32"/>
                <w:szCs w:val="32"/>
                <w:lang w:val="en-US" w:eastAsia="zh-CN"/>
                <w:highlight w:val="auto"/>
              </w:rPr>
              <w:t>一般公共预算财政拨款支出决算表</w:t>
            </w:r>
          </w:p>
        </w:tc>
      </w:tr>
      <w:tr>
        <w:trPr>
          <w:trHeight w:val="329"/>
        </w:trPr>
        <w:tc>
          <w:tcPr>
            <w:tcW w:w="5000" w:type="pct"/>
            <w:gridSpan w:val="7"/>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公开</w:t>
            </w:r>
            <w:r>
              <w:rPr>
                <w:rFonts w:ascii="Times New Roman" w:eastAsia="方正仿宋_GB2312" w:cs="Times New Roman" w:hAnsi="Times New Roman"/>
                <w:i w:val="0"/>
                <w:iCs w:val="0"/>
                <w:color w:val="000000"/>
                <w:kern w:val="0"/>
                <w:sz w:val="20"/>
                <w:szCs w:val="20"/>
                <w:u w:val="none"/>
                <w:lang w:val="en-US" w:eastAsia="zh-CN"/>
                <w:highlight w:val="auto"/>
              </w:rPr>
              <w:t>05</w:t>
            </w:r>
            <w:r>
              <w:rPr>
                <w:rFonts w:ascii="方正仿宋_GB2312" w:eastAsia="方正仿宋_GB2312" w:cs="方正仿宋_GB2312" w:hint="eastAsia"/>
                <w:i w:val="0"/>
                <w:iCs w:val="0"/>
                <w:color w:val="000000"/>
                <w:kern w:val="0"/>
                <w:sz w:val="20"/>
                <w:szCs w:val="20"/>
                <w:u w:val="none"/>
                <w:lang w:val="en-US" w:eastAsia="zh-CN"/>
                <w:highlight w:val="auto"/>
              </w:rPr>
              <w:t>表</w:t>
            </w:r>
          </w:p>
        </w:tc>
      </w:tr>
      <w:tr>
        <w:trPr>
          <w:trHeight w:val="329"/>
        </w:trPr>
        <w:tc>
          <w:tcPr>
            <w:tcW w:w="3157" w:type="pct"/>
            <w:gridSpan w:val="3"/>
            <w:tcBorders>
              <w:top w:val="nil"/>
              <w:left w:val="nil"/>
              <w:bottom w:val="single" w:sz="4" w:space="0" w:color="auto"/>
              <w:right w:val="nil"/>
            </w:tcBorders>
            <w:noWrap/>
            <w:vAlign w:val="bottom"/>
          </w:tcPr>
          <w:p>
            <w:pPr>
              <w:keepNext w:val="0"/>
              <w:keepLines w:val="0"/>
              <w:widowControl/>
              <w:suppressLineNumbers w:val="0"/>
              <w:jc w:val="lef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编制部门（单位）：中国共产党涞源县委员会统战部</w:t>
            </w:r>
          </w:p>
        </w:tc>
        <w:tc>
          <w:tcPr>
            <w:tcW w:w="613" w:type="pct"/>
            <w:gridSpan w:val="2"/>
            <w:tcBorders>
              <w:top w:val="nil"/>
              <w:left w:val="nil"/>
              <w:bottom w:val="single" w:sz="4" w:space="0" w:color="auto"/>
              <w:right w:val="nil"/>
            </w:tcBorders>
            <w:noWrap/>
            <w:vAlign w:val="bottom"/>
          </w:tcPr>
          <w:p>
            <w:pPr>
              <w:keepNext w:val="0"/>
              <w:keepLines w:val="0"/>
              <w:widowControl/>
              <w:suppressLineNumbers w:val="0"/>
              <w:jc w:val="center"/>
              <w:textAlignment w:val="bottom"/>
              <w:rPr>
                <w:rFonts w:ascii="宋体" w:eastAsia="宋体" w:cs="宋体"/>
                <w:i w:val="0"/>
                <w:iCs w:val="0"/>
                <w:color w:val="000000"/>
                <w:kern w:val="0"/>
                <w:sz w:val="20"/>
                <w:szCs w:val="20"/>
                <w:u w:val="none"/>
                <w:lang w:val="en-US" w:eastAsia="zh-CN"/>
                <w:highlight w:val="auto"/>
              </w:rPr>
            </w:pPr>
            <w:r>
              <w:rPr>
                <w:rFonts w:ascii="Times New Roman" w:cs="Times New Roman" w:hAnsi="Times New Roman"/>
                <w:i w:val="0"/>
                <w:iCs w:val="0"/>
                <w:color w:val="000000"/>
                <w:kern w:val="0"/>
                <w:sz w:val="20"/>
                <w:szCs w:val="20"/>
                <w:u w:val="none"/>
                <w:lang w:val="en-US" w:eastAsia="zh-CN"/>
                <w:highlight w:val="auto"/>
              </w:rPr>
              <w:t>202</w:t>
            </w:r>
            <w:r>
              <w:rPr>
                <w:rFonts w:ascii="Times New Roman" w:cs="Times New Roman" w:hAnsi="Times New Roman" w:hint="eastAsia"/>
                <w:i w:val="0"/>
                <w:iCs w:val="0"/>
                <w:color w:val="000000"/>
                <w:kern w:val="0"/>
                <w:sz w:val="20"/>
                <w:szCs w:val="20"/>
                <w:u w:val="none"/>
                <w:lang w:val="en-US" w:eastAsia="zh-CN"/>
                <w:highlight w:val="auto"/>
              </w:rPr>
              <w:t>4</w:t>
            </w:r>
            <w:r>
              <w:rPr>
                <w:rFonts w:ascii="方正仿宋_GB2312" w:eastAsia="方正仿宋_GB2312" w:cs="方正仿宋_GB2312" w:hint="eastAsia"/>
                <w:i w:val="0"/>
                <w:iCs w:val="0"/>
                <w:color w:val="000000"/>
                <w:kern w:val="0"/>
                <w:sz w:val="20"/>
                <w:szCs w:val="20"/>
                <w:u w:val="none"/>
                <w:lang w:val="en-US" w:eastAsia="zh-CN"/>
                <w:highlight w:val="auto"/>
              </w:rPr>
              <w:t>年度</w:t>
            </w:r>
          </w:p>
        </w:tc>
        <w:tc>
          <w:tcPr>
            <w:tcW w:w="1228" w:type="pct"/>
            <w:gridSpan w:val="2"/>
            <w:tcBorders>
              <w:top w:val="nil"/>
              <w:left w:val="nil"/>
              <w:bottom w:val="single" w:sz="4" w:space="0" w:color="auto"/>
              <w:right w:val="nil"/>
            </w:tcBorders>
            <w:noWrap/>
            <w:vAlign w:val="bottom"/>
          </w:tcPr>
          <w:p>
            <w:pPr>
              <w:keepNext w:val="0"/>
              <w:keepLines w:val="0"/>
              <w:widowControl/>
              <w:suppressLineNumbers w:val="0"/>
              <w:jc w:val="right"/>
              <w:textAlignment w:val="bottom"/>
              <w:rPr>
                <w:rFonts w:ascii="方正仿宋_GB2312" w:eastAsia="方正仿宋_GB2312" w:cs="方正仿宋_GB2312" w:hint="eastAsia"/>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金额单位：万元</w:t>
            </w:r>
          </w:p>
        </w:tc>
      </w:tr>
      <w:tr>
        <w:trPr>
          <w:trHeight w:val="510"/>
        </w:trPr>
        <w:tc>
          <w:tcPr>
            <w:tcW w:w="2631"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w:t>
            </w:r>
          </w:p>
        </w:tc>
        <w:tc>
          <w:tcPr>
            <w:tcW w:w="2368" w:type="pct"/>
            <w:gridSpan w:val="5"/>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本年支出</w:t>
            </w:r>
          </w:p>
        </w:tc>
      </w:tr>
      <w:tr>
        <w:trPr>
          <w:trHeight w:val="369"/>
        </w:trPr>
        <w:tc>
          <w:tcPr>
            <w:tcW w:w="813" w:type="pct"/>
            <w:vMerge w:val="restar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科目代码</w:t>
            </w:r>
          </w:p>
        </w:tc>
        <w:tc>
          <w:tcPr>
            <w:tcW w:w="1817" w:type="pct"/>
            <w:vMerge w:val="restar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科目名称</w:t>
            </w:r>
          </w:p>
        </w:tc>
        <w:tc>
          <w:tcPr>
            <w:tcW w:w="791" w:type="pct"/>
            <w:gridSpan w:val="2"/>
            <w:vMerge w:val="restar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小计</w:t>
            </w:r>
          </w:p>
        </w:tc>
        <w:tc>
          <w:tcPr>
            <w:tcW w:w="804" w:type="pct"/>
            <w:gridSpan w:val="2"/>
            <w:vMerge w:val="restar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基本支出</w:t>
            </w:r>
          </w:p>
        </w:tc>
        <w:tc>
          <w:tcPr>
            <w:tcW w:w="772" w:type="pct"/>
            <w:vMerge w:val="restar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项目支出</w:t>
            </w:r>
          </w:p>
        </w:tc>
      </w:tr>
      <w:tr>
        <w:trPr>
          <w:trHeight w:val="346"/>
        </w:trPr>
        <w:tc>
          <w:tcPr>
            <w:tcW w:w="813" w:type="pct"/>
            <w:vMerge/>
            <w:tcBorders>
              <w:top w:val="single" w:sz="4" w:space="0" w:color="auto"/>
              <w:left w:val="single" w:sz="4" w:space="0" w:color="auto"/>
              <w:bottom w:val="single" w:sz="4" w:space="0" w:color="auto"/>
              <w:right w:val="single" w:sz="4" w:space="0" w:color="auto"/>
            </w:tcBorders>
            <w:noWrap/>
            <w:vAlign w:val="center"/>
          </w:tcPr>
          <w:p/>
        </w:tc>
        <w:tc>
          <w:tcPr>
            <w:tcW w:w="1817" w:type="pct"/>
            <w:vMerge/>
            <w:tcBorders>
              <w:top w:val="single" w:sz="4" w:space="0" w:color="auto"/>
              <w:left w:val="single" w:sz="4" w:space="0" w:color="auto"/>
              <w:bottom w:val="single" w:sz="4" w:space="0" w:color="auto"/>
              <w:right w:val="single" w:sz="4" w:space="0" w:color="auto"/>
            </w:tcBorders>
            <w:noWrap/>
            <w:vAlign w:val="center"/>
          </w:tcPr>
          <w:p/>
        </w:tc>
        <w:tc>
          <w:tcPr>
            <w:tcW w:w="791" w:type="pct"/>
            <w:gridSpan w:val="2"/>
            <w:vMerge/>
            <w:tcBorders>
              <w:top w:val="single" w:sz="4" w:space="0" w:color="auto"/>
              <w:left w:val="single" w:sz="4" w:space="0" w:color="auto"/>
              <w:bottom w:val="single" w:sz="4" w:space="0" w:color="auto"/>
              <w:right w:val="single" w:sz="4" w:space="0" w:color="auto"/>
            </w:tcBorders>
            <w:noWrap/>
            <w:vAlign w:val="center"/>
          </w:tcPr>
          <w:p/>
        </w:tc>
        <w:tc>
          <w:tcPr>
            <w:tcW w:w="804" w:type="pct"/>
            <w:gridSpan w:val="2"/>
            <w:vMerge/>
            <w:tcBorders>
              <w:top w:val="single" w:sz="4" w:space="0" w:color="auto"/>
              <w:left w:val="single" w:sz="4" w:space="0" w:color="auto"/>
              <w:bottom w:val="single" w:sz="4" w:space="0" w:color="auto"/>
              <w:right w:val="single" w:sz="4" w:space="0" w:color="auto"/>
            </w:tcBorders>
            <w:noWrap/>
            <w:vAlign w:val="center"/>
          </w:tcPr>
          <w:p/>
        </w:tc>
        <w:tc>
          <w:tcPr>
            <w:tcW w:w="772" w:type="pct"/>
            <w:vMerge/>
            <w:tcBorders>
              <w:top w:val="single" w:sz="4" w:space="0" w:color="auto"/>
              <w:left w:val="single" w:sz="4" w:space="0" w:color="auto"/>
              <w:bottom w:val="single" w:sz="4" w:space="0" w:color="auto"/>
              <w:right w:val="single" w:sz="4" w:space="0" w:color="auto"/>
            </w:tcBorders>
            <w:noWrap/>
            <w:vAlign w:val="center"/>
          </w:tcPr>
          <w:p/>
        </w:tc>
      </w:tr>
      <w:tr>
        <w:trPr>
          <w:trHeight w:val="369"/>
        </w:trPr>
        <w:tc>
          <w:tcPr>
            <w:tcW w:w="813" w:type="pct"/>
            <w:vMerge/>
            <w:tcBorders>
              <w:top w:val="single" w:sz="4" w:space="0" w:color="auto"/>
              <w:left w:val="single" w:sz="4" w:space="0" w:color="auto"/>
              <w:bottom w:val="single" w:sz="4" w:space="0" w:color="auto"/>
              <w:right w:val="single" w:sz="4" w:space="0" w:color="auto"/>
            </w:tcBorders>
            <w:noWrap/>
            <w:vAlign w:val="center"/>
          </w:tcPr>
          <w:p/>
        </w:tc>
        <w:tc>
          <w:tcPr>
            <w:tcW w:w="1817" w:type="pct"/>
            <w:vMerge/>
            <w:tcBorders>
              <w:top w:val="single" w:sz="4" w:space="0" w:color="auto"/>
              <w:left w:val="single" w:sz="4" w:space="0" w:color="auto"/>
              <w:bottom w:val="single" w:sz="4" w:space="0" w:color="auto"/>
              <w:right w:val="single" w:sz="4" w:space="0" w:color="auto"/>
            </w:tcBorders>
            <w:noWrap/>
            <w:vAlign w:val="center"/>
          </w:tcPr>
          <w:p/>
        </w:tc>
        <w:tc>
          <w:tcPr>
            <w:tcW w:w="791" w:type="pct"/>
            <w:gridSpan w:val="2"/>
            <w:vMerge/>
            <w:tcBorders>
              <w:top w:val="single" w:sz="4" w:space="0" w:color="auto"/>
              <w:left w:val="single" w:sz="4" w:space="0" w:color="auto"/>
              <w:bottom w:val="single" w:sz="4" w:space="0" w:color="auto"/>
              <w:right w:val="single" w:sz="4" w:space="0" w:color="auto"/>
            </w:tcBorders>
            <w:noWrap/>
            <w:vAlign w:val="center"/>
          </w:tcPr>
          <w:p/>
        </w:tc>
        <w:tc>
          <w:tcPr>
            <w:tcW w:w="804" w:type="pct"/>
            <w:gridSpan w:val="2"/>
            <w:vMerge/>
            <w:tcBorders>
              <w:top w:val="single" w:sz="4" w:space="0" w:color="auto"/>
              <w:left w:val="single" w:sz="4" w:space="0" w:color="auto"/>
              <w:bottom w:val="single" w:sz="4" w:space="0" w:color="auto"/>
              <w:right w:val="single" w:sz="4" w:space="0" w:color="auto"/>
            </w:tcBorders>
            <w:noWrap/>
            <w:vAlign w:val="center"/>
          </w:tcPr>
          <w:p/>
        </w:tc>
        <w:tc>
          <w:tcPr>
            <w:tcW w:w="772" w:type="pct"/>
            <w:vMerge/>
            <w:tcBorders>
              <w:top w:val="single" w:sz="4" w:space="0" w:color="auto"/>
              <w:left w:val="single" w:sz="4" w:space="0" w:color="auto"/>
              <w:bottom w:val="single" w:sz="4" w:space="0" w:color="auto"/>
              <w:right w:val="single" w:sz="4" w:space="0" w:color="auto"/>
            </w:tcBorders>
            <w:noWrap/>
            <w:vAlign w:val="center"/>
          </w:tcPr>
          <w:p/>
        </w:tc>
      </w:tr>
      <w:tr>
        <w:trPr>
          <w:trHeight w:val="369"/>
        </w:trPr>
        <w:tc>
          <w:tcPr>
            <w:tcW w:w="2631"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栏次</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lang w:val="en-US" w:eastAsia="zh-CN"/>
                <w:highlight w:val="auto"/>
              </w:rPr>
            </w:pPr>
            <w:r>
              <w:rPr>
                <w:rFonts w:ascii="宋体" w:eastAsia="宋体" w:cs="宋体" w:hint="eastAsia"/>
                <w:i w:val="0"/>
                <w:iCs w:val="0"/>
                <w:color w:val="000000"/>
                <w:sz w:val="20"/>
                <w:szCs w:val="20"/>
                <w:u w:val="none"/>
                <w:lang w:val="en-US" w:eastAsia="zh-CN"/>
                <w:highlight w:val="auto"/>
              </w:rPr>
              <w:t>1</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lang w:val="en-US" w:eastAsia="zh-CN"/>
                <w:highlight w:val="auto"/>
              </w:rPr>
            </w:pPr>
            <w:r>
              <w:rPr>
                <w:rFonts w:ascii="宋体" w:eastAsia="宋体" w:cs="宋体" w:hint="eastAsia"/>
                <w:i w:val="0"/>
                <w:iCs w:val="0"/>
                <w:color w:val="000000"/>
                <w:sz w:val="20"/>
                <w:szCs w:val="20"/>
                <w:u w:val="none"/>
                <w:lang w:val="en-US" w:eastAsia="zh-CN"/>
                <w:highlight w:val="auto"/>
              </w:rPr>
              <w:t>2</w:t>
            </w:r>
          </w:p>
        </w:tc>
        <w:tc>
          <w:tcPr>
            <w:tcW w:w="772"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宋体" w:eastAsia="宋体" w:cs="宋体" w:hint="eastAsia"/>
                <w:i w:val="0"/>
                <w:iCs w:val="0"/>
                <w:color w:val="000000"/>
                <w:sz w:val="20"/>
                <w:szCs w:val="20"/>
                <w:u w:val="none"/>
                <w:lang w:val="en-US" w:eastAsia="zh-CN"/>
                <w:highlight w:val="auto"/>
              </w:rPr>
            </w:pPr>
            <w:r>
              <w:rPr>
                <w:rFonts w:ascii="宋体" w:eastAsia="宋体" w:cs="宋体" w:hint="eastAsia"/>
                <w:i w:val="0"/>
                <w:iCs w:val="0"/>
                <w:color w:val="000000"/>
                <w:sz w:val="20"/>
                <w:szCs w:val="20"/>
                <w:u w:val="none"/>
                <w:lang w:val="en-US" w:eastAsia="zh-CN"/>
                <w:highlight w:val="auto"/>
              </w:rPr>
              <w:t>3</w:t>
            </w:r>
          </w:p>
        </w:tc>
      </w:tr>
      <w:tr>
        <w:trPr>
          <w:trHeight w:val="369"/>
        </w:trPr>
        <w:tc>
          <w:tcPr>
            <w:tcW w:w="2631"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合计</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143.62</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131.19</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cs="Times New Roman" w:hAnsi="Times New Roman"/>
                <w:sz w:val="20"/>
                <w:szCs w:val="20"/>
                <w:highlight w:val="auto"/>
              </w:rPr>
              <w:t>12.43</w:t>
            </w: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一般公共服务支出</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125.44</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113.01</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12.43</w:t>
            </w: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统战事务</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125.44</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113.01</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12.43</w:t>
            </w: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2013401</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行政运行</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91.10</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91.10</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2013402</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一般行政管理事务</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1.25</w:t>
            </w: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2013450</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事业运行</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21.91</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21.91</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2013499</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其他统战事务支出</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11.18</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11.18</w:t>
            </w: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社会保障和就业支出</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20805</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行政事业单位养老支出</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12.89</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2080501</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行政单位离退休</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1.43</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1.43</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2080505</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机关事业单位基本养老保险缴费支出</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11.46</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11.46</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221</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住房保障支出</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22102</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住房改革支出</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813"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2210201</w:t>
            </w:r>
          </w:p>
        </w:tc>
        <w:tc>
          <w:tcPr>
            <w:tcW w:w="1817" w:type="pct"/>
            <w:tcBorders>
              <w:top w:val="single" w:sz="4" w:space="0" w:color="auto"/>
              <w:left w:val="single" w:sz="4" w:space="0" w:color="auto"/>
              <w:bottom w:val="single" w:sz="4" w:space="0" w:color="auto"/>
              <w:right w:val="single" w:sz="4" w:space="0" w:color="auto"/>
            </w:tcBorders>
            <w:noWrap/>
            <w:vAlign w:val="center"/>
          </w:tcPr>
          <w:p>
            <w:pPr>
              <w:jc w:val="left"/>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sz w:val="20"/>
                <w:szCs w:val="20"/>
                <w:u w:val="none"/>
                <w:lang w:val="en-US" w:eastAsia="zh-CN"/>
                <w:highlight w:val="auto"/>
              </w:rPr>
              <w:t>住房公积金</w:t>
            </w:r>
          </w:p>
        </w:tc>
        <w:tc>
          <w:tcPr>
            <w:tcW w:w="791"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80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r>
              <w:rPr>
                <w:rFonts w:ascii="Times New Roman" w:eastAsia="宋体" w:cs="Times New Roman" w:hAnsi="Times New Roman"/>
                <w:i w:val="0"/>
                <w:iCs w:val="0"/>
                <w:color w:val="000000"/>
                <w:sz w:val="20"/>
                <w:szCs w:val="20"/>
                <w:u w:val="none"/>
                <w:lang w:val="en-US" w:eastAsia="zh-CN"/>
                <w:highlight w:val="auto"/>
              </w:rPr>
              <w:t>5.29</w:t>
            </w:r>
          </w:p>
        </w:tc>
        <w:tc>
          <w:tcPr>
            <w:tcW w:w="772"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454"/>
        </w:trPr>
        <w:tc>
          <w:tcPr>
            <w:tcW w:w="5000" w:type="pct"/>
            <w:gridSpan w:val="7"/>
            <w:tcBorders>
              <w:top w:val="single" w:sz="4" w:space="0" w:color="auto"/>
              <w:left w:val="nil"/>
              <w:bottom w:val="nil"/>
              <w:right w:val="nil"/>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注：本表反映部门本年度一般公共预算财政拨款支出情况。</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r>
        <w:rPr>
          <w:rFonts w:ascii="仿宋_GB2312" w:eastAsia="仿宋_GB2312" w:hint="eastAsia"/>
          <w:b/>
          <w:color w:val="auto"/>
          <w:kern w:val="0"/>
          <w:sz w:val="32"/>
          <w:szCs w:val="32"/>
          <w:highlight w:val="auto"/>
        </w:rPr>
        <w:br w:type="page"/>
      </w:r>
    </w:p>
    <w:tbl>
      <w:tblPr>
        <w:jc w:val="left"/>
        <w:tblInd w:w="-1431" w:type="dxa"/>
        <w:tblW w:w="6791"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875"/>
        <w:gridCol w:w="1680"/>
        <w:gridCol w:w="1004"/>
        <w:gridCol w:w="948"/>
        <w:gridCol w:w="435"/>
        <w:gridCol w:w="1256"/>
        <w:gridCol w:w="676"/>
        <w:gridCol w:w="366"/>
        <w:gridCol w:w="948"/>
        <w:gridCol w:w="1796"/>
        <w:gridCol w:w="786"/>
      </w:tblGrid>
      <w:tr>
        <w:trPr>
          <w:trHeight w:val="624"/>
        </w:trPr>
        <w:tc>
          <w:tcPr>
            <w:tcW w:w="5000" w:type="pct"/>
            <w:gridSpan w:val="11"/>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b w:val="0"/>
                <w:bCs/>
                <w:color w:val="auto"/>
                <w:kern w:val="0"/>
                <w:sz w:val="32"/>
                <w:szCs w:val="32"/>
                <w:lang w:val="en-US" w:eastAsia="zh-CN"/>
                <w:highlight w:val="auto"/>
              </w:rPr>
              <w:t>一般公共预算财政拨款基本支出决算明细表</w:t>
            </w:r>
          </w:p>
        </w:tc>
      </w:tr>
      <w:tr>
        <w:trPr>
          <w:trHeight w:val="300"/>
        </w:trPr>
        <w:tc>
          <w:tcPr>
            <w:tcW w:w="5000" w:type="pct"/>
            <w:gridSpan w:val="11"/>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公开</w:t>
            </w:r>
            <w:r>
              <w:rPr>
                <w:rFonts w:ascii="Times New Roman" w:eastAsia="方正仿宋_GB2312" w:cs="Times New Roman" w:hAnsi="Times New Roman"/>
                <w:i w:val="0"/>
                <w:iCs w:val="0"/>
                <w:color w:val="000000"/>
                <w:kern w:val="0"/>
                <w:sz w:val="18"/>
                <w:szCs w:val="18"/>
                <w:u w:val="none"/>
                <w:lang w:val="en-US" w:eastAsia="zh-CN"/>
                <w:highlight w:val="auto"/>
              </w:rPr>
              <w:t>06</w:t>
            </w:r>
            <w:r>
              <w:rPr>
                <w:rFonts w:ascii="方正仿宋_GB2312" w:eastAsia="方正仿宋_GB2312" w:cs="方正仿宋_GB2312" w:hint="eastAsia"/>
                <w:i w:val="0"/>
                <w:iCs w:val="0"/>
                <w:color w:val="000000"/>
                <w:kern w:val="0"/>
                <w:sz w:val="18"/>
                <w:szCs w:val="18"/>
                <w:u w:val="none"/>
                <w:lang w:val="en-US" w:eastAsia="zh-CN"/>
                <w:highlight w:val="auto"/>
              </w:rPr>
              <w:t>表</w:t>
            </w:r>
          </w:p>
        </w:tc>
      </w:tr>
      <w:tr>
        <w:trPr>
          <w:trHeight w:val="90"/>
        </w:trPr>
        <w:tc>
          <w:tcPr>
            <w:tcW w:w="2294" w:type="pct"/>
            <w:gridSpan w:val="5"/>
            <w:tcBorders>
              <w:top w:val="nil"/>
              <w:left w:val="nil"/>
              <w:bottom w:val="single" w:sz="4" w:space="0" w:color="auto"/>
              <w:right w:val="nil"/>
            </w:tcBorders>
            <w:noWrap/>
            <w:vAlign w:val="bottom"/>
          </w:tcPr>
          <w:p>
            <w:pPr>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 xml:space="preserve">部门（单位）：中国共产党涞源县委员会统战部 </w:t>
            </w:r>
            <w:r>
              <w:rPr>
                <w:rFonts w:ascii="宋体" w:cs="宋体" w:hint="eastAsia"/>
                <w:i w:val="0"/>
                <w:iCs w:val="0"/>
                <w:color w:val="000000"/>
                <w:kern w:val="0"/>
                <w:sz w:val="18"/>
                <w:szCs w:val="18"/>
                <w:u w:val="none"/>
                <w:lang w:val="en-US" w:eastAsia="zh-CN"/>
                <w:highlight w:val="auto"/>
              </w:rPr>
              <w:t xml:space="preserve">                                                                   </w:t>
            </w:r>
          </w:p>
        </w:tc>
        <w:tc>
          <w:tcPr>
            <w:tcW w:w="897" w:type="pct"/>
            <w:gridSpan w:val="2"/>
            <w:tcBorders>
              <w:top w:val="nil"/>
              <w:left w:val="nil"/>
              <w:bottom w:val="single" w:sz="4" w:space="0" w:color="auto"/>
              <w:right w:val="nil"/>
            </w:tcBorders>
            <w:noWrap/>
            <w:vAlign w:val="bottom"/>
          </w:tcPr>
          <w:p>
            <w:pPr>
              <w:jc w:val="center"/>
              <w:rPr>
                <w:rFonts w:ascii="宋体" w:eastAsia="宋体" w:cs="宋体"/>
                <w:i w:val="0"/>
                <w:iCs w:val="0"/>
                <w:color w:val="000000"/>
                <w:kern w:val="0"/>
                <w:sz w:val="18"/>
                <w:szCs w:val="18"/>
                <w:u w:val="none"/>
                <w:lang w:val="en-US" w:eastAsia="zh-CN"/>
                <w:highlight w:val="auto"/>
              </w:rPr>
            </w:pPr>
            <w:r>
              <w:rPr>
                <w:rFonts w:ascii="宋体" w:cs="宋体" w:hint="eastAsia"/>
                <w:i w:val="0"/>
                <w:iCs w:val="0"/>
                <w:color w:val="000000"/>
                <w:kern w:val="0"/>
                <w:sz w:val="18"/>
                <w:szCs w:val="18"/>
                <w:u w:val="none"/>
                <w:lang w:val="en-US" w:eastAsia="zh-CN"/>
                <w:highlight w:val="auto"/>
              </w:rPr>
              <w:t>2024</w:t>
            </w:r>
            <w:r>
              <w:rPr>
                <w:rFonts w:ascii="方正仿宋_GB2312" w:eastAsia="方正仿宋_GB2312" w:cs="方正仿宋_GB2312" w:hint="eastAsia"/>
                <w:i w:val="0"/>
                <w:iCs w:val="0"/>
                <w:color w:val="000000"/>
                <w:kern w:val="0"/>
                <w:sz w:val="18"/>
                <w:szCs w:val="18"/>
                <w:u w:val="none"/>
                <w:lang w:val="en-US" w:eastAsia="zh-CN"/>
                <w:highlight w:val="auto"/>
              </w:rPr>
              <w:t>年度</w:t>
            </w:r>
          </w:p>
        </w:tc>
        <w:tc>
          <w:tcPr>
            <w:tcW w:w="1807" w:type="pct"/>
            <w:gridSpan w:val="4"/>
            <w:tcBorders>
              <w:top w:val="nil"/>
              <w:left w:val="nil"/>
              <w:bottom w:val="single" w:sz="4" w:space="0" w:color="auto"/>
              <w:right w:val="nil"/>
            </w:tcBorders>
            <w:noWrap/>
            <w:vAlign w:val="bottom"/>
          </w:tcPr>
          <w:p>
            <w:pPr>
              <w:jc w:val="right"/>
              <w:rPr>
                <w:rFonts w:ascii="宋体" w:eastAsia="宋体" w:cs="宋体"/>
                <w:i w:val="0"/>
                <w:iCs w:val="0"/>
                <w:color w:val="000000"/>
                <w:kern w:val="0"/>
                <w:sz w:val="18"/>
                <w:szCs w:val="18"/>
                <w:u w:val="none"/>
                <w:lang w:val="en-US" w:eastAsia="zh-CN"/>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金额单位：万元</w:t>
            </w:r>
          </w:p>
        </w:tc>
      </w:tr>
      <w:tr>
        <w:trPr>
          <w:trHeight w:val="510"/>
        </w:trPr>
        <w:tc>
          <w:tcPr>
            <w:tcW w:w="1652" w:type="pct"/>
            <w:gridSpan w:val="3"/>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人员经费</w:t>
            </w:r>
          </w:p>
        </w:tc>
        <w:tc>
          <w:tcPr>
            <w:tcW w:w="3347" w:type="pct"/>
            <w:gridSpan w:val="8"/>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公用经费</w:t>
            </w: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lang w:val="en-US"/>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科目代码</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科目名称</w:t>
            </w:r>
          </w:p>
        </w:tc>
        <w:tc>
          <w:tcPr>
            <w:tcW w:w="46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金额</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lang w:val="en-US" w:eastAsia="zh-CN"/>
                <w:highlight w:val="auto"/>
              </w:rPr>
            </w:pPr>
            <w:r>
              <w:rPr>
                <w:rFonts w:ascii="方正仿宋_GB2312" w:eastAsia="方正仿宋_GB2312" w:cs="方正仿宋_GB2312" w:hint="eastAsia"/>
                <w:i w:val="0"/>
                <w:iCs w:val="0"/>
                <w:color w:val="000000"/>
                <w:sz w:val="18"/>
                <w:szCs w:val="18"/>
                <w:u w:val="none"/>
                <w:lang w:val="en-US" w:eastAsia="zh-CN"/>
                <w:highlight w:val="auto"/>
              </w:rPr>
              <w:t>科目代码</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科目名称</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金额</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lang w:val="en-US" w:eastAsia="zh-CN"/>
                <w:highlight w:val="auto"/>
              </w:rPr>
            </w:pPr>
            <w:r>
              <w:rPr>
                <w:rFonts w:ascii="方正仿宋_GB2312" w:eastAsia="方正仿宋_GB2312" w:cs="方正仿宋_GB2312" w:hint="eastAsia"/>
                <w:i w:val="0"/>
                <w:iCs w:val="0"/>
                <w:color w:val="000000"/>
                <w:sz w:val="18"/>
                <w:szCs w:val="18"/>
                <w:u w:val="none"/>
                <w:lang w:val="en-US" w:eastAsia="zh-CN"/>
                <w:highlight w:val="auto"/>
              </w:rPr>
              <w:t>科目代码</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科目名称</w:t>
            </w:r>
          </w:p>
        </w:tc>
        <w:tc>
          <w:tcPr>
            <w:tcW w:w="363"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金额</w:t>
            </w: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工资福利支出</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r>
              <w:rPr>
                <w:rFonts w:ascii="Times New Roman" w:cs="Times New Roman" w:hAnsi="Times New Roman" w:hint="eastAsia"/>
                <w:sz w:val="18"/>
                <w:szCs w:val="18"/>
                <w:lang w:eastAsia="zh-CN"/>
                <w:highlight w:val="auto"/>
              </w:rPr>
              <w:t>116.45</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商品和服务支出</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r>
              <w:rPr>
                <w:rFonts w:ascii="Times New Roman" w:cs="Times New Roman" w:hAnsi="Times New Roman" w:hint="eastAsia"/>
                <w:sz w:val="18"/>
                <w:szCs w:val="18"/>
                <w:lang w:eastAsia="zh-CN"/>
                <w:highlight w:val="auto"/>
              </w:rPr>
              <w:t>13.31</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307</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债务利息及费用支出</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30101</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 xml:space="preserve">  基本工资</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r>
              <w:rPr>
                <w:rFonts w:ascii="Times New Roman" w:cs="Times New Roman" w:hAnsi="Times New Roman" w:hint="eastAsia"/>
                <w:sz w:val="18"/>
                <w:szCs w:val="18"/>
                <w:lang w:eastAsia="zh-CN"/>
                <w:highlight w:val="auto"/>
              </w:rPr>
              <w:t>68.76</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30201</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办公费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r>
              <w:rPr>
                <w:rFonts w:ascii="Times New Roman" w:cs="Times New Roman" w:hAnsi="Times New Roman" w:hint="eastAsia"/>
                <w:sz w:val="18"/>
                <w:szCs w:val="18"/>
                <w:lang w:eastAsia="zh-CN"/>
                <w:highlight w:val="auto"/>
              </w:rPr>
              <w:t>5.43</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30701</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国内债务付息</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30102</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 xml:space="preserve">  津贴补贴</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r>
              <w:rPr>
                <w:rFonts w:ascii="Times New Roman" w:cs="Times New Roman" w:hAnsi="Times New Roman" w:hint="eastAsia"/>
                <w:sz w:val="18"/>
                <w:szCs w:val="18"/>
                <w:lang w:eastAsia="zh-CN"/>
                <w:highlight w:val="auto"/>
              </w:rPr>
              <w:t>17.31</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30202</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印刷费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r>
              <w:rPr>
                <w:rFonts w:ascii="Times New Roman" w:cs="Times New Roman" w:hAnsi="Times New Roman" w:hint="eastAsia"/>
                <w:sz w:val="18"/>
                <w:szCs w:val="18"/>
                <w:lang w:eastAsia="zh-CN"/>
                <w:highlight w:val="auto"/>
              </w:rPr>
              <w:t>0.31</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30702</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国外债务付息</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30103</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 xml:space="preserve">  奖金</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r>
              <w:rPr>
                <w:rFonts w:ascii="Times New Roman" w:cs="Times New Roman" w:hAnsi="Times New Roman" w:hint="eastAsia"/>
                <w:sz w:val="18"/>
                <w:szCs w:val="18"/>
                <w:lang w:eastAsia="zh-CN"/>
                <w:highlight w:val="auto"/>
              </w:rPr>
              <w:t>4.37</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30203</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咨询费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资本性支出</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30106</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 xml:space="preserve">  伙食补助费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30204</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手续费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31001</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房屋建筑物购建</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30107</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 xml:space="preserve">  绩效工资</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r>
              <w:rPr>
                <w:rFonts w:ascii="Times New Roman" w:cs="Times New Roman" w:hAnsi="Times New Roman" w:hint="eastAsia"/>
                <w:sz w:val="18"/>
                <w:szCs w:val="18"/>
                <w:lang w:eastAsia="zh-CN"/>
                <w:highlight w:val="auto"/>
              </w:rPr>
              <w:t>4.33</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30205</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水费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31002</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办公设备购置</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30108</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机关事业单位基本养老保险缴费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r>
              <w:rPr>
                <w:rFonts w:ascii="Times New Roman" w:cs="Times New Roman" w:hAnsi="Times New Roman" w:hint="eastAsia"/>
                <w:sz w:val="18"/>
                <w:szCs w:val="18"/>
                <w:lang w:eastAsia="zh-CN"/>
                <w:highlight w:val="auto"/>
              </w:rPr>
              <w:t>11.46</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30206</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电费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31003</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专用设备购置</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30109</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职业年金缴费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30207</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邮电费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cs="Times New Roman" w:hAnsi="Times New Roman" w:hint="eastAsia"/>
                <w:sz w:val="18"/>
                <w:szCs w:val="18"/>
                <w:lang w:eastAsia="zh-CN"/>
                <w:highlight w:val="auto"/>
              </w:rPr>
            </w:pPr>
            <w:r>
              <w:rPr>
                <w:rFonts w:ascii="Times New Roman" w:cs="Times New Roman" w:hAnsi="Times New Roman" w:hint="eastAsia"/>
                <w:sz w:val="18"/>
                <w:szCs w:val="18"/>
                <w:lang w:eastAsia="zh-CN"/>
                <w:highlight w:val="auto"/>
              </w:rPr>
              <w:t>0.59</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31005</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基础设施建设</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30110</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职工基本医疗保险缴费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4.44</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30208</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取暖费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31006</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大型修缮</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30111</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公务员医疗补助缴费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30209</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物业管理费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31007</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信息网络及软件购置更新</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30112</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其他社会保障缴费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0.48</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30211</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差旅费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0.19</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31008</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物资储备</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30113</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住房公积金</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5.29</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30212</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因公出国（境）费用</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31009</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土地补偿</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30114</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医疗费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30213</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维修（护）费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31010</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安置补助</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30199</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其他工资福利支出</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30214</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 xml:space="preserve">  租赁费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31011</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地上附着物和青苗补偿</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对个人和家庭的补助</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1.43</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30215</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会议费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31012</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拆迁补偿</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30301</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离休费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30216</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培训费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31013</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公务用车购置</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30302</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退休费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1.43</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30217</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公务接待费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31019</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其他交通工具购置</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30303</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退职（役）费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30218</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专用材料费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31021</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文物和陈列品购置</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30304</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抚恤金</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30224</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被装购置费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31022</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无形资产购置</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30305</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生活补助</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30225</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专用燃料费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31099</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其他资本性支出</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30306</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救济费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30226</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劳务费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312</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对企业补助</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30307</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医疗费补助</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30227</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委托业务费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31201</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资本金注入</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30308</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助学金</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30228</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工会经费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31203</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政府投资基金股权投资</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30309</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奖励金</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30229</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福利费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31204</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费用补贴</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30310</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个人农业生产补贴</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30231</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公务用车运行维护费</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3.00</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31205</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利息补贴</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30311</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代缴社会保险费</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30239</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其他交通费用</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sz w:val="18"/>
                <w:szCs w:val="18"/>
                <w:highlight w:val="auto"/>
              </w:rPr>
              <w:t>3.80</w:t>
            </w: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31299</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其他对企业补助</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30399</w:t>
            </w:r>
          </w:p>
        </w:tc>
        <w:tc>
          <w:tcPr>
            <w:tcW w:w="779"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其他对个人和家庭的补助</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30240</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税金及附加费用</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399</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其他支出</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i w:val="0"/>
                <w:iCs w:val="0"/>
                <w:color w:val="000000"/>
                <w:sz w:val="18"/>
                <w:szCs w:val="18"/>
                <w:u w:val="none"/>
                <w:highlight w:val="auto"/>
              </w:rPr>
            </w:pPr>
          </w:p>
        </w:tc>
        <w:tc>
          <w:tcPr>
            <w:tcW w:w="779"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66" w:type="pct"/>
            <w:tcBorders>
              <w:top w:val="single" w:sz="4" w:space="0" w:color="auto"/>
              <w:left w:val="single" w:sz="4" w:space="0" w:color="auto"/>
              <w:bottom w:val="single" w:sz="4" w:space="0" w:color="auto"/>
              <w:right w:val="single" w:sz="4" w:space="0" w:color="auto"/>
            </w:tcBorders>
            <w:noWrap/>
            <w:vAlign w:val="center"/>
          </w:tcPr>
          <w:p>
            <w:pPr>
              <w:jc w:val="lef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30299</w:t>
            </w: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其他商品和服务支出</w:t>
            </w: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39907</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国家赔偿费用支出</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i w:val="0"/>
                <w:iCs w:val="0"/>
                <w:color w:val="000000"/>
                <w:sz w:val="18"/>
                <w:szCs w:val="18"/>
                <w:u w:val="none"/>
                <w:highlight w:val="auto"/>
              </w:rPr>
            </w:pPr>
          </w:p>
        </w:tc>
        <w:tc>
          <w:tcPr>
            <w:tcW w:w="779"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66"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39908</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对民间非营利组织和群众性自治组织补贴</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i w:val="0"/>
                <w:iCs w:val="0"/>
                <w:color w:val="000000"/>
                <w:sz w:val="18"/>
                <w:szCs w:val="18"/>
                <w:u w:val="none"/>
                <w:highlight w:val="auto"/>
              </w:rPr>
            </w:pPr>
          </w:p>
        </w:tc>
        <w:tc>
          <w:tcPr>
            <w:tcW w:w="779"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66"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39909</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经常性赠与</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i w:val="0"/>
                <w:iCs w:val="0"/>
                <w:color w:val="000000"/>
                <w:sz w:val="18"/>
                <w:szCs w:val="18"/>
                <w:u w:val="none"/>
                <w:highlight w:val="auto"/>
              </w:rPr>
            </w:pPr>
          </w:p>
        </w:tc>
        <w:tc>
          <w:tcPr>
            <w:tcW w:w="779"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66"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39910</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资本性赠与</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406" w:type="pct"/>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i w:val="0"/>
                <w:iCs w:val="0"/>
                <w:color w:val="000000"/>
                <w:sz w:val="18"/>
                <w:szCs w:val="18"/>
                <w:u w:val="none"/>
                <w:highlight w:val="auto"/>
              </w:rPr>
            </w:pPr>
          </w:p>
        </w:tc>
        <w:tc>
          <w:tcPr>
            <w:tcW w:w="779"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66"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785"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宋体" w:eastAsia="宋体" w:cs="宋体" w:hint="eastAsia"/>
                <w:i w:val="0"/>
                <w:iCs w:val="0"/>
                <w:color w:val="000000"/>
                <w:sz w:val="18"/>
                <w:szCs w:val="18"/>
                <w:u w:val="none"/>
                <w:highlight w:val="auto"/>
              </w:rPr>
            </w:pPr>
          </w:p>
        </w:tc>
        <w:tc>
          <w:tcPr>
            <w:tcW w:w="484" w:type="pct"/>
            <w:gridSpan w:val="2"/>
            <w:tcBorders>
              <w:top w:val="single" w:sz="4" w:space="0" w:color="auto"/>
              <w:left w:val="single" w:sz="4" w:space="0" w:color="auto"/>
              <w:bottom w:val="single" w:sz="4" w:space="0" w:color="auto"/>
              <w:right w:val="single" w:sz="4" w:space="0" w:color="auto"/>
            </w:tcBorders>
            <w:noWrap/>
            <w:vAlign w:val="center"/>
          </w:tcPr>
          <w:p>
            <w:pPr>
              <w:jc w:val="left"/>
              <w:rPr>
                <w:rFonts w:ascii="Times New Roman" w:eastAsia="宋体" w:cs="Times New Roman" w:hAnsi="Times New Roman"/>
                <w:i w:val="0"/>
                <w:iCs w:val="0"/>
                <w:color w:val="000000"/>
                <w:sz w:val="18"/>
                <w:szCs w:val="18"/>
                <w:u w:val="none"/>
                <w:highlight w:val="auto"/>
              </w:rPr>
            </w:pPr>
          </w:p>
        </w:tc>
        <w:tc>
          <w:tcPr>
            <w:tcW w:w="440"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Times New Roman" w:eastAsia="宋体" w:cs="Times New Roman" w:hAnsi="Times New Roman"/>
                <w:i w:val="0"/>
                <w:iCs w:val="0"/>
                <w:color w:val="000000"/>
                <w:sz w:val="18"/>
                <w:szCs w:val="18"/>
                <w:u w:val="none"/>
                <w:highlight w:val="auto"/>
              </w:rPr>
            </w:pPr>
            <w:r>
              <w:rPr>
                <w:rFonts w:ascii="Times New Roman" w:eastAsia="宋体" w:cs="Times New Roman" w:hAnsi="Times New Roman"/>
                <w:i w:val="0"/>
                <w:iCs w:val="0"/>
                <w:color w:val="000000"/>
                <w:kern w:val="0"/>
                <w:sz w:val="18"/>
                <w:szCs w:val="18"/>
                <w:u w:val="none"/>
                <w:lang w:val="en-US" w:eastAsia="zh-CN"/>
                <w:highlight w:val="auto"/>
              </w:rPr>
              <w:t>39999</w:t>
            </w:r>
          </w:p>
        </w:tc>
        <w:tc>
          <w:tcPr>
            <w:tcW w:w="831" w:type="pc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left"/>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其他支出</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i w:val="0"/>
                <w:iCs w:val="0"/>
                <w:color w:val="000000"/>
                <w:sz w:val="18"/>
                <w:szCs w:val="18"/>
                <w:u w:val="none"/>
                <w:highlight w:val="auto"/>
              </w:rPr>
            </w:pPr>
          </w:p>
        </w:tc>
      </w:tr>
      <w:tr>
        <w:trPr>
          <w:trHeight w:val="510"/>
        </w:trPr>
        <w:tc>
          <w:tcPr>
            <w:tcW w:w="1186" w:type="pct"/>
            <w:gridSpan w:val="2"/>
            <w:tcBorders>
              <w:top w:val="single" w:sz="4" w:space="0" w:color="auto"/>
              <w:left w:val="single" w:sz="4" w:space="0" w:color="auto"/>
              <w:bottom w:val="single" w:sz="4" w:space="0" w:color="auto"/>
              <w:right w:val="single" w:sz="4" w:space="0" w:color="auto"/>
            </w:tcBorders>
            <w:noWrap/>
            <w:vAlign w:val="center"/>
          </w:tcPr>
          <w:p>
            <w:pPr>
              <w:jc w:val="center"/>
              <w:rPr>
                <w:rFonts w:ascii="Times New Roman" w:eastAsia="宋体" w:cs="Times New Roman" w:hAnsi="Times New Roman"/>
                <w:sz w:val="18"/>
                <w:szCs w:val="18"/>
                <w:lang w:val="en-US" w:eastAsia="zh-CN"/>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人员经费合计</w:t>
            </w:r>
          </w:p>
        </w:tc>
        <w:tc>
          <w:tcPr>
            <w:tcW w:w="466" w:type="pct"/>
            <w:tcBorders>
              <w:top w:val="single" w:sz="4" w:space="0" w:color="auto"/>
              <w:left w:val="single" w:sz="4" w:space="0" w:color="auto"/>
              <w:bottom w:val="single" w:sz="4" w:space="0" w:color="auto"/>
              <w:right w:val="single" w:sz="4" w:space="0" w:color="auto"/>
            </w:tcBorders>
            <w:noWrap/>
            <w:vAlign w:val="center"/>
          </w:tcPr>
          <w:p>
            <w:pPr>
              <w:jc w:val="right"/>
              <w:rPr>
                <w:rFonts w:ascii="Times New Roman" w:eastAsia="宋体" w:cs="Times New Roman" w:hAnsi="Times New Roman"/>
                <w:sz w:val="18"/>
                <w:szCs w:val="18"/>
                <w:highlight w:val="auto"/>
              </w:rPr>
            </w:pPr>
            <w:r>
              <w:rPr>
                <w:rFonts w:ascii="Times New Roman" w:eastAsia="宋体" w:cs="Times New Roman" w:hAnsi="Times New Roman"/>
                <w:sz w:val="18"/>
                <w:szCs w:val="18"/>
                <w:highlight w:val="auto"/>
              </w:rPr>
              <w:t>117.88</w:t>
            </w:r>
          </w:p>
        </w:tc>
        <w:tc>
          <w:tcPr>
            <w:tcW w:w="2983" w:type="pct"/>
            <w:gridSpan w:val="7"/>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公用经费合计</w:t>
            </w:r>
          </w:p>
        </w:tc>
        <w:tc>
          <w:tcPr>
            <w:tcW w:w="363" w:type="pct"/>
            <w:tcBorders>
              <w:top w:val="single" w:sz="4" w:space="0" w:color="auto"/>
              <w:left w:val="single" w:sz="4" w:space="0" w:color="auto"/>
              <w:bottom w:val="single" w:sz="4" w:space="0" w:color="auto"/>
              <w:right w:val="single" w:sz="4" w:space="0" w:color="auto"/>
            </w:tcBorders>
            <w:noWrap/>
            <w:vAlign w:val="center"/>
          </w:tcPr>
          <w:p>
            <w:pPr>
              <w:jc w:val="right"/>
              <w:rPr>
                <w:rFonts w:ascii="宋体" w:eastAsia="宋体" w:cs="宋体" w:hint="eastAsia"/>
                <w:i w:val="0"/>
                <w:iCs w:val="0"/>
                <w:color w:val="000000"/>
                <w:sz w:val="18"/>
                <w:szCs w:val="18"/>
                <w:u w:val="none"/>
                <w:highlight w:val="auto"/>
              </w:rPr>
            </w:pPr>
            <w:r>
              <w:rPr>
                <w:rFonts w:ascii="Times New Roman" w:eastAsia="宋体" w:cs="Times New Roman" w:hAnsi="Times New Roman"/>
                <w:sz w:val="18"/>
                <w:szCs w:val="18"/>
                <w:highlight w:val="auto"/>
              </w:rPr>
              <w:t>13.31</w:t>
            </w:r>
          </w:p>
        </w:tc>
      </w:tr>
      <w:tr>
        <w:trPr>
          <w:trHeight w:val="510"/>
        </w:trPr>
        <w:tc>
          <w:tcPr>
            <w:tcW w:w="5000" w:type="pct"/>
            <w:gridSpan w:val="11"/>
            <w:tcBorders>
              <w:top w:val="single" w:sz="4" w:space="0" w:color="auto"/>
              <w:left w:val="nil"/>
              <w:bottom w:val="nil"/>
              <w:right w:val="nil"/>
            </w:tcBorders>
            <w:noWrap/>
            <w:vAlign w:val="center"/>
          </w:tcPr>
          <w:p>
            <w:pPr>
              <w:keepNext w:val="0"/>
              <w:keepLines w:val="0"/>
              <w:widowControl/>
              <w:suppressLineNumbers w:val="0"/>
              <w:jc w:val="left"/>
              <w:textAlignment w:val="center"/>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注：本表反映部门本年度一般公共预算财政拨款基本支出明细情况。</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r>
        <w:rPr>
          <w:rFonts w:ascii="仿宋_GB2312" w:eastAsia="仿宋_GB2312" w:hint="eastAsia"/>
          <w:b/>
          <w:color w:val="auto"/>
          <w:kern w:val="0"/>
          <w:sz w:val="32"/>
          <w:szCs w:val="32"/>
          <w:highlight w:val="auto"/>
        </w:rPr>
        <w:br w:type="page"/>
      </w:r>
    </w:p>
    <w:tbl>
      <w:tblPr>
        <w:jc w:val="left"/>
        <w:tblInd w:w="-1404" w:type="dxa"/>
        <w:tblW w:w="6468"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241"/>
        <w:gridCol w:w="1452"/>
        <w:gridCol w:w="1288"/>
        <w:gridCol w:w="1009"/>
        <w:gridCol w:w="1089"/>
        <w:gridCol w:w="326"/>
        <w:gridCol w:w="775"/>
        <w:gridCol w:w="1132"/>
        <w:gridCol w:w="1943"/>
      </w:tblGrid>
      <w:tr>
        <w:trPr>
          <w:trHeight w:val="550"/>
        </w:trPr>
        <w:tc>
          <w:tcPr>
            <w:tcW w:w="5000" w:type="pct"/>
            <w:gridSpan w:val="9"/>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b w:val="0"/>
                <w:bCs/>
                <w:color w:val="auto"/>
                <w:kern w:val="0"/>
                <w:sz w:val="32"/>
                <w:szCs w:val="32"/>
                <w:lang w:val="en-US" w:eastAsia="zh-CN"/>
                <w:highlight w:val="auto"/>
              </w:rPr>
              <w:t>政府性基金预算财政拨款收入支出决算表</w:t>
            </w:r>
          </w:p>
        </w:tc>
      </w:tr>
      <w:tr>
        <w:trPr>
          <w:trHeight w:val="90"/>
        </w:trPr>
        <w:tc>
          <w:tcPr>
            <w:tcW w:w="5000" w:type="pct"/>
            <w:gridSpan w:val="9"/>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公开</w:t>
            </w:r>
            <w:r>
              <w:rPr>
                <w:rFonts w:ascii="Times New Roman" w:eastAsia="宋体" w:cs="Times New Roman" w:hAnsi="Times New Roman"/>
                <w:i w:val="0"/>
                <w:iCs w:val="0"/>
                <w:color w:val="000000"/>
                <w:kern w:val="0"/>
                <w:sz w:val="20"/>
                <w:szCs w:val="20"/>
                <w:u w:val="none"/>
                <w:lang w:val="en-US" w:eastAsia="zh-CN"/>
                <w:highlight w:val="auto"/>
              </w:rPr>
              <w:t>07</w:t>
            </w:r>
            <w:r>
              <w:rPr>
                <w:rFonts w:ascii="方正仿宋_GB2312" w:eastAsia="方正仿宋_GB2312" w:cs="方正仿宋_GB2312" w:hint="eastAsia"/>
                <w:i w:val="0"/>
                <w:iCs w:val="0"/>
                <w:color w:val="000000"/>
                <w:kern w:val="0"/>
                <w:sz w:val="20"/>
                <w:szCs w:val="20"/>
                <w:u w:val="none"/>
                <w:lang w:val="en-US" w:eastAsia="zh-CN"/>
                <w:highlight w:val="auto"/>
              </w:rPr>
              <w:t>表</w:t>
            </w:r>
          </w:p>
        </w:tc>
      </w:tr>
      <w:tr>
        <w:trPr>
          <w:trHeight w:val="300"/>
        </w:trPr>
        <w:tc>
          <w:tcPr>
            <w:tcW w:w="1941" w:type="pct"/>
            <w:gridSpan w:val="3"/>
            <w:tcBorders>
              <w:top w:val="nil"/>
              <w:left w:val="nil"/>
              <w:bottom w:val="single" w:sz="4" w:space="0" w:color="auto"/>
              <w:right w:val="nil"/>
            </w:tcBorders>
            <w:noWrap/>
            <w:vAlign w:val="bottom"/>
          </w:tcPr>
          <w:p>
            <w:pPr>
              <w:keepNext w:val="0"/>
              <w:keepLines w:val="0"/>
              <w:widowControl/>
              <w:suppressLineNumbers w:val="0"/>
              <w:jc w:val="lef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 xml:space="preserve">部门（单位）：中国共产党涞源县委员会统战部 </w:t>
            </w:r>
            <w:r>
              <w:rPr>
                <w:rFonts w:ascii="宋体" w:eastAsia="宋体" w:cs="宋体" w:hint="eastAsia"/>
                <w:i w:val="0"/>
                <w:iCs w:val="0"/>
                <w:color w:val="000000"/>
                <w:kern w:val="0"/>
                <w:sz w:val="20"/>
                <w:szCs w:val="20"/>
                <w:u w:val="none"/>
                <w:lang w:val="en-US" w:eastAsia="zh-CN"/>
                <w:highlight w:val="auto"/>
              </w:rPr>
              <w:t xml:space="preserve">                                                                                     </w:t>
            </w:r>
          </w:p>
        </w:tc>
        <w:tc>
          <w:tcPr>
            <w:tcW w:w="1182" w:type="pct"/>
            <w:gridSpan w:val="3"/>
            <w:tcBorders>
              <w:top w:val="nil"/>
              <w:left w:val="nil"/>
              <w:bottom w:val="single" w:sz="4" w:space="0" w:color="auto"/>
              <w:right w:val="nil"/>
            </w:tcBorders>
            <w:noWrap/>
            <w:vAlign w:val="bottom"/>
          </w:tcPr>
          <w:p>
            <w:pPr>
              <w:keepNext w:val="0"/>
              <w:keepLines w:val="0"/>
              <w:widowControl/>
              <w:suppressLineNumbers w:val="0"/>
              <w:jc w:val="center"/>
              <w:textAlignment w:val="bottom"/>
              <w:rPr>
                <w:rFonts w:ascii="宋体" w:eastAsia="宋体" w:cs="宋体"/>
                <w:i w:val="0"/>
                <w:iCs w:val="0"/>
                <w:color w:val="000000"/>
                <w:kern w:val="0"/>
                <w:sz w:val="20"/>
                <w:szCs w:val="20"/>
                <w:u w:val="none"/>
                <w:lang w:val="en-US" w:eastAsia="zh-CN"/>
                <w:highlight w:val="auto"/>
              </w:rPr>
            </w:pPr>
            <w:r>
              <w:rPr>
                <w:rFonts w:ascii="Times New Roman" w:eastAsia="宋体" w:cs="Times New Roman" w:hAnsi="Times New Roman"/>
                <w:i w:val="0"/>
                <w:iCs w:val="0"/>
                <w:color w:val="000000"/>
                <w:kern w:val="0"/>
                <w:sz w:val="20"/>
                <w:szCs w:val="20"/>
                <w:u w:val="none"/>
                <w:lang w:val="en-US" w:eastAsia="zh-CN"/>
                <w:highlight w:val="auto"/>
              </w:rPr>
              <w:t>202</w:t>
            </w:r>
            <w:r>
              <w:rPr>
                <w:rFonts w:ascii="Times New Roman" w:eastAsia="宋体" w:cs="Times New Roman" w:hAnsi="Times New Roman" w:hint="eastAsia"/>
                <w:i w:val="0"/>
                <w:iCs w:val="0"/>
                <w:color w:val="000000"/>
                <w:kern w:val="0"/>
                <w:sz w:val="20"/>
                <w:szCs w:val="20"/>
                <w:u w:val="none"/>
                <w:lang w:val="en-US" w:eastAsia="zh-CN"/>
                <w:highlight w:val="auto"/>
              </w:rPr>
              <w:t>4</w:t>
            </w:r>
            <w:r>
              <w:rPr>
                <w:rFonts w:ascii="方正仿宋_GB2312" w:eastAsia="方正仿宋_GB2312" w:cs="方正仿宋_GB2312" w:hint="eastAsia"/>
                <w:i w:val="0"/>
                <w:iCs w:val="0"/>
                <w:color w:val="000000"/>
                <w:kern w:val="0"/>
                <w:sz w:val="20"/>
                <w:szCs w:val="20"/>
                <w:u w:val="none"/>
                <w:lang w:val="en-US" w:eastAsia="zh-CN"/>
                <w:highlight w:val="auto"/>
              </w:rPr>
              <w:t>年度</w:t>
            </w:r>
          </w:p>
        </w:tc>
        <w:tc>
          <w:tcPr>
            <w:tcW w:w="1876" w:type="pct"/>
            <w:gridSpan w:val="3"/>
            <w:tcBorders>
              <w:top w:val="nil"/>
              <w:left w:val="nil"/>
              <w:bottom w:val="single" w:sz="4" w:space="0" w:color="auto"/>
              <w:right w:val="nil"/>
            </w:tcBorders>
            <w:noWrap/>
            <w:vAlign w:val="bottom"/>
          </w:tcPr>
          <w:p>
            <w:pPr>
              <w:keepNext w:val="0"/>
              <w:keepLines w:val="0"/>
              <w:widowControl/>
              <w:suppressLineNumbers w:val="0"/>
              <w:jc w:val="right"/>
              <w:textAlignment w:val="bottom"/>
              <w:rPr>
                <w:rFonts w:ascii="宋体" w:eastAsia="宋体" w:cs="宋体"/>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金额单位：万元</w:t>
            </w:r>
          </w:p>
        </w:tc>
      </w:tr>
      <w:tr>
        <w:trPr>
          <w:trHeight w:val="308"/>
        </w:trPr>
        <w:tc>
          <w:tcPr>
            <w:tcW w:w="1313" w:type="pct"/>
            <w:gridSpan w:val="2"/>
            <w:tcBorders>
              <w:top w:val="single" w:sz="4" w:space="0" w:color="auto"/>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w:t>
            </w:r>
          </w:p>
        </w:tc>
        <w:tc>
          <w:tcPr>
            <w:tcW w:w="627" w:type="pct"/>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年初结转和结余</w:t>
            </w:r>
          </w:p>
        </w:tc>
        <w:tc>
          <w:tcPr>
            <w:tcW w:w="492" w:type="pct"/>
            <w:vMerge w:val="restart"/>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本年收入</w:t>
            </w:r>
          </w:p>
        </w:tc>
        <w:tc>
          <w:tcPr>
            <w:tcW w:w="1620" w:type="pct"/>
            <w:gridSpan w:val="4"/>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本年支出</w:t>
            </w:r>
          </w:p>
        </w:tc>
        <w:tc>
          <w:tcPr>
            <w:tcW w:w="945" w:type="pct"/>
            <w:vMerge w:val="restart"/>
            <w:tcBorders>
              <w:top w:val="single" w:sz="4" w:space="0" w:color="auto"/>
              <w:left w:val="nil"/>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年末结转和结余</w:t>
            </w:r>
          </w:p>
        </w:tc>
      </w:tr>
      <w:tr>
        <w:trPr>
          <w:trHeight w:val="312"/>
        </w:trPr>
        <w:tc>
          <w:tcPr>
            <w:tcW w:w="605" w:type="pct"/>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科目代码</w:t>
            </w:r>
          </w:p>
        </w:tc>
        <w:tc>
          <w:tcPr>
            <w:tcW w:w="708"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科目名称</w:t>
            </w:r>
          </w:p>
        </w:tc>
        <w:tc>
          <w:tcPr>
            <w:tcW w:w="627" w:type="pct"/>
            <w:vMerge/>
            <w:tcBorders>
              <w:top w:val="single" w:sz="4" w:space="0" w:color="000000"/>
              <w:left w:val="nil"/>
              <w:bottom w:val="single" w:sz="4" w:space="0" w:color="000000"/>
              <w:right w:val="single" w:sz="4" w:space="0" w:color="000000"/>
            </w:tcBorders>
            <w:noWrap/>
            <w:vAlign w:val="center"/>
          </w:tcPr>
          <w:p/>
        </w:tc>
        <w:tc>
          <w:tcPr>
            <w:tcW w:w="492" w:type="pct"/>
            <w:vMerge/>
            <w:tcBorders>
              <w:top w:val="single" w:sz="4" w:space="0" w:color="000000"/>
              <w:left w:val="nil"/>
              <w:bottom w:val="single" w:sz="4" w:space="0" w:color="000000"/>
              <w:right w:val="single" w:sz="4" w:space="0" w:color="000000"/>
            </w:tcBorders>
            <w:noWrap/>
            <w:vAlign w:val="center"/>
          </w:tcPr>
          <w:p/>
        </w:tc>
        <w:tc>
          <w:tcPr>
            <w:tcW w:w="531"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小计</w:t>
            </w:r>
          </w:p>
        </w:tc>
        <w:tc>
          <w:tcPr>
            <w:tcW w:w="537" w:type="pct"/>
            <w:gridSpan w:val="2"/>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基本支出</w:t>
            </w:r>
          </w:p>
        </w:tc>
        <w:tc>
          <w:tcPr>
            <w:tcW w:w="551"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项目支出</w:t>
            </w:r>
          </w:p>
        </w:tc>
        <w:tc>
          <w:tcPr>
            <w:tcW w:w="945" w:type="pct"/>
            <w:vMerge/>
            <w:tcBorders>
              <w:left w:val="nil"/>
              <w:right w:val="single" w:sz="4" w:space="0" w:color="000000"/>
            </w:tcBorders>
            <w:noWrap/>
            <w:vAlign w:val="center"/>
          </w:tcPr>
          <w:p/>
        </w:tc>
      </w:tr>
      <w:tr>
        <w:trPr>
          <w:trHeight w:val="312"/>
        </w:trPr>
        <w:tc>
          <w:tcPr>
            <w:tcW w:w="605" w:type="pct"/>
            <w:vMerge/>
            <w:tcBorders>
              <w:top w:val="nil"/>
              <w:left w:val="single" w:sz="4" w:space="0" w:color="000000"/>
              <w:bottom w:val="single" w:sz="4" w:space="0" w:color="000000"/>
              <w:right w:val="single" w:sz="4" w:space="0" w:color="000000"/>
            </w:tcBorders>
            <w:noWrap/>
            <w:vAlign w:val="center"/>
          </w:tcPr>
          <w:p/>
        </w:tc>
        <w:tc>
          <w:tcPr>
            <w:tcW w:w="708" w:type="pct"/>
            <w:vMerge/>
            <w:tcBorders>
              <w:top w:val="nil"/>
              <w:left w:val="nil"/>
              <w:bottom w:val="single" w:sz="4" w:space="0" w:color="000000"/>
              <w:right w:val="single" w:sz="4" w:space="0" w:color="000000"/>
            </w:tcBorders>
            <w:noWrap/>
            <w:vAlign w:val="center"/>
          </w:tcPr>
          <w:p/>
        </w:tc>
        <w:tc>
          <w:tcPr>
            <w:tcW w:w="627" w:type="pct"/>
            <w:vMerge/>
            <w:tcBorders>
              <w:top w:val="single" w:sz="4" w:space="0" w:color="000000"/>
              <w:left w:val="nil"/>
              <w:bottom w:val="single" w:sz="4" w:space="0" w:color="000000"/>
              <w:right w:val="single" w:sz="4" w:space="0" w:color="000000"/>
            </w:tcBorders>
            <w:noWrap/>
            <w:vAlign w:val="center"/>
          </w:tcPr>
          <w:p/>
        </w:tc>
        <w:tc>
          <w:tcPr>
            <w:tcW w:w="492" w:type="pct"/>
            <w:vMerge/>
            <w:tcBorders>
              <w:top w:val="single" w:sz="4" w:space="0" w:color="000000"/>
              <w:left w:val="nil"/>
              <w:bottom w:val="single" w:sz="4" w:space="0" w:color="000000"/>
              <w:right w:val="single" w:sz="4" w:space="0" w:color="000000"/>
            </w:tcBorders>
            <w:noWrap/>
            <w:vAlign w:val="center"/>
          </w:tcPr>
          <w:p/>
        </w:tc>
        <w:tc>
          <w:tcPr>
            <w:tcW w:w="531" w:type="pct"/>
            <w:vMerge/>
            <w:tcBorders>
              <w:top w:val="nil"/>
              <w:left w:val="nil"/>
              <w:bottom w:val="single" w:sz="4" w:space="0" w:color="000000"/>
              <w:right w:val="single" w:sz="4" w:space="0" w:color="000000"/>
            </w:tcBorders>
            <w:noWrap/>
            <w:vAlign w:val="center"/>
          </w:tcPr>
          <w:p/>
        </w:tc>
        <w:tc>
          <w:tcPr>
            <w:tcW w:w="537" w:type="pct"/>
            <w:gridSpan w:val="2"/>
            <w:vMerge/>
            <w:tcBorders>
              <w:top w:val="nil"/>
              <w:left w:val="nil"/>
              <w:bottom w:val="single" w:sz="4" w:space="0" w:color="000000"/>
              <w:right w:val="single" w:sz="4" w:space="0" w:color="000000"/>
            </w:tcBorders>
            <w:noWrap/>
            <w:vAlign w:val="center"/>
          </w:tcPr>
          <w:p/>
        </w:tc>
        <w:tc>
          <w:tcPr>
            <w:tcW w:w="551" w:type="pct"/>
            <w:vMerge/>
            <w:tcBorders>
              <w:top w:val="nil"/>
              <w:left w:val="nil"/>
              <w:bottom w:val="single" w:sz="4" w:space="0" w:color="000000"/>
              <w:right w:val="single" w:sz="4" w:space="0" w:color="000000"/>
            </w:tcBorders>
            <w:noWrap/>
            <w:vAlign w:val="center"/>
          </w:tcPr>
          <w:p/>
        </w:tc>
        <w:tc>
          <w:tcPr>
            <w:tcW w:w="945" w:type="pct"/>
            <w:vMerge/>
            <w:tcBorders>
              <w:left w:val="nil"/>
              <w:right w:val="single" w:sz="4" w:space="0" w:color="000000"/>
            </w:tcBorders>
            <w:noWrap/>
            <w:vAlign w:val="center"/>
          </w:tcPr>
          <w:p/>
        </w:tc>
      </w:tr>
      <w:tr>
        <w:trPr>
          <w:trHeight w:val="312"/>
        </w:trPr>
        <w:tc>
          <w:tcPr>
            <w:tcW w:w="605" w:type="pct"/>
            <w:vMerge/>
            <w:tcBorders>
              <w:top w:val="nil"/>
              <w:left w:val="single" w:sz="4" w:space="0" w:color="000000"/>
              <w:bottom w:val="single" w:sz="4" w:space="0" w:color="auto"/>
              <w:right w:val="single" w:sz="4" w:space="0" w:color="000000"/>
            </w:tcBorders>
            <w:noWrap/>
            <w:vAlign w:val="center"/>
          </w:tcPr>
          <w:p/>
        </w:tc>
        <w:tc>
          <w:tcPr>
            <w:tcW w:w="708" w:type="pct"/>
            <w:vMerge/>
            <w:tcBorders>
              <w:top w:val="nil"/>
              <w:left w:val="nil"/>
              <w:bottom w:val="single" w:sz="4" w:space="0" w:color="auto"/>
              <w:right w:val="single" w:sz="4" w:space="0" w:color="000000"/>
            </w:tcBorders>
            <w:noWrap/>
            <w:vAlign w:val="center"/>
          </w:tcPr>
          <w:p/>
        </w:tc>
        <w:tc>
          <w:tcPr>
            <w:tcW w:w="627" w:type="pct"/>
            <w:vMerge/>
            <w:tcBorders>
              <w:top w:val="single" w:sz="4" w:space="0" w:color="000000"/>
              <w:left w:val="nil"/>
              <w:bottom w:val="single" w:sz="4" w:space="0" w:color="000000"/>
              <w:right w:val="single" w:sz="4" w:space="0" w:color="000000"/>
            </w:tcBorders>
            <w:noWrap/>
            <w:vAlign w:val="center"/>
          </w:tcPr>
          <w:p/>
        </w:tc>
        <w:tc>
          <w:tcPr>
            <w:tcW w:w="492" w:type="pct"/>
            <w:vMerge/>
            <w:tcBorders>
              <w:top w:val="single" w:sz="4" w:space="0" w:color="000000"/>
              <w:left w:val="nil"/>
              <w:bottom w:val="single" w:sz="4" w:space="0" w:color="000000"/>
              <w:right w:val="single" w:sz="4" w:space="0" w:color="000000"/>
            </w:tcBorders>
            <w:noWrap/>
            <w:vAlign w:val="center"/>
          </w:tcPr>
          <w:p/>
        </w:tc>
        <w:tc>
          <w:tcPr>
            <w:tcW w:w="531" w:type="pct"/>
            <w:vMerge/>
            <w:tcBorders>
              <w:top w:val="nil"/>
              <w:left w:val="nil"/>
              <w:bottom w:val="single" w:sz="4" w:space="0" w:color="000000"/>
              <w:right w:val="single" w:sz="4" w:space="0" w:color="000000"/>
            </w:tcBorders>
            <w:noWrap/>
            <w:vAlign w:val="center"/>
          </w:tcPr>
          <w:p/>
        </w:tc>
        <w:tc>
          <w:tcPr>
            <w:tcW w:w="537" w:type="pct"/>
            <w:gridSpan w:val="2"/>
            <w:vMerge/>
            <w:tcBorders>
              <w:top w:val="nil"/>
              <w:left w:val="nil"/>
              <w:bottom w:val="single" w:sz="4" w:space="0" w:color="000000"/>
              <w:right w:val="single" w:sz="4" w:space="0" w:color="000000"/>
            </w:tcBorders>
            <w:noWrap/>
            <w:vAlign w:val="center"/>
          </w:tcPr>
          <w:p/>
        </w:tc>
        <w:tc>
          <w:tcPr>
            <w:tcW w:w="551" w:type="pct"/>
            <w:vMerge/>
            <w:tcBorders>
              <w:top w:val="nil"/>
              <w:left w:val="nil"/>
              <w:bottom w:val="single" w:sz="4" w:space="0" w:color="000000"/>
              <w:right w:val="single" w:sz="4" w:space="0" w:color="000000"/>
            </w:tcBorders>
            <w:noWrap/>
            <w:vAlign w:val="center"/>
          </w:tcPr>
          <w:p/>
        </w:tc>
        <w:tc>
          <w:tcPr>
            <w:tcW w:w="945" w:type="pct"/>
            <w:vMerge/>
            <w:tcBorders>
              <w:left w:val="nil"/>
              <w:bottom w:val="single" w:sz="4" w:space="0" w:color="000000"/>
              <w:right w:val="single" w:sz="4" w:space="0" w:color="000000"/>
            </w:tcBorders>
            <w:noWrap/>
            <w:vAlign w:val="center"/>
          </w:tcPr>
          <w:p/>
        </w:tc>
      </w:tr>
      <w:tr>
        <w:trPr>
          <w:trHeight w:val="308"/>
        </w:trPr>
        <w:tc>
          <w:tcPr>
            <w:tcW w:w="1313"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栏次</w:t>
            </w:r>
          </w:p>
        </w:tc>
        <w:tc>
          <w:tcPr>
            <w:tcW w:w="627" w:type="pct"/>
            <w:tcBorders>
              <w:top w:val="nil"/>
              <w:left w:val="single" w:sz="4" w:space="0" w:color="auto"/>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20"/>
                <w:szCs w:val="20"/>
                <w:u w:val="none"/>
                <w:highlight w:val="auto"/>
              </w:rPr>
            </w:pPr>
            <w:r>
              <w:rPr>
                <w:rFonts w:ascii="Times New Roman" w:eastAsia="方正仿宋_GB2312" w:cs="Times New Roman" w:hAnsi="Times New Roman"/>
                <w:i w:val="0"/>
                <w:iCs w:val="0"/>
                <w:color w:val="000000"/>
                <w:kern w:val="0"/>
                <w:sz w:val="20"/>
                <w:szCs w:val="20"/>
                <w:u w:val="none"/>
                <w:lang w:val="en-US" w:eastAsia="zh-CN"/>
                <w:highlight w:val="auto"/>
              </w:rPr>
              <w:t>1</w:t>
            </w:r>
          </w:p>
        </w:tc>
        <w:tc>
          <w:tcPr>
            <w:tcW w:w="492"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20"/>
                <w:szCs w:val="20"/>
                <w:u w:val="none"/>
                <w:highlight w:val="auto"/>
              </w:rPr>
            </w:pPr>
            <w:r>
              <w:rPr>
                <w:rFonts w:ascii="Times New Roman" w:eastAsia="方正仿宋_GB2312" w:cs="Times New Roman" w:hAnsi="Times New Roman"/>
                <w:i w:val="0"/>
                <w:iCs w:val="0"/>
                <w:color w:val="000000"/>
                <w:kern w:val="0"/>
                <w:sz w:val="20"/>
                <w:szCs w:val="20"/>
                <w:u w:val="none"/>
                <w:lang w:val="en-US" w:eastAsia="zh-CN"/>
                <w:highlight w:val="auto"/>
              </w:rPr>
              <w:t>2</w:t>
            </w:r>
          </w:p>
        </w:tc>
        <w:tc>
          <w:tcPr>
            <w:tcW w:w="531"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20"/>
                <w:szCs w:val="20"/>
                <w:u w:val="none"/>
                <w:highlight w:val="auto"/>
              </w:rPr>
            </w:pPr>
            <w:r>
              <w:rPr>
                <w:rFonts w:ascii="Times New Roman" w:eastAsia="方正仿宋_GB2312" w:cs="Times New Roman" w:hAnsi="Times New Roman"/>
                <w:i w:val="0"/>
                <w:iCs w:val="0"/>
                <w:color w:val="000000"/>
                <w:kern w:val="0"/>
                <w:sz w:val="20"/>
                <w:szCs w:val="20"/>
                <w:u w:val="none"/>
                <w:lang w:val="en-US" w:eastAsia="zh-CN"/>
                <w:highlight w:val="auto"/>
              </w:rPr>
              <w:t>3</w:t>
            </w:r>
          </w:p>
        </w:tc>
        <w:tc>
          <w:tcPr>
            <w:tcW w:w="537"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20"/>
                <w:szCs w:val="20"/>
                <w:u w:val="none"/>
                <w:highlight w:val="auto"/>
              </w:rPr>
            </w:pPr>
            <w:r>
              <w:rPr>
                <w:rFonts w:ascii="Times New Roman" w:eastAsia="方正仿宋_GB2312" w:cs="Times New Roman" w:hAnsi="Times New Roman"/>
                <w:i w:val="0"/>
                <w:iCs w:val="0"/>
                <w:color w:val="000000"/>
                <w:kern w:val="0"/>
                <w:sz w:val="20"/>
                <w:szCs w:val="20"/>
                <w:u w:val="none"/>
                <w:lang w:val="en-US" w:eastAsia="zh-CN"/>
                <w:highlight w:val="auto"/>
              </w:rPr>
              <w:t>4</w:t>
            </w:r>
          </w:p>
        </w:tc>
        <w:tc>
          <w:tcPr>
            <w:tcW w:w="551"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20"/>
                <w:szCs w:val="20"/>
                <w:u w:val="none"/>
                <w:highlight w:val="auto"/>
              </w:rPr>
            </w:pPr>
            <w:r>
              <w:rPr>
                <w:rFonts w:ascii="Times New Roman" w:eastAsia="方正仿宋_GB2312" w:cs="Times New Roman" w:hAnsi="Times New Roman"/>
                <w:i w:val="0"/>
                <w:iCs w:val="0"/>
                <w:color w:val="000000"/>
                <w:kern w:val="0"/>
                <w:sz w:val="20"/>
                <w:szCs w:val="20"/>
                <w:u w:val="none"/>
                <w:lang w:val="en-US" w:eastAsia="zh-CN"/>
                <w:highlight w:val="auto"/>
              </w:rPr>
              <w:t>5</w:t>
            </w:r>
          </w:p>
        </w:tc>
        <w:tc>
          <w:tcPr>
            <w:tcW w:w="945"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20"/>
                <w:szCs w:val="20"/>
                <w:u w:val="none"/>
                <w:lang w:val="en-US" w:eastAsia="zh-CN"/>
                <w:highlight w:val="auto"/>
              </w:rPr>
            </w:pPr>
            <w:r>
              <w:rPr>
                <w:rFonts w:ascii="Times New Roman" w:eastAsia="方正仿宋_GB2312" w:cs="Times New Roman" w:hAnsi="Times New Roman"/>
                <w:i w:val="0"/>
                <w:iCs w:val="0"/>
                <w:color w:val="000000"/>
                <w:sz w:val="20"/>
                <w:szCs w:val="20"/>
                <w:u w:val="none"/>
                <w:lang w:val="en-US" w:eastAsia="zh-CN"/>
                <w:highlight w:val="auto"/>
              </w:rPr>
              <w:t>6</w:t>
            </w:r>
          </w:p>
        </w:tc>
      </w:tr>
      <w:tr>
        <w:trPr>
          <w:trHeight w:val="869"/>
        </w:trPr>
        <w:tc>
          <w:tcPr>
            <w:tcW w:w="1313" w:type="pct"/>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合计</w:t>
            </w:r>
          </w:p>
        </w:tc>
        <w:tc>
          <w:tcPr>
            <w:tcW w:w="627" w:type="pct"/>
            <w:tcBorders>
              <w:top w:val="nil"/>
              <w:left w:val="single" w:sz="4" w:space="0" w:color="auto"/>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492"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37" w:type="pct"/>
            <w:gridSpan w:val="2"/>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551"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45" w:type="pct"/>
            <w:tcBorders>
              <w:top w:val="nil"/>
              <w:left w:val="nil"/>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000" w:type="pct"/>
            <w:gridSpan w:val="9"/>
            <w:tcBorders>
              <w:top w:val="nil"/>
              <w:left w:val="nil"/>
              <w:bottom w:val="nil"/>
              <w:right w:val="nil"/>
            </w:tcBorders>
            <w:noWrap/>
            <w:vAlign w:val="center"/>
          </w:tcPr>
          <w:p>
            <w:pP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注：本表反映部门本年度政府性基金预算财政拨款收入、支出及结转和结余情况。本部门本年度无相关收支及结转结余情况，按要求故空表列示。</w:t>
              <w:br w:type="page"/>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r>
        <w:rPr>
          <w:rFonts w:ascii="仿宋_GB2312" w:eastAsia="仿宋_GB2312" w:hint="eastAsia"/>
          <w:b/>
          <w:color w:val="auto"/>
          <w:kern w:val="0"/>
          <w:sz w:val="32"/>
          <w:szCs w:val="32"/>
          <w:highlight w:val="auto"/>
        </w:rPr>
        <w:br w:type="page"/>
      </w:r>
    </w:p>
    <w:tbl>
      <w:tblPr>
        <w:jc w:val="left"/>
        <w:tblInd w:w="-976" w:type="dxa"/>
        <w:tblW w:w="5863"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2937"/>
        <w:gridCol w:w="716"/>
        <w:gridCol w:w="1273"/>
        <w:gridCol w:w="1356"/>
        <w:gridCol w:w="0"/>
        <w:gridCol w:w="0"/>
        <w:gridCol w:w="1306"/>
        <w:gridCol w:w="6"/>
        <w:gridCol w:w="1704"/>
      </w:tblGrid>
      <w:tr>
        <w:trPr>
          <w:trHeight w:val="550"/>
        </w:trPr>
        <w:tc>
          <w:tcPr>
            <w:tcW w:w="5000" w:type="pct"/>
            <w:gridSpan w:val="9"/>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b w:val="0"/>
                <w:bCs/>
                <w:color w:val="auto"/>
                <w:kern w:val="0"/>
                <w:sz w:val="32"/>
                <w:szCs w:val="32"/>
                <w:lang w:val="en-US" w:eastAsia="zh-CN"/>
                <w:highlight w:val="auto"/>
              </w:rPr>
              <w:t>国有资本经营预算财政拨款支出决算表</w:t>
            </w:r>
          </w:p>
        </w:tc>
      </w:tr>
      <w:tr>
        <w:trPr>
          <w:trHeight w:val="300"/>
        </w:trPr>
        <w:tc>
          <w:tcPr>
            <w:tcW w:w="5000" w:type="pct"/>
            <w:gridSpan w:val="9"/>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公开</w:t>
            </w:r>
            <w:r>
              <w:rPr>
                <w:rFonts w:ascii="Times New Roman" w:eastAsia="方正仿宋_GB2312" w:cs="Times New Roman" w:hAnsi="Times New Roman"/>
                <w:i w:val="0"/>
                <w:iCs w:val="0"/>
                <w:color w:val="000000"/>
                <w:kern w:val="0"/>
                <w:sz w:val="20"/>
                <w:szCs w:val="20"/>
                <w:u w:val="none"/>
                <w:lang w:val="en-US" w:eastAsia="zh-CN"/>
                <w:highlight w:val="auto"/>
              </w:rPr>
              <w:t>08</w:t>
            </w:r>
            <w:r>
              <w:rPr>
                <w:rFonts w:ascii="方正仿宋_GB2312" w:eastAsia="方正仿宋_GB2312" w:cs="方正仿宋_GB2312" w:hint="eastAsia"/>
                <w:i w:val="0"/>
                <w:iCs w:val="0"/>
                <w:color w:val="000000"/>
                <w:kern w:val="0"/>
                <w:sz w:val="20"/>
                <w:szCs w:val="20"/>
                <w:u w:val="none"/>
                <w:lang w:val="en-US" w:eastAsia="zh-CN"/>
                <w:highlight w:val="auto"/>
              </w:rPr>
              <w:t>表</w:t>
            </w:r>
          </w:p>
        </w:tc>
      </w:tr>
      <w:tr>
        <w:trPr>
          <w:trHeight w:val="300"/>
        </w:trPr>
        <w:tc>
          <w:tcPr>
            <w:tcW w:w="1974" w:type="pct"/>
            <w:gridSpan w:val="2"/>
            <w:tcBorders>
              <w:top w:val="nil"/>
              <w:left w:val="nil"/>
              <w:bottom w:val="single" w:sz="4" w:space="0" w:color="auto"/>
              <w:right w:val="nil"/>
            </w:tcBorders>
            <w:noWrap/>
            <w:vAlign w:val="bottom"/>
          </w:tcPr>
          <w:p>
            <w:pPr>
              <w:keepNext w:val="0"/>
              <w:keepLines w:val="0"/>
              <w:widowControl/>
              <w:suppressLineNumbers w:val="0"/>
              <w:jc w:val="both"/>
              <w:textAlignment w:val="bottom"/>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部门（单位）：中国共产党涞源县委员会统战部</w:t>
            </w:r>
          </w:p>
        </w:tc>
        <w:tc>
          <w:tcPr>
            <w:tcW w:w="1421" w:type="pct"/>
            <w:gridSpan w:val="2"/>
            <w:tcBorders>
              <w:top w:val="nil"/>
              <w:left w:val="nil"/>
              <w:bottom w:val="single" w:sz="4" w:space="0" w:color="auto"/>
              <w:right w:val="nil"/>
            </w:tcBorders>
            <w:noWrap/>
            <w:vAlign w:val="bottom"/>
          </w:tcPr>
          <w:p>
            <w:pPr>
              <w:keepNext w:val="0"/>
              <w:keepLines w:val="0"/>
              <w:widowControl/>
              <w:suppressLineNumbers w:val="0"/>
              <w:jc w:val="center"/>
              <w:textAlignment w:val="bottom"/>
              <w:rPr>
                <w:rFonts w:ascii="宋体" w:eastAsia="宋体" w:cs="宋体"/>
                <w:i w:val="0"/>
                <w:iCs w:val="0"/>
                <w:color w:val="000000"/>
                <w:kern w:val="0"/>
                <w:sz w:val="20"/>
                <w:szCs w:val="20"/>
                <w:u w:val="none"/>
                <w:lang w:val="en-US" w:eastAsia="zh-CN"/>
                <w:highlight w:val="auto"/>
              </w:rPr>
            </w:pPr>
            <w:r>
              <w:rPr>
                <w:rFonts w:ascii="Times New Roman" w:eastAsia="宋体" w:cs="Times New Roman" w:hAnsi="Times New Roman"/>
                <w:i w:val="0"/>
                <w:iCs w:val="0"/>
                <w:color w:val="000000"/>
                <w:kern w:val="0"/>
                <w:sz w:val="20"/>
                <w:szCs w:val="20"/>
                <w:u w:val="none"/>
                <w:lang w:val="en-US" w:eastAsia="zh-CN"/>
                <w:highlight w:val="auto"/>
              </w:rPr>
              <w:t>202</w:t>
            </w:r>
            <w:r>
              <w:rPr>
                <w:rFonts w:ascii="Times New Roman" w:eastAsia="宋体" w:cs="Times New Roman" w:hAnsi="Times New Roman" w:hint="eastAsia"/>
                <w:i w:val="0"/>
                <w:iCs w:val="0"/>
                <w:color w:val="000000"/>
                <w:kern w:val="0"/>
                <w:sz w:val="20"/>
                <w:szCs w:val="20"/>
                <w:u w:val="none"/>
                <w:lang w:val="en-US" w:eastAsia="zh-CN"/>
                <w:highlight w:val="auto"/>
              </w:rPr>
              <w:t>4</w:t>
            </w:r>
            <w:r>
              <w:rPr>
                <w:rFonts w:ascii="方正仿宋_GB2312" w:eastAsia="方正仿宋_GB2312" w:cs="方正仿宋_GB2312" w:hint="eastAsia"/>
                <w:i w:val="0"/>
                <w:iCs w:val="0"/>
                <w:color w:val="000000"/>
                <w:kern w:val="0"/>
                <w:sz w:val="20"/>
                <w:szCs w:val="20"/>
                <w:u w:val="none"/>
                <w:lang w:val="en-US" w:eastAsia="zh-CN"/>
                <w:highlight w:val="auto"/>
              </w:rPr>
              <w:t>年度</w:t>
            </w:r>
          </w:p>
        </w:tc>
        <w:tc>
          <w:tcPr>
            <w:tcW w:w="1603" w:type="pct"/>
            <w:gridSpan w:val="5"/>
            <w:tcBorders>
              <w:top w:val="nil"/>
              <w:left w:val="nil"/>
              <w:bottom w:val="single" w:sz="4" w:space="0" w:color="auto"/>
              <w:right w:val="nil"/>
            </w:tcBorders>
            <w:noWrap/>
            <w:vAlign w:val="bottom"/>
          </w:tcPr>
          <w:p>
            <w:pPr>
              <w:keepNext w:val="0"/>
              <w:keepLines w:val="0"/>
              <w:widowControl/>
              <w:suppressLineNumbers w:val="0"/>
              <w:jc w:val="right"/>
              <w:textAlignment w:val="bottom"/>
              <w:rPr>
                <w:rFonts w:ascii="宋体" w:eastAsia="宋体" w:cs="宋体"/>
                <w:i w:val="0"/>
                <w:iCs w:val="0"/>
                <w:color w:val="000000"/>
                <w:kern w:val="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金额单位：万元</w:t>
            </w:r>
          </w:p>
        </w:tc>
      </w:tr>
      <w:tr>
        <w:trPr>
          <w:trHeight w:val="312"/>
        </w:trPr>
        <w:tc>
          <w:tcPr>
            <w:tcW w:w="2662" w:type="pct"/>
            <w:gridSpan w:val="3"/>
            <w:vMerge w:val="restart"/>
            <w:tcBorders>
              <w:top w:val="single" w:sz="4" w:space="0" w:color="auto"/>
              <w:left w:val="single" w:sz="4" w:space="0" w:color="auto"/>
              <w:bottom w:val="single" w:sz="4" w:space="0" w:color="auto"/>
              <w:right w:val="single" w:sz="4" w:space="0" w:color="auto"/>
            </w:tcBorders>
            <w:noWrap/>
            <w:vAlign w:val="center"/>
          </w:tcPr>
          <w:p>
            <w:pPr>
              <w:keepNext w:val="0"/>
              <w:keepLines w:val="0"/>
              <w:widowControl/>
              <w:suppressLineNumbers w:val="0"/>
              <w:jc w:val="center"/>
              <w:textAlignment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 xml:space="preserve"> 项目</w:t>
            </w:r>
          </w:p>
        </w:tc>
        <w:tc>
          <w:tcPr>
            <w:tcW w:w="2337" w:type="pct"/>
            <w:gridSpan w:val="6"/>
            <w:vMerge w:val="restart"/>
            <w:tcBorders>
              <w:top w:val="single" w:sz="4" w:space="0" w:color="auto"/>
              <w:left w:val="single" w:sz="4" w:space="0" w:color="auto"/>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本年支出</w:t>
            </w:r>
          </w:p>
        </w:tc>
      </w:tr>
      <w:tr>
        <w:trPr>
          <w:trHeight w:val="312"/>
        </w:trPr>
        <w:tc>
          <w:tcPr>
            <w:tcW w:w="2662" w:type="pct"/>
            <w:gridSpan w:val="3"/>
            <w:vMerge/>
            <w:tcBorders>
              <w:top w:val="single" w:sz="4" w:space="0" w:color="auto"/>
              <w:left w:val="single" w:sz="4" w:space="0" w:color="auto"/>
              <w:bottom w:val="single" w:sz="4" w:space="0" w:color="auto"/>
              <w:right w:val="single" w:sz="4" w:space="0" w:color="auto"/>
            </w:tcBorders>
            <w:noWrap/>
            <w:vAlign w:val="center"/>
          </w:tcPr>
          <w:p/>
        </w:tc>
        <w:tc>
          <w:tcPr>
            <w:tcW w:w="2337" w:type="pct"/>
            <w:gridSpan w:val="6"/>
            <w:vMerge/>
            <w:tcBorders>
              <w:left w:val="single" w:sz="4" w:space="0" w:color="auto"/>
              <w:bottom w:val="single" w:sz="4" w:space="0" w:color="000000"/>
              <w:right w:val="single" w:sz="4" w:space="0" w:color="000000"/>
            </w:tcBorders>
            <w:noWrap/>
            <w:vAlign w:val="center"/>
          </w:tcPr>
          <w:p/>
        </w:tc>
      </w:tr>
      <w:tr>
        <w:trPr>
          <w:trHeight w:val="312"/>
        </w:trPr>
        <w:tc>
          <w:tcPr>
            <w:tcW w:w="1587" w:type="pct"/>
            <w:vMerge w:val="restart"/>
            <w:tcBorders>
              <w:top w:val="single" w:sz="4" w:space="0" w:color="auto"/>
              <w:left w:val="single" w:sz="4" w:space="0" w:color="auto"/>
              <w:bottom w:val="single" w:sz="4" w:space="0" w:color="auto"/>
              <w:right w:val="single" w:sz="4" w:space="0" w:color="auto"/>
            </w:tcBorders>
            <w:noWrap/>
            <w:vAlign w:val="center"/>
          </w:tcPr>
          <w:p>
            <w:pPr>
              <w:jc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科目代码</w:t>
            </w:r>
          </w:p>
        </w:tc>
        <w:tc>
          <w:tcPr>
            <w:tcW w:w="1074" w:type="pct"/>
            <w:gridSpan w:val="2"/>
            <w:vMerge w:val="restart"/>
            <w:tcBorders>
              <w:top w:val="single" w:sz="4" w:space="0" w:color="auto"/>
              <w:left w:val="single" w:sz="4" w:space="0" w:color="auto"/>
              <w:bottom w:val="single" w:sz="4" w:space="0" w:color="auto"/>
              <w:right w:val="single" w:sz="4" w:space="0" w:color="auto"/>
            </w:tcBorders>
            <w:noWrap/>
            <w:vAlign w:val="center"/>
          </w:tcPr>
          <w:p>
            <w:pPr>
              <w:jc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科目名称</w:t>
            </w:r>
          </w:p>
        </w:tc>
        <w:tc>
          <w:tcPr>
            <w:tcW w:w="709" w:type="pct"/>
            <w:gridSpan w:val="3"/>
            <w:vMerge w:val="restart"/>
            <w:tcBorders>
              <w:top w:val="nil"/>
              <w:left w:val="single" w:sz="4" w:space="0" w:color="auto"/>
              <w:right w:val="single" w:sz="4" w:space="0" w:color="000000"/>
            </w:tcBorders>
            <w:noWrap/>
            <w:vAlign w:val="center"/>
          </w:tcPr>
          <w:p>
            <w:pPr>
              <w:jc w:val="center"/>
              <w:rPr>
                <w:rFonts w:ascii="方正仿宋_GB2312" w:eastAsia="方正仿宋_GB2312" w:cs="方正仿宋_GB2312" w:hint="eastAsia"/>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合计</w:t>
            </w:r>
          </w:p>
        </w:tc>
        <w:tc>
          <w:tcPr>
            <w:tcW w:w="709" w:type="pct"/>
            <w:gridSpan w:val="2"/>
            <w:vMerge w:val="restart"/>
            <w:tcBorders>
              <w:top w:val="nil"/>
              <w:left w:val="nil"/>
              <w:right w:val="single" w:sz="4" w:space="0" w:color="000000"/>
            </w:tcBorders>
            <w:noWrap/>
            <w:vAlign w:val="center"/>
          </w:tcPr>
          <w:p>
            <w:pPr>
              <w:jc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基本支出</w:t>
            </w:r>
          </w:p>
        </w:tc>
        <w:tc>
          <w:tcPr>
            <w:tcW w:w="919" w:type="pct"/>
            <w:vMerge w:val="restart"/>
            <w:tcBorders>
              <w:top w:val="nil"/>
              <w:left w:val="nil"/>
              <w:right w:val="single" w:sz="4" w:space="0" w:color="000000"/>
            </w:tcBorders>
            <w:noWrap/>
            <w:vAlign w:val="center"/>
          </w:tcPr>
          <w:p>
            <w:pPr>
              <w:jc w:val="center"/>
              <w:rPr>
                <w:rFonts w:ascii="方正仿宋_GB2312" w:eastAsia="方正仿宋_GB2312" w:cs="方正仿宋_GB2312"/>
                <w:i w:val="0"/>
                <w:iCs w:val="0"/>
                <w:color w:val="000000"/>
                <w:sz w:val="20"/>
                <w:szCs w:val="20"/>
                <w:u w:val="none"/>
                <w:lang w:val="en-US" w:eastAsia="zh-CN"/>
                <w:highlight w:val="auto"/>
              </w:rPr>
            </w:pPr>
            <w:r>
              <w:rPr>
                <w:rFonts w:ascii="方正仿宋_GB2312" w:eastAsia="方正仿宋_GB2312" w:cs="方正仿宋_GB2312" w:hint="eastAsia"/>
                <w:i w:val="0"/>
                <w:iCs w:val="0"/>
                <w:color w:val="000000"/>
                <w:sz w:val="20"/>
                <w:szCs w:val="20"/>
                <w:u w:val="none"/>
                <w:lang w:val="en-US" w:eastAsia="zh-CN"/>
                <w:highlight w:val="auto"/>
              </w:rPr>
              <w:t>项目支出</w:t>
            </w:r>
          </w:p>
        </w:tc>
      </w:tr>
      <w:tr>
        <w:trPr>
          <w:trHeight w:val="312"/>
        </w:trPr>
        <w:tc>
          <w:tcPr>
            <w:tcW w:w="1587" w:type="pct"/>
            <w:vMerge/>
            <w:tcBorders>
              <w:top w:val="single" w:sz="4" w:space="0" w:color="auto"/>
              <w:left w:val="single" w:sz="4" w:space="0" w:color="auto"/>
              <w:bottom w:val="single" w:sz="4" w:space="0" w:color="auto"/>
              <w:right w:val="single" w:sz="4" w:space="0" w:color="000000"/>
            </w:tcBorders>
            <w:noWrap/>
            <w:vAlign w:val="center"/>
          </w:tcPr>
          <w:p/>
        </w:tc>
        <w:tc>
          <w:tcPr>
            <w:tcW w:w="1074" w:type="pct"/>
            <w:gridSpan w:val="2"/>
            <w:vMerge/>
            <w:tcBorders>
              <w:top w:val="single" w:sz="4" w:space="0" w:color="auto"/>
              <w:left w:val="nil"/>
              <w:bottom w:val="single" w:sz="4" w:space="0" w:color="auto"/>
              <w:right w:val="single" w:sz="4" w:space="0" w:color="auto"/>
            </w:tcBorders>
            <w:noWrap/>
            <w:vAlign w:val="center"/>
          </w:tcPr>
          <w:p/>
        </w:tc>
        <w:tc>
          <w:tcPr>
            <w:tcW w:w="709" w:type="pct"/>
            <w:gridSpan w:val="3"/>
            <w:vMerge/>
            <w:tcBorders>
              <w:left w:val="single" w:sz="4" w:space="0" w:color="auto"/>
              <w:bottom w:val="single" w:sz="4" w:space="0" w:color="000000"/>
              <w:right w:val="single" w:sz="4" w:space="0" w:color="000000"/>
            </w:tcBorders>
            <w:noWrap/>
            <w:vAlign w:val="center"/>
          </w:tcPr>
          <w:p/>
        </w:tc>
        <w:tc>
          <w:tcPr>
            <w:tcW w:w="709" w:type="pct"/>
            <w:gridSpan w:val="2"/>
            <w:vMerge/>
            <w:tcBorders>
              <w:left w:val="nil"/>
              <w:bottom w:val="single" w:sz="4" w:space="0" w:color="000000"/>
              <w:right w:val="single" w:sz="4" w:space="0" w:color="000000"/>
            </w:tcBorders>
            <w:noWrap/>
            <w:vAlign w:val="center"/>
          </w:tcPr>
          <w:p/>
        </w:tc>
        <w:tc>
          <w:tcPr>
            <w:tcW w:w="919" w:type="pct"/>
            <w:vMerge/>
            <w:tcBorders>
              <w:left w:val="nil"/>
              <w:bottom w:val="single" w:sz="4" w:space="0" w:color="000000"/>
              <w:right w:val="single" w:sz="4" w:space="0" w:color="000000"/>
            </w:tcBorders>
            <w:noWrap/>
            <w:vAlign w:val="center"/>
          </w:tcPr>
          <w:p/>
        </w:tc>
      </w:tr>
      <w:tr>
        <w:trPr>
          <w:trHeight w:val="308"/>
        </w:trPr>
        <w:tc>
          <w:tcPr>
            <w:tcW w:w="2662" w:type="pct"/>
            <w:gridSpan w:val="3"/>
            <w:tcBorders>
              <w:top w:val="single" w:sz="4" w:space="0" w:color="auto"/>
              <w:left w:val="single" w:sz="4" w:space="0" w:color="auto"/>
              <w:bottom w:val="single" w:sz="4" w:space="0" w:color="000000"/>
              <w:right w:val="single" w:sz="4" w:space="0" w:color="auto"/>
            </w:tcBorders>
            <w:noWrap/>
            <w:vAlign w:val="center"/>
          </w:tcPr>
          <w:p>
            <w:pPr>
              <w:keepNext w:val="0"/>
              <w:keepLines w:val="0"/>
              <w:widowControl/>
              <w:suppressLineNumbers w:val="0"/>
              <w:jc w:val="center"/>
              <w:textAlignment w:val="center"/>
              <w:rPr>
                <w:rFonts w:ascii="Times New Roman" w:eastAsia="方正仿宋_GB2312" w:cs="Times New Roman" w:hAnsi="Times New Roman" w:hint="eastAsia"/>
                <w:i w:val="0"/>
                <w:iCs w:val="0"/>
                <w:color w:val="000000"/>
                <w:sz w:val="20"/>
                <w:szCs w:val="20"/>
                <w:u w:val="none"/>
                <w:lang w:val="en-US" w:eastAsia="zh-CN"/>
                <w:highlight w:val="auto"/>
              </w:rPr>
            </w:pPr>
            <w:r>
              <w:rPr>
                <w:rFonts w:ascii="Times New Roman" w:eastAsia="方正仿宋_GB2312" w:cs="Times New Roman" w:hAnsi="Times New Roman" w:hint="eastAsia"/>
                <w:i w:val="0"/>
                <w:iCs w:val="0"/>
                <w:color w:val="000000"/>
                <w:sz w:val="20"/>
                <w:szCs w:val="20"/>
                <w:u w:val="none"/>
                <w:lang w:val="en-US" w:eastAsia="zh-CN"/>
                <w:highlight w:val="auto"/>
              </w:rPr>
              <w:t>栏次</w:t>
            </w:r>
          </w:p>
        </w:tc>
        <w:tc>
          <w:tcPr>
            <w:tcW w:w="706" w:type="pct"/>
            <w:gridSpan w:val="2"/>
            <w:tcBorders>
              <w:top w:val="nil"/>
              <w:left w:val="single" w:sz="4" w:space="0" w:color="auto"/>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hint="eastAsia"/>
                <w:i w:val="0"/>
                <w:iCs w:val="0"/>
                <w:color w:val="000000"/>
                <w:sz w:val="20"/>
                <w:szCs w:val="20"/>
                <w:u w:val="none"/>
                <w:lang w:val="en-US" w:eastAsia="zh-CN"/>
                <w:highlight w:val="auto"/>
              </w:rPr>
            </w:pPr>
            <w:r>
              <w:rPr>
                <w:rFonts w:ascii="Times New Roman" w:eastAsia="方正仿宋_GB2312" w:cs="Times New Roman" w:hAnsi="Times New Roman" w:hint="eastAsia"/>
                <w:i w:val="0"/>
                <w:iCs w:val="0"/>
                <w:color w:val="000000"/>
                <w:sz w:val="20"/>
                <w:szCs w:val="20"/>
                <w:u w:val="none"/>
                <w:lang w:val="en-US" w:eastAsia="zh-CN"/>
                <w:highlight w:val="auto"/>
              </w:rPr>
              <w:t>1</w:t>
            </w:r>
          </w:p>
        </w:tc>
        <w:tc>
          <w:tcPr>
            <w:tcW w:w="706"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hint="eastAsia"/>
                <w:i w:val="0"/>
                <w:iCs w:val="0"/>
                <w:color w:val="000000"/>
                <w:sz w:val="20"/>
                <w:szCs w:val="20"/>
                <w:u w:val="none"/>
                <w:lang w:val="en-US" w:eastAsia="zh-CN"/>
                <w:highlight w:val="auto"/>
              </w:rPr>
            </w:pPr>
            <w:r>
              <w:rPr>
                <w:rFonts w:ascii="Times New Roman" w:eastAsia="方正仿宋_GB2312" w:cs="Times New Roman" w:hAnsi="Times New Roman" w:hint="eastAsia"/>
                <w:i w:val="0"/>
                <w:iCs w:val="0"/>
                <w:color w:val="000000"/>
                <w:sz w:val="20"/>
                <w:szCs w:val="20"/>
                <w:u w:val="none"/>
                <w:lang w:val="en-US" w:eastAsia="zh-CN"/>
                <w:highlight w:val="auto"/>
              </w:rPr>
              <w:t>2</w:t>
            </w:r>
          </w:p>
        </w:tc>
        <w:tc>
          <w:tcPr>
            <w:tcW w:w="924"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hint="eastAsia"/>
                <w:i w:val="0"/>
                <w:iCs w:val="0"/>
                <w:color w:val="000000"/>
                <w:sz w:val="20"/>
                <w:szCs w:val="20"/>
                <w:u w:val="none"/>
                <w:lang w:val="en-US" w:eastAsia="zh-CN"/>
                <w:highlight w:val="auto"/>
              </w:rPr>
            </w:pPr>
            <w:r>
              <w:rPr>
                <w:rFonts w:ascii="Times New Roman" w:eastAsia="方正仿宋_GB2312" w:cs="Times New Roman" w:hAnsi="Times New Roman" w:hint="eastAsia"/>
                <w:i w:val="0"/>
                <w:iCs w:val="0"/>
                <w:color w:val="000000"/>
                <w:sz w:val="20"/>
                <w:szCs w:val="20"/>
                <w:u w:val="none"/>
                <w:lang w:val="en-US" w:eastAsia="zh-CN"/>
                <w:highlight w:val="auto"/>
              </w:rPr>
              <w:t>3</w:t>
            </w:r>
          </w:p>
        </w:tc>
      </w:tr>
      <w:tr>
        <w:trPr>
          <w:trHeight w:val="308"/>
        </w:trPr>
        <w:tc>
          <w:tcPr>
            <w:tcW w:w="2662" w:type="pct"/>
            <w:gridSpan w:val="3"/>
            <w:tcBorders>
              <w:top w:val="single" w:sz="4" w:space="0" w:color="000000"/>
              <w:left w:val="single" w:sz="4" w:space="0" w:color="000000"/>
              <w:bottom w:val="single" w:sz="4" w:space="0" w:color="000000"/>
              <w:right w:val="single" w:sz="4" w:space="0" w:color="000000"/>
            </w:tcBorders>
            <w:noWrap/>
            <w:vAlign w:val="center"/>
          </w:tcPr>
          <w:p>
            <w:pPr>
              <w:jc w:val="center"/>
              <w:rPr>
                <w:rFonts w:ascii="Times New Roman" w:eastAsia="宋体" w:cs="Times New Roman" w:hAnsi="Times New Roman"/>
                <w:i w:val="0"/>
                <w:iCs w:val="0"/>
                <w:color w:val="000000"/>
                <w:sz w:val="20"/>
                <w:szCs w:val="20"/>
                <w:u w:val="none"/>
                <w:lang w:val="en-US" w:eastAsia="zh-CN"/>
                <w:highlight w:val="auto"/>
              </w:rPr>
            </w:pPr>
            <w:r>
              <w:rPr>
                <w:rFonts w:ascii="Times New Roman" w:eastAsia="方正仿宋_GB2312" w:cs="Times New Roman" w:hAnsi="Times New Roman" w:hint="eastAsia"/>
                <w:i w:val="0"/>
                <w:iCs w:val="0"/>
                <w:color w:val="000000"/>
                <w:sz w:val="20"/>
                <w:szCs w:val="20"/>
                <w:u w:val="none"/>
                <w:lang w:val="en-US" w:eastAsia="zh-CN"/>
                <w:highlight w:val="auto"/>
              </w:rPr>
              <w:t>合计</w:t>
            </w:r>
          </w:p>
        </w:tc>
        <w:tc>
          <w:tcPr>
            <w:tcW w:w="706" w:type="pct"/>
            <w:gridSpan w:val="2"/>
            <w:tcBorders>
              <w:top w:val="single" w:sz="4" w:space="0" w:color="000000"/>
              <w:left w:val="single" w:sz="4" w:space="0" w:color="000000"/>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706" w:type="pct"/>
            <w:gridSpan w:val="2"/>
            <w:tcBorders>
              <w:top w:val="single" w:sz="4" w:space="0" w:color="000000"/>
              <w:left w:val="single" w:sz="4" w:space="0" w:color="000000"/>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c>
          <w:tcPr>
            <w:tcW w:w="924" w:type="pct"/>
            <w:gridSpan w:val="2"/>
            <w:tcBorders>
              <w:top w:val="single" w:sz="4" w:space="0" w:color="000000"/>
              <w:left w:val="single" w:sz="4" w:space="0" w:color="000000"/>
              <w:bottom w:val="single" w:sz="4" w:space="0" w:color="000000"/>
              <w:right w:val="single" w:sz="4" w:space="0" w:color="000000"/>
            </w:tcBorders>
            <w:noWrap/>
            <w:vAlign w:val="center"/>
          </w:tcPr>
          <w:p>
            <w:pPr>
              <w:jc w:val="right"/>
              <w:rPr>
                <w:rFonts w:ascii="Times New Roman" w:eastAsia="宋体" w:cs="Times New Roman" w:hAnsi="Times New Roman"/>
                <w:i w:val="0"/>
                <w:iCs w:val="0"/>
                <w:color w:val="000000"/>
                <w:sz w:val="20"/>
                <w:szCs w:val="20"/>
                <w:u w:val="none"/>
                <w:highlight w:val="auto"/>
              </w:rPr>
            </w:pPr>
          </w:p>
        </w:tc>
      </w:tr>
      <w:tr>
        <w:trPr>
          <w:trHeight w:val="308"/>
        </w:trPr>
        <w:tc>
          <w:tcPr>
            <w:tcW w:w="5000" w:type="pct"/>
            <w:gridSpan w:val="9"/>
            <w:tcBorders>
              <w:top w:val="nil"/>
              <w:left w:val="nil"/>
              <w:bottom w:val="nil"/>
              <w:right w:val="nil"/>
            </w:tcBorders>
            <w:noWrap/>
            <w:vAlign w:val="center"/>
          </w:tcPr>
          <w:p>
            <w:pPr>
              <w:keepNext w:val="0"/>
              <w:keepLines w:val="0"/>
              <w:widowControl/>
              <w:suppressLineNumbers w:val="0"/>
              <w:jc w:val="left"/>
              <w:textAlignment w:val="center"/>
              <w:rPr>
                <w:rFonts w:ascii="宋体" w:eastAsia="宋体" w:cs="宋体" w:hint="eastAsia"/>
                <w:i w:val="0"/>
                <w:iCs w:val="0"/>
                <w:color w:val="000000"/>
                <w:sz w:val="20"/>
                <w:szCs w:val="20"/>
                <w:u w:val="none"/>
                <w:highlight w:val="auto"/>
              </w:rPr>
            </w:pPr>
            <w:r>
              <w:rPr>
                <w:rFonts w:ascii="方正仿宋_GB2312" w:eastAsia="方正仿宋_GB2312" w:cs="方正仿宋_GB2312" w:hint="eastAsia"/>
                <w:i w:val="0"/>
                <w:iCs w:val="0"/>
                <w:color w:val="000000"/>
                <w:kern w:val="0"/>
                <w:sz w:val="20"/>
                <w:szCs w:val="20"/>
                <w:u w:val="none"/>
                <w:lang w:val="en-US" w:eastAsia="zh-CN"/>
                <w:highlight w:val="auto"/>
              </w:rPr>
              <w:t>注：本表反映部门本年度国有资本经营预算财政拨款支出情况。本部门本年度无相关支出情况，按要求空表列示。</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r>
        <w:rPr>
          <w:rFonts w:ascii="仿宋_GB2312" w:eastAsia="仿宋_GB2312" w:hint="eastAsia"/>
          <w:b/>
          <w:color w:val="auto"/>
          <w:kern w:val="0"/>
          <w:sz w:val="32"/>
          <w:szCs w:val="32"/>
          <w:highlight w:val="auto"/>
        </w:rPr>
        <w:br w:type="page"/>
      </w:r>
    </w:p>
    <w:tbl>
      <w:tblPr>
        <w:tblpPr w:leftFromText="180" w:rightFromText="180" w:vertAnchor="text" w:horzAnchor="page" w:tblpX="476" w:tblpY="39"/>
        <w:tblOverlap w:val="never"/>
        <w:tblW w:w="6692" w:type="pct"/>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779"/>
        <w:gridCol w:w="1208"/>
        <w:gridCol w:w="800"/>
        <w:gridCol w:w="930"/>
        <w:gridCol w:w="520"/>
        <w:gridCol w:w="533"/>
        <w:gridCol w:w="770"/>
        <w:gridCol w:w="830"/>
        <w:gridCol w:w="6"/>
        <w:gridCol w:w="849"/>
        <w:gridCol w:w="722"/>
        <w:gridCol w:w="853"/>
        <w:gridCol w:w="872"/>
        <w:gridCol w:w="940"/>
      </w:tblGrid>
      <w:tr>
        <w:trPr>
          <w:trHeight w:val="550"/>
        </w:trPr>
        <w:tc>
          <w:tcPr>
            <w:tcW w:w="5000" w:type="pct"/>
            <w:gridSpan w:val="14"/>
            <w:tcBorders>
              <w:top w:val="nil"/>
              <w:left w:val="nil"/>
              <w:bottom w:val="nil"/>
              <w:right w:val="nil"/>
            </w:tcBorders>
            <w:noWrap/>
            <w:vAlign w:val="bottom"/>
          </w:tcPr>
          <w:p>
            <w:pPr>
              <w:keepNext w:val="0"/>
              <w:keepLines w:val="0"/>
              <w:widowControl/>
              <w:suppressLineNumbers w:val="0"/>
              <w:jc w:val="center"/>
              <w:textAlignment w:val="bottom"/>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b w:val="0"/>
                <w:bCs/>
                <w:color w:val="auto"/>
                <w:kern w:val="0"/>
                <w:sz w:val="32"/>
                <w:szCs w:val="32"/>
                <w:lang w:val="en-US" w:eastAsia="zh-CN"/>
                <w:highlight w:val="auto"/>
              </w:rPr>
              <w:t>财政拨款“三公”经费支出决算表</w:t>
            </w:r>
          </w:p>
        </w:tc>
      </w:tr>
      <w:tr>
        <w:trPr>
          <w:trHeight w:val="260"/>
        </w:trPr>
        <w:tc>
          <w:tcPr>
            <w:tcW w:w="5000" w:type="pct"/>
            <w:gridSpan w:val="14"/>
            <w:tcBorders>
              <w:top w:val="nil"/>
              <w:left w:val="nil"/>
              <w:bottom w:val="nil"/>
              <w:right w:val="nil"/>
            </w:tcBorders>
            <w:noWrap/>
            <w:vAlign w:val="bottom"/>
          </w:tcPr>
          <w:p>
            <w:pPr>
              <w:keepNext w:val="0"/>
              <w:keepLines w:val="0"/>
              <w:widowControl/>
              <w:suppressLineNumbers w:val="0"/>
              <w:jc w:val="right"/>
              <w:textAlignment w:val="bottom"/>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公开</w:t>
            </w:r>
            <w:r>
              <w:rPr>
                <w:rFonts w:ascii="Times New Roman" w:eastAsia="方正仿宋_GB2312" w:cs="Times New Roman" w:hAnsi="Times New Roman"/>
                <w:i w:val="0"/>
                <w:iCs w:val="0"/>
                <w:color w:val="000000"/>
                <w:kern w:val="0"/>
                <w:sz w:val="18"/>
                <w:szCs w:val="18"/>
                <w:u w:val="none"/>
                <w:lang w:val="en-US" w:eastAsia="zh-CN"/>
                <w:highlight w:val="auto"/>
              </w:rPr>
              <w:t>09</w:t>
            </w:r>
            <w:r>
              <w:rPr>
                <w:rFonts w:ascii="方正仿宋_GB2312" w:eastAsia="方正仿宋_GB2312" w:cs="方正仿宋_GB2312" w:hint="eastAsia"/>
                <w:i w:val="0"/>
                <w:iCs w:val="0"/>
                <w:color w:val="000000"/>
                <w:kern w:val="0"/>
                <w:sz w:val="18"/>
                <w:szCs w:val="18"/>
                <w:u w:val="none"/>
                <w:lang w:val="en-US" w:eastAsia="zh-CN"/>
                <w:highlight w:val="auto"/>
              </w:rPr>
              <w:t>表</w:t>
            </w:r>
          </w:p>
        </w:tc>
      </w:tr>
      <w:tr>
        <w:trPr>
          <w:trHeight w:val="260"/>
        </w:trPr>
        <w:tc>
          <w:tcPr>
            <w:tcW w:w="1996" w:type="pct"/>
            <w:gridSpan w:val="5"/>
            <w:tcBorders>
              <w:top w:val="nil"/>
              <w:left w:val="nil"/>
              <w:bottom w:val="single" w:sz="4" w:space="0" w:color="auto"/>
              <w:right w:val="nil"/>
            </w:tcBorders>
            <w:noWrap/>
            <w:vAlign w:val="bottom"/>
          </w:tcPr>
          <w:p>
            <w:pPr>
              <w:keepNext w:val="0"/>
              <w:keepLines w:val="0"/>
              <w:widowControl/>
              <w:suppressLineNumbers w:val="0"/>
              <w:jc w:val="left"/>
              <w:textAlignment w:val="bottom"/>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部门（单位）：中国共产党涞源县委员会统战部</w:t>
            </w:r>
          </w:p>
        </w:tc>
        <w:tc>
          <w:tcPr>
            <w:tcW w:w="1005" w:type="pct"/>
            <w:gridSpan w:val="3"/>
            <w:tcBorders>
              <w:top w:val="nil"/>
              <w:left w:val="nil"/>
              <w:bottom w:val="single" w:sz="4" w:space="0" w:color="auto"/>
              <w:right w:val="nil"/>
            </w:tcBorders>
            <w:noWrap/>
            <w:vAlign w:val="bottom"/>
          </w:tcPr>
          <w:p>
            <w:pPr>
              <w:keepNext w:val="0"/>
              <w:keepLines w:val="0"/>
              <w:widowControl/>
              <w:suppressLineNumbers w:val="0"/>
              <w:jc w:val="center"/>
              <w:textAlignment w:val="bottom"/>
              <w:rPr>
                <w:rFonts w:ascii="宋体" w:eastAsia="宋体" w:cs="宋体"/>
                <w:i w:val="0"/>
                <w:iCs w:val="0"/>
                <w:color w:val="000000"/>
                <w:kern w:val="0"/>
                <w:sz w:val="18"/>
                <w:szCs w:val="18"/>
                <w:u w:val="none"/>
                <w:lang w:val="en-US" w:eastAsia="zh-CN"/>
                <w:highlight w:val="auto"/>
              </w:rPr>
            </w:pPr>
            <w:r>
              <w:rPr>
                <w:rFonts w:ascii="Times New Roman" w:eastAsia="宋体" w:cs="Times New Roman" w:hAnsi="Times New Roman"/>
                <w:i w:val="0"/>
                <w:iCs w:val="0"/>
                <w:color w:val="000000"/>
                <w:kern w:val="0"/>
                <w:sz w:val="18"/>
                <w:szCs w:val="18"/>
                <w:u w:val="none"/>
                <w:lang w:val="en-US" w:eastAsia="zh-CN"/>
                <w:highlight w:val="auto"/>
              </w:rPr>
              <w:t>202</w:t>
            </w:r>
            <w:r>
              <w:rPr>
                <w:rFonts w:ascii="Times New Roman" w:eastAsia="宋体" w:cs="Times New Roman" w:hAnsi="Times New Roman" w:hint="eastAsia"/>
                <w:i w:val="0"/>
                <w:iCs w:val="0"/>
                <w:color w:val="000000"/>
                <w:kern w:val="0"/>
                <w:sz w:val="18"/>
                <w:szCs w:val="18"/>
                <w:u w:val="none"/>
                <w:lang w:val="en-US" w:eastAsia="zh-CN"/>
                <w:highlight w:val="auto"/>
              </w:rPr>
              <w:t>4</w:t>
            </w:r>
            <w:r>
              <w:rPr>
                <w:rFonts w:ascii="方正仿宋_GB2312" w:eastAsia="方正仿宋_GB2312" w:cs="方正仿宋_GB2312" w:hint="eastAsia"/>
                <w:i w:val="0"/>
                <w:iCs w:val="0"/>
                <w:color w:val="000000"/>
                <w:kern w:val="0"/>
                <w:sz w:val="18"/>
                <w:szCs w:val="18"/>
                <w:u w:val="none"/>
                <w:lang w:val="en-US" w:eastAsia="zh-CN"/>
                <w:highlight w:val="auto"/>
              </w:rPr>
              <w:t>年度</w:t>
            </w:r>
          </w:p>
        </w:tc>
        <w:tc>
          <w:tcPr>
            <w:tcW w:w="1998" w:type="pct"/>
            <w:gridSpan w:val="6"/>
            <w:tcBorders>
              <w:top w:val="nil"/>
              <w:left w:val="nil"/>
              <w:bottom w:val="single" w:sz="4" w:space="0" w:color="auto"/>
              <w:right w:val="nil"/>
            </w:tcBorders>
            <w:noWrap/>
            <w:vAlign w:val="bottom"/>
          </w:tcPr>
          <w:p>
            <w:pPr>
              <w:keepNext w:val="0"/>
              <w:keepLines w:val="0"/>
              <w:widowControl/>
              <w:suppressLineNumbers w:val="0"/>
              <w:jc w:val="right"/>
              <w:textAlignment w:val="bottom"/>
              <w:rPr>
                <w:rFonts w:ascii="宋体" w:eastAsia="宋体" w:cs="宋体"/>
                <w:i w:val="0"/>
                <w:iCs w:val="0"/>
                <w:color w:val="000000"/>
                <w:kern w:val="0"/>
                <w:sz w:val="18"/>
                <w:szCs w:val="18"/>
                <w:u w:val="none"/>
                <w:lang w:val="en-US" w:eastAsia="zh-CN"/>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金额单位：万元</w:t>
            </w:r>
          </w:p>
        </w:tc>
      </w:tr>
      <w:tr>
        <w:trPr>
          <w:trHeight w:val="431"/>
        </w:trPr>
        <w:tc>
          <w:tcPr>
            <w:tcW w:w="2610" w:type="pct"/>
            <w:gridSpan w:val="7"/>
            <w:tcBorders>
              <w:top w:val="single" w:sz="4" w:space="0" w:color="auto"/>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预算数</w:t>
            </w:r>
          </w:p>
        </w:tc>
        <w:tc>
          <w:tcPr>
            <w:tcW w:w="2389" w:type="pct"/>
            <w:gridSpan w:val="7"/>
            <w:tcBorders>
              <w:top w:val="single" w:sz="4" w:space="0" w:color="auto"/>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决算数</w:t>
            </w:r>
          </w:p>
        </w:tc>
      </w:tr>
      <w:tr>
        <w:trPr>
          <w:trHeight w:val="431"/>
        </w:trPr>
        <w:tc>
          <w:tcPr>
            <w:tcW w:w="367" w:type="pct"/>
            <w:vMerge w:val="restar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合计</w:t>
            </w:r>
          </w:p>
        </w:tc>
        <w:tc>
          <w:tcPr>
            <w:tcW w:w="569"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因公出国（境）费</w:t>
            </w:r>
          </w:p>
        </w:tc>
        <w:tc>
          <w:tcPr>
            <w:tcW w:w="1311" w:type="pct"/>
            <w:gridSpan w:val="4"/>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公务用车购置及运行维护费</w:t>
            </w:r>
          </w:p>
        </w:tc>
        <w:tc>
          <w:tcPr>
            <w:tcW w:w="361"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公务接待费</w:t>
            </w:r>
          </w:p>
        </w:tc>
        <w:tc>
          <w:tcPr>
            <w:tcW w:w="394" w:type="pct"/>
            <w:gridSpan w:val="2"/>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合计</w:t>
            </w:r>
          </w:p>
        </w:tc>
        <w:tc>
          <w:tcPr>
            <w:tcW w:w="400"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因公出国（境）费</w:t>
            </w:r>
          </w:p>
        </w:tc>
        <w:tc>
          <w:tcPr>
            <w:tcW w:w="1153" w:type="pct"/>
            <w:gridSpan w:val="3"/>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公务用车购置及运行维护费</w:t>
            </w:r>
          </w:p>
        </w:tc>
        <w:tc>
          <w:tcPr>
            <w:tcW w:w="441" w:type="pct"/>
            <w:vMerge w:val="restar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公务接待费</w:t>
            </w:r>
          </w:p>
        </w:tc>
      </w:tr>
      <w:tr>
        <w:trPr>
          <w:trHeight w:val="431"/>
        </w:trPr>
        <w:tc>
          <w:tcPr>
            <w:tcW w:w="367" w:type="pct"/>
            <w:vMerge/>
            <w:tcBorders>
              <w:top w:val="nil"/>
              <w:left w:val="single" w:sz="4" w:space="0" w:color="000000"/>
              <w:bottom w:val="single" w:sz="4" w:space="0" w:color="000000"/>
              <w:right w:val="single" w:sz="4" w:space="0" w:color="000000"/>
            </w:tcBorders>
            <w:noWrap/>
            <w:vAlign w:val="center"/>
          </w:tcPr>
          <w:p/>
        </w:tc>
        <w:tc>
          <w:tcPr>
            <w:tcW w:w="569" w:type="pct"/>
            <w:vMerge/>
            <w:tcBorders>
              <w:top w:val="nil"/>
              <w:left w:val="nil"/>
              <w:bottom w:val="single" w:sz="4" w:space="0" w:color="000000"/>
              <w:right w:val="single" w:sz="4" w:space="0" w:color="000000"/>
            </w:tcBorders>
            <w:noWrap/>
            <w:vAlign w:val="center"/>
          </w:tcPr>
          <w:p/>
        </w:tc>
        <w:tc>
          <w:tcPr>
            <w:tcW w:w="377"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小计</w:t>
            </w:r>
          </w:p>
        </w:tc>
        <w:tc>
          <w:tcPr>
            <w:tcW w:w="438"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公务用车购置费</w:t>
            </w:r>
          </w:p>
        </w:tc>
        <w:tc>
          <w:tcPr>
            <w:tcW w:w="495"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公务用车运行维护费</w:t>
            </w:r>
          </w:p>
        </w:tc>
        <w:tc>
          <w:tcPr>
            <w:tcW w:w="361" w:type="pct"/>
            <w:vMerge/>
            <w:tcBorders>
              <w:top w:val="nil"/>
              <w:left w:val="nil"/>
              <w:bottom w:val="single" w:sz="4" w:space="0" w:color="000000"/>
              <w:right w:val="single" w:sz="4" w:space="0" w:color="000000"/>
            </w:tcBorders>
            <w:noWrap/>
            <w:vAlign w:val="center"/>
          </w:tcPr>
          <w:p/>
        </w:tc>
        <w:tc>
          <w:tcPr>
            <w:tcW w:w="394" w:type="pct"/>
            <w:gridSpan w:val="2"/>
            <w:vMerge/>
            <w:tcBorders>
              <w:top w:val="nil"/>
              <w:left w:val="nil"/>
              <w:bottom w:val="single" w:sz="4" w:space="0" w:color="000000"/>
              <w:right w:val="single" w:sz="4" w:space="0" w:color="000000"/>
            </w:tcBorders>
            <w:noWrap/>
            <w:vAlign w:val="center"/>
          </w:tcPr>
          <w:p/>
        </w:tc>
        <w:tc>
          <w:tcPr>
            <w:tcW w:w="400" w:type="pct"/>
            <w:vMerge/>
            <w:tcBorders>
              <w:top w:val="nil"/>
              <w:left w:val="nil"/>
              <w:bottom w:val="single" w:sz="4" w:space="0" w:color="000000"/>
              <w:right w:val="single" w:sz="4" w:space="0" w:color="000000"/>
            </w:tcBorders>
            <w:noWrap/>
            <w:vAlign w:val="center"/>
          </w:tcPr>
          <w:p/>
        </w:tc>
        <w:tc>
          <w:tcPr>
            <w:tcW w:w="340"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小计</w:t>
            </w:r>
          </w:p>
        </w:tc>
        <w:tc>
          <w:tcPr>
            <w:tcW w:w="402"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公务用车购置费</w:t>
            </w:r>
          </w:p>
        </w:tc>
        <w:tc>
          <w:tcPr>
            <w:tcW w:w="410"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方正仿宋_GB2312" w:eastAsia="方正仿宋_GB2312" w:cs="方正仿宋_GB2312"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公务用车运行维护费</w:t>
            </w:r>
          </w:p>
        </w:tc>
        <w:tc>
          <w:tcPr>
            <w:tcW w:w="441" w:type="pct"/>
            <w:vMerge/>
            <w:tcBorders>
              <w:top w:val="nil"/>
              <w:left w:val="nil"/>
              <w:bottom w:val="single" w:sz="4" w:space="0" w:color="000000"/>
              <w:right w:val="single" w:sz="4" w:space="0" w:color="000000"/>
            </w:tcBorders>
            <w:noWrap/>
            <w:vAlign w:val="center"/>
          </w:tcPr>
          <w:p/>
        </w:tc>
      </w:tr>
      <w:tr>
        <w:trPr>
          <w:trHeight w:val="431"/>
        </w:trPr>
        <w:tc>
          <w:tcPr>
            <w:tcW w:w="367" w:type="pct"/>
            <w:tcBorders>
              <w:top w:val="nil"/>
              <w:left w:val="single" w:sz="4" w:space="0" w:color="000000"/>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1</w:t>
            </w:r>
          </w:p>
        </w:tc>
        <w:tc>
          <w:tcPr>
            <w:tcW w:w="569"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2</w:t>
            </w:r>
          </w:p>
        </w:tc>
        <w:tc>
          <w:tcPr>
            <w:tcW w:w="377"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3</w:t>
            </w:r>
          </w:p>
        </w:tc>
        <w:tc>
          <w:tcPr>
            <w:tcW w:w="438"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4</w:t>
            </w:r>
          </w:p>
        </w:tc>
        <w:tc>
          <w:tcPr>
            <w:tcW w:w="495"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5</w:t>
            </w:r>
          </w:p>
        </w:tc>
        <w:tc>
          <w:tcPr>
            <w:tcW w:w="361"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6</w:t>
            </w:r>
          </w:p>
        </w:tc>
        <w:tc>
          <w:tcPr>
            <w:tcW w:w="394" w:type="pct"/>
            <w:gridSpan w:val="2"/>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7</w:t>
            </w:r>
          </w:p>
        </w:tc>
        <w:tc>
          <w:tcPr>
            <w:tcW w:w="400"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8</w:t>
            </w:r>
          </w:p>
        </w:tc>
        <w:tc>
          <w:tcPr>
            <w:tcW w:w="340"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9</w:t>
            </w:r>
          </w:p>
        </w:tc>
        <w:tc>
          <w:tcPr>
            <w:tcW w:w="402"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10</w:t>
            </w:r>
          </w:p>
        </w:tc>
        <w:tc>
          <w:tcPr>
            <w:tcW w:w="410"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11</w:t>
            </w:r>
          </w:p>
        </w:tc>
        <w:tc>
          <w:tcPr>
            <w:tcW w:w="441" w:type="pct"/>
            <w:tcBorders>
              <w:top w:val="nil"/>
              <w:left w:val="nil"/>
              <w:bottom w:val="single" w:sz="4" w:space="0" w:color="000000"/>
              <w:right w:val="single" w:sz="4" w:space="0" w:color="000000"/>
            </w:tcBorders>
            <w:noWrap/>
            <w:vAlign w:val="center"/>
          </w:tcPr>
          <w:p>
            <w:pPr>
              <w:keepNext w:val="0"/>
              <w:keepLines w:val="0"/>
              <w:widowControl/>
              <w:suppressLineNumbers w:val="0"/>
              <w:jc w:val="center"/>
              <w:textAlignment w:val="center"/>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kern w:val="0"/>
                <w:sz w:val="18"/>
                <w:szCs w:val="18"/>
                <w:u w:val="none"/>
                <w:lang w:val="en-US" w:eastAsia="zh-CN"/>
                <w:highlight w:val="auto"/>
              </w:rPr>
              <w:t>12</w:t>
            </w:r>
          </w:p>
        </w:tc>
      </w:tr>
      <w:tr>
        <w:trPr>
          <w:trHeight w:val="431"/>
        </w:trPr>
        <w:tc>
          <w:tcPr>
            <w:tcW w:w="367" w:type="pct"/>
            <w:tcBorders>
              <w:top w:val="nil"/>
              <w:left w:val="single" w:sz="4" w:space="0" w:color="000000"/>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sz w:val="18"/>
                <w:szCs w:val="18"/>
                <w:u w:val="none"/>
                <w:highlight w:val="auto"/>
              </w:rPr>
              <w:t>5.00</w:t>
            </w:r>
          </w:p>
        </w:tc>
        <w:tc>
          <w:tcPr>
            <w:tcW w:w="569"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p>
        </w:tc>
        <w:tc>
          <w:tcPr>
            <w:tcW w:w="377"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sz w:val="18"/>
                <w:szCs w:val="18"/>
                <w:u w:val="none"/>
                <w:highlight w:val="auto"/>
              </w:rPr>
              <w:t>3.00</w:t>
            </w:r>
          </w:p>
        </w:tc>
        <w:tc>
          <w:tcPr>
            <w:tcW w:w="438"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p>
        </w:tc>
        <w:tc>
          <w:tcPr>
            <w:tcW w:w="495" w:type="pct"/>
            <w:gridSpan w:val="2"/>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sz w:val="18"/>
                <w:szCs w:val="18"/>
                <w:u w:val="none"/>
                <w:highlight w:val="auto"/>
              </w:rPr>
              <w:t>3.00</w:t>
            </w:r>
          </w:p>
        </w:tc>
        <w:tc>
          <w:tcPr>
            <w:tcW w:w="361"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sz w:val="18"/>
                <w:szCs w:val="18"/>
                <w:u w:val="none"/>
                <w:highlight w:val="auto"/>
              </w:rPr>
              <w:t>2.00</w:t>
            </w:r>
          </w:p>
        </w:tc>
        <w:tc>
          <w:tcPr>
            <w:tcW w:w="394" w:type="pct"/>
            <w:gridSpan w:val="2"/>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sz w:val="18"/>
                <w:szCs w:val="18"/>
                <w:u w:val="none"/>
                <w:highlight w:val="auto"/>
              </w:rPr>
              <w:t>3.00</w:t>
            </w:r>
          </w:p>
        </w:tc>
        <w:tc>
          <w:tcPr>
            <w:tcW w:w="400"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p>
        </w:tc>
        <w:tc>
          <w:tcPr>
            <w:tcW w:w="340"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sz w:val="18"/>
                <w:szCs w:val="18"/>
                <w:u w:val="none"/>
                <w:highlight w:val="auto"/>
              </w:rPr>
              <w:t>3.00</w:t>
            </w:r>
          </w:p>
        </w:tc>
        <w:tc>
          <w:tcPr>
            <w:tcW w:w="402"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p>
        </w:tc>
        <w:tc>
          <w:tcPr>
            <w:tcW w:w="410"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r>
              <w:rPr>
                <w:rFonts w:ascii="Times New Roman" w:eastAsia="方正仿宋_GB2312" w:cs="Times New Roman" w:hAnsi="Times New Roman"/>
                <w:i w:val="0"/>
                <w:iCs w:val="0"/>
                <w:color w:val="000000"/>
                <w:sz w:val="18"/>
                <w:szCs w:val="18"/>
                <w:u w:val="none"/>
                <w:highlight w:val="auto"/>
              </w:rPr>
              <w:t>3.00</w:t>
            </w:r>
          </w:p>
        </w:tc>
        <w:tc>
          <w:tcPr>
            <w:tcW w:w="441" w:type="pct"/>
            <w:tcBorders>
              <w:top w:val="nil"/>
              <w:left w:val="nil"/>
              <w:bottom w:val="single" w:sz="4" w:space="0" w:color="000000"/>
              <w:right w:val="single" w:sz="4" w:space="0" w:color="000000"/>
            </w:tcBorders>
            <w:noWrap/>
            <w:vAlign w:val="center"/>
          </w:tcPr>
          <w:p>
            <w:pPr>
              <w:jc w:val="right"/>
              <w:rPr>
                <w:rFonts w:ascii="Times New Roman" w:eastAsia="方正仿宋_GB2312" w:cs="Times New Roman" w:hAnsi="Times New Roman"/>
                <w:i w:val="0"/>
                <w:iCs w:val="0"/>
                <w:color w:val="000000"/>
                <w:sz w:val="18"/>
                <w:szCs w:val="18"/>
                <w:u w:val="none"/>
                <w:highlight w:val="auto"/>
              </w:rPr>
            </w:pPr>
          </w:p>
        </w:tc>
      </w:tr>
      <w:tr>
        <w:trPr>
          <w:trHeight w:val="431"/>
        </w:trPr>
        <w:tc>
          <w:tcPr>
            <w:tcW w:w="5000" w:type="pct"/>
            <w:gridSpan w:val="14"/>
            <w:tcBorders>
              <w:top w:val="nil"/>
              <w:left w:val="nil"/>
              <w:bottom w:val="nil"/>
              <w:right w:val="nil"/>
            </w:tcBorders>
            <w:noWrap/>
            <w:vAlign w:val="center"/>
          </w:tcPr>
          <w:p>
            <w:pPr>
              <w:keepNext w:val="0"/>
              <w:keepLines w:val="0"/>
              <w:widowControl/>
              <w:suppressLineNumbers w:val="0"/>
              <w:jc w:val="left"/>
              <w:textAlignment w:val="center"/>
              <w:rPr>
                <w:rFonts w:ascii="宋体" w:eastAsia="宋体" w:cs="宋体" w:hint="eastAsia"/>
                <w:i w:val="0"/>
                <w:iCs w:val="0"/>
                <w:color w:val="000000"/>
                <w:sz w:val="18"/>
                <w:szCs w:val="18"/>
                <w:u w:val="none"/>
                <w:highlight w:val="auto"/>
              </w:rPr>
            </w:pPr>
            <w:r>
              <w:rPr>
                <w:rFonts w:ascii="方正仿宋_GB2312" w:eastAsia="方正仿宋_GB2312" w:cs="方正仿宋_GB2312" w:hint="eastAsia"/>
                <w:i w:val="0"/>
                <w:iCs w:val="0"/>
                <w:color w:val="000000"/>
                <w:kern w:val="0"/>
                <w:sz w:val="18"/>
                <w:szCs w:val="18"/>
                <w:u w:val="none"/>
                <w:lang w:val="en-US" w:eastAsia="zh-CN"/>
                <w:highlight w:val="auto"/>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pPr>
    </w:p>
    <w:p>
      <w:pPr>
        <w:rPr>
          <w:rFonts w:ascii="仿宋_GB2312" w:eastAsia="仿宋_GB2312" w:hint="eastAsia"/>
          <w:b/>
          <w:color w:val="auto"/>
          <w:kern w:val="0"/>
          <w:sz w:val="32"/>
          <w:szCs w:val="32"/>
          <w:highlight w:val="auto"/>
        </w:rPr>
      </w:pPr>
      <w:r>
        <w:rPr>
          <w:rFonts w:ascii="仿宋_GB2312" w:eastAsia="仿宋_GB2312" w:hint="eastAsia"/>
          <w:b/>
          <w:color w:val="auto"/>
          <w:kern w:val="0"/>
          <w:sz w:val="32"/>
          <w:szCs w:val="32"/>
          <w:highlight w:val="auto"/>
        </w:rPr>
        <w:br w:type="page"/>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仿宋_GB2312" w:eastAsia="仿宋_GB2312" w:hint="eastAsia"/>
          <w:b/>
          <w:color w:val="auto"/>
          <w:kern w:val="0"/>
          <w:sz w:val="32"/>
          <w:szCs w:val="32"/>
          <w:highlight w:val="auto"/>
        </w:rPr>
        <w:sectPr>
          <w:headerReference w:type="default" r:id="rId9"/>
          <w:footerReference w:type="default" r:id="rId10"/>
          <w:pgSz w:w="11906" w:h="16838"/>
          <w:pgMar w:top="1531" w:right="1984" w:bottom="1531" w:left="2098" w:header="851" w:footer="992" w:gutter="0"/>
          <w:docGrid w:type="lines" w:linePitch="312" w:charSpace="0"/>
        </w:sectPr>
      </w:pPr>
    </w:p>
    <w:p>
      <w:pPr>
        <w:widowControl/>
        <w:spacing w:before="0" w:beforeAutospacing="0" w:after="0" w:afterAutospacing="0" w:line="360" w:lineRule="auto"/>
        <w:jc w:val="center"/>
        <w:outlineLvl w:val="0"/>
        <w:rPr>
          <w:rFonts w:ascii="Times New Roman" w:eastAsia="黑体" w:hAnsi="Times New Roman"/>
          <w:sz w:val="44"/>
          <w:szCs w:val="44"/>
        </w:rPr>
      </w:pPr>
      <w:r>
        <w:rPr>
          <w:rFonts w:ascii="Times New Roman" w:eastAsia="黑体" w:hAnsi="Times New Roman"/>
          <w:b w:val="0"/>
          <w:sz w:val="44"/>
          <w:szCs w:val="44"/>
        </w:rPr>
        <w:t>第三部分</w:t>
      </w:r>
      <w:r>
        <w:rPr>
          <w:rFonts w:ascii="Times New Roman" w:eastAsia="仿宋_GB2312" w:hAnsi="Times New Roman"/>
          <w:b w:val="0"/>
          <w:sz w:val="44"/>
          <w:szCs w:val="44"/>
        </w:rPr>
        <w:t>2024</w:t>
      </w:r>
      <w:r>
        <w:rPr>
          <w:rFonts w:ascii="Times New Roman" w:eastAsia="黑体" w:hAnsi="Times New Roman"/>
          <w:b w:val="0"/>
          <w:sz w:val="44"/>
          <w:szCs w:val="44"/>
        </w:rPr>
        <w:t>年度部门决算情况说明</w:t>
      </w:r>
    </w:p>
    <w:p>
      <w:pPr>
        <w:widowControl/>
        <w:spacing w:before="0" w:beforeAutospacing="0" w:after="0" w:afterAutospacing="0" w:line="360" w:lineRule="auto"/>
        <w:jc w:val="left"/>
        <w:outlineLvl w:val="1"/>
        <w:rPr>
          <w:rFonts w:ascii="Times New Roman" w:eastAsia="黑体" w:hAnsi="Times New Roman"/>
          <w:b w:val="0"/>
          <w:sz w:val="32"/>
          <w:szCs w:val="32"/>
        </w:rPr>
      </w:pPr>
    </w:p>
    <w:p>
      <w:pPr>
        <w:widowControl/>
        <w:spacing w:before="0" w:beforeAutospacing="0" w:after="0" w:afterAutospacing="0" w:line="360" w:lineRule="auto"/>
        <w:ind w:firstLineChars="400" w:firstLine="1280"/>
        <w:jc w:val="left"/>
        <w:outlineLvl w:val="1"/>
        <w:rPr>
          <w:rFonts w:ascii="Times New Roman" w:eastAsia="黑体" w:hAnsi="Times New Roman"/>
          <w:sz w:val="32"/>
          <w:szCs w:val="32"/>
        </w:rPr>
      </w:pPr>
      <w:r>
        <w:rPr>
          <w:rFonts w:ascii="Times New Roman" w:eastAsia="黑体" w:hAnsi="Times New Roman"/>
          <w:b w:val="0"/>
          <w:sz w:val="32"/>
          <w:szCs w:val="32"/>
        </w:rPr>
        <w:t>一、收入支出决算总体情况说明</w:t>
      </w:r>
    </w:p>
    <w:p>
      <w:pPr>
        <w:widowControl/>
        <w:spacing w:before="0" w:beforeAutospacing="0" w:after="0" w:afterAutospacing="0" w:line="360" w:lineRule="auto"/>
        <w:ind w:leftChars="200" w:left="480" w:firstLineChars="250" w:firstLine="800"/>
        <w:jc w:val="left"/>
        <w:rPr>
          <w:rFonts w:ascii="Times New Roman" w:eastAsia="仿宋_GB2312" w:hAnsi="Times New Roman"/>
          <w:sz w:val="32"/>
          <w:szCs w:val="32"/>
        </w:rPr>
      </w:pPr>
      <w:r>
        <w:rPr>
          <w:rFonts w:ascii="Times New Roman" w:eastAsia="仿宋_GB2312" w:hAnsi="Times New Roman"/>
          <w:b w:val="0"/>
          <w:sz w:val="32"/>
          <w:szCs w:val="32"/>
        </w:rPr>
        <w:t>本部门2024年度收、支总计（含结转和结余）均为143.81万元。与2023年度决算相比，收支各减少14.42万元，下降9.1%，主要原因是本年调出1人，人员经费减少。</w:t>
      </w:r>
    </w:p>
    <w:p>
      <w:pPr>
        <w:pStyle w:val="19"/>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center"/>
        <w:rPr>
          <w:rFonts w:ascii="Times New Roman" w:eastAsia="Arial" w:cs="Times New Roman" w:hAnsi="Times New Roman"/>
          <w:highlight w:val="auto"/>
        </w:rPr>
      </w:pPr>
      <w:r>
        <w:rPr>
          <w:rFonts w:ascii="Times New Roman" w:eastAsia="宋体" w:hAnsi="Times New Roman" w:hint="eastAsia"/>
        </w:rPr>
        <w:drawing>
          <wp:inline distT="0" distB="0" distL="114300" distR="114300">
            <wp:extent cx="5256530" cy="2988310"/>
            <wp:effectExtent l="0" t="0" r="0" b="0"/>
            <wp:docPr id="7" name="图表 5"/>
            <wp:cNvGraphicFramePr>
              <a:graphicFrameLocks noChangeAspect="0"/>
            </wp:cNvGraphicFramePr>
            <a:graphic>
              <a:graphicData uri="http://schemas.openxmlformats.org/drawingml/2006/chart">
                <c:chart xmlns:c="http://schemas.openxmlformats.org/drawingml/2006/chart" r:id="rId12"/>
              </a:graphicData>
            </a:graphic>
          </wp:inline>
        </w:drawing>
      </w:r>
      <w:r>
        <w:rPr>
          <w:rFonts w:ascii="Times New Roman" w:eastAsia="Arial" w:cs="Times New Roman" w:hAnsi="Times New Roman"/>
          <w:i w:val="0"/>
          <w:iCs w:val="0"/>
          <w:caps w:val="0"/>
          <w:smallCaps w:val="0"/>
          <w:color w:val="000000"/>
          <w:spacing w:val="0"/>
          <w:sz w:val="18"/>
          <w:szCs w:val="18"/>
          <w:shd w:val="clear" w:color="auto" w:fill="FFFFFF"/>
          <w:highlight w:val="auto"/>
        </w:rPr>
        <w:t> </w:t>
      </w:r>
    </w:p>
    <w:p>
      <w:pPr>
        <w:widowControl/>
        <w:spacing w:before="0" w:beforeAutospacing="0" w:after="0" w:afterAutospacing="0" w:line="360" w:lineRule="auto"/>
        <w:ind w:firstLineChars="200" w:firstLine="640"/>
        <w:jc w:val="left"/>
        <w:outlineLvl w:val="1"/>
        <w:rPr>
          <w:rFonts w:ascii="Times New Roman" w:eastAsia="黑体" w:hAnsi="Times New Roman"/>
          <w:sz w:val="32"/>
          <w:szCs w:val="32"/>
        </w:rPr>
      </w:pPr>
      <w:r>
        <w:rPr>
          <w:rFonts w:ascii="Times New Roman" w:eastAsia="黑体" w:hAnsi="Times New Roman"/>
          <w:b w:val="0"/>
          <w:sz w:val="32"/>
          <w:szCs w:val="32"/>
        </w:rPr>
        <w:t>二、收入决算情况说明</w:t>
      </w:r>
    </w:p>
    <w:p>
      <w:pPr>
        <w:widowControl/>
        <w:spacing w:before="0" w:beforeAutospacing="0" w:after="0" w:afterAutospacing="0" w:line="360" w:lineRule="auto"/>
        <w:ind w:rightChars="100" w:right="240"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本部门2024年度本年收入合计143.77万元，其中：财政拨款收入143.61万元，占99.9%；上级补助收入</w:t>
      </w:r>
      <w:r>
        <w:rPr>
          <w:rFonts w:ascii="Times New Roman" w:eastAsia="仿宋_GB2312" w:hAnsi="Times New Roman" w:hint="eastAsia"/>
          <w:b w:val="0"/>
          <w:sz w:val="32"/>
          <w:szCs w:val="32"/>
          <w:lang w:val="en-US" w:eastAsia="zh-CN"/>
        </w:rPr>
        <w:t>0</w:t>
      </w:r>
      <w:r>
        <w:rPr>
          <w:rFonts w:ascii="Times New Roman" w:eastAsia="仿宋_GB2312" w:hAnsi="Times New Roman"/>
          <w:b w:val="0"/>
          <w:sz w:val="32"/>
          <w:szCs w:val="32"/>
        </w:rPr>
        <w:t>万元，占</w:t>
      </w:r>
      <w:r>
        <w:rPr>
          <w:rFonts w:ascii="Times New Roman" w:eastAsia="仿宋_GB2312" w:hAnsi="Times New Roman" w:hint="eastAsia"/>
          <w:b w:val="0"/>
          <w:sz w:val="32"/>
          <w:szCs w:val="32"/>
          <w:lang w:val="en-US" w:eastAsia="zh-CN"/>
        </w:rPr>
        <w:t>0</w:t>
      </w:r>
      <w:r>
        <w:rPr>
          <w:rFonts w:ascii="Times New Roman" w:eastAsia="仿宋_GB2312" w:hAnsi="Times New Roman"/>
          <w:b w:val="0"/>
          <w:sz w:val="32"/>
          <w:szCs w:val="32"/>
        </w:rPr>
        <w:t>%；事业收入</w:t>
      </w:r>
      <w:r>
        <w:rPr>
          <w:rFonts w:ascii="Times New Roman" w:eastAsia="仿宋_GB2312" w:hAnsi="Times New Roman" w:hint="eastAsia"/>
          <w:b w:val="0"/>
          <w:sz w:val="32"/>
          <w:szCs w:val="32"/>
          <w:lang w:val="en-US" w:eastAsia="zh-CN"/>
        </w:rPr>
        <w:t>0</w:t>
      </w:r>
      <w:r>
        <w:rPr>
          <w:rFonts w:ascii="Times New Roman" w:eastAsia="仿宋_GB2312" w:hAnsi="Times New Roman"/>
          <w:b w:val="0"/>
          <w:sz w:val="32"/>
          <w:szCs w:val="32"/>
        </w:rPr>
        <w:t>万元，占0%；经营收入0万元，占0%；附属单位上缴收入0万元，占0%；其他收入0.16万元，占0.1%。</w:t>
      </w:r>
    </w:p>
    <w:p>
      <w:pPr>
        <w:adjustRightInd w:val="0"/>
        <w:snapToGrid w:val="0"/>
        <w:spacing w:line="580" w:lineRule="exact"/>
        <w:jc w:val="both"/>
        <w:rPr>
          <w:rFonts w:ascii="Times New Roman" w:eastAsia="仿宋_GB2312" w:cs="Times New Roman" w:hAnsi="Times New Roman"/>
          <w:kern w:val="2"/>
          <w:sz w:val="32"/>
          <w:szCs w:val="32"/>
          <w:lang w:val="zh-CN"/>
          <w:highlight w:val="yellow"/>
        </w:rPr>
      </w:pPr>
      <w:r>
        <w:rPr>
          <w:rFonts w:ascii="Times New Roman" w:eastAsia="仿宋_GB2312" w:hAnsi="Times New Roman"/>
          <w:kern w:val="2"/>
          <w:sz w:val="32"/>
          <w:szCs w:val="32"/>
          <w:lang w:val="zh-CN"/>
          <w:highlight w:val="yellow"/>
        </w:rPr>
        <w:drawing>
          <wp:anchor distT="0" distB="0" distL="114300" distR="114300" simplePos="0" relativeHeight="33" behindDoc="0" locked="0" layoutInCell="1" hidden="0" allowOverlap="1">
            <wp:simplePos x="0" y="0"/>
            <wp:positionH relativeFrom="column">
              <wp:posOffset>-16510</wp:posOffset>
            </wp:positionH>
            <wp:positionV relativeFrom="paragraph">
              <wp:posOffset>201930</wp:posOffset>
            </wp:positionV>
            <wp:extent cx="5256530" cy="2988310"/>
            <wp:effectExtent l="0" t="0" r="0" b="0"/>
            <wp:wrapTopAndBottom/>
            <wp:docPr id="8" name="图表 9"/>
            <wp:cNvGraphicFramePr>
              <a:graphicFrameLocks noChangeAspect="0"/>
            </wp:cNvGraphicFramePr>
            <a:graphic>
              <a:graphicData uri="http://schemas.openxmlformats.org/drawingml/2006/chart">
                <c:chart xmlns:c="http://schemas.openxmlformats.org/drawingml/2006/chart" r:id="rId13"/>
              </a:graphicData>
            </a:graphic>
          </wp:anchor>
        </w:drawing>
      </w:r>
    </w:p>
    <w:p>
      <w:pPr>
        <w:widowControl/>
        <w:spacing w:before="0" w:beforeAutospacing="0" w:after="0" w:afterAutospacing="0" w:line="360" w:lineRule="auto"/>
        <w:ind w:firstLineChars="300" w:firstLine="960"/>
        <w:jc w:val="left"/>
        <w:outlineLvl w:val="1"/>
        <w:rPr>
          <w:rFonts w:ascii="Times New Roman" w:eastAsia="黑体" w:hAnsi="Times New Roman"/>
          <w:sz w:val="32"/>
          <w:szCs w:val="32"/>
        </w:rPr>
      </w:pPr>
      <w:r>
        <w:rPr>
          <w:rFonts w:ascii="Times New Roman" w:eastAsia="黑体" w:hAnsi="Times New Roman"/>
          <w:b w:val="0"/>
          <w:sz w:val="32"/>
          <w:szCs w:val="32"/>
        </w:rPr>
        <w:t>三、支出决算情况说明</w:t>
      </w:r>
    </w:p>
    <w:p>
      <w:pPr>
        <w:widowControl/>
        <w:spacing w:before="0" w:beforeAutospacing="0" w:after="0" w:afterAutospacing="0" w:line="360" w:lineRule="auto"/>
        <w:ind w:leftChars="100" w:left="240" w:firstLineChars="225" w:firstLine="720"/>
        <w:jc w:val="left"/>
        <w:rPr>
          <w:rFonts w:ascii="Times New Roman" w:eastAsia="仿宋_GB2312" w:hAnsi="Times New Roman"/>
          <w:sz w:val="32"/>
          <w:szCs w:val="32"/>
        </w:rPr>
      </w:pPr>
      <w:r>
        <w:rPr>
          <w:rFonts w:ascii="Times New Roman" w:eastAsia="仿宋_GB2312" w:hAnsi="Times New Roman"/>
          <w:b w:val="0"/>
          <w:sz w:val="32"/>
          <w:szCs w:val="32"/>
        </w:rPr>
        <w:t>本部门2024年度本年支出合计143.78万元，其中：基本支出131.35万元，占91.4%；项目支出12.43万元，占8.6%；上缴上级支出0万元，占0%；经营支出0万元，占0%；对附属单位补助支出0万元，占0%。</w:t>
      </w:r>
    </w:p>
    <w:p>
      <w:pPr>
        <w:autoSpaceDE w:val="0"/>
        <w:autoSpaceDN w:val="0"/>
        <w:adjustRightInd w:val="0"/>
        <w:jc w:val="center"/>
        <w:rPr>
          <w:rFonts w:ascii="Times New Roman" w:eastAsia="仿宋_GB2312" w:cs="Times New Roman" w:hAnsi="Times New Roman"/>
          <w:color w:val="auto"/>
          <w:kern w:val="0"/>
          <w:sz w:val="32"/>
          <w:szCs w:val="32"/>
          <w:lang w:val="en-US" w:eastAsia="zh-CN" w:bidi="ar-SA"/>
          <w:highlight w:val="auto"/>
        </w:rPr>
      </w:pPr>
      <w:r>
        <w:rPr>
          <w:rFonts w:ascii="Times New Roman" w:eastAsia="仿宋_GB2312" w:cs="Times New Roman" w:hAnsi="Times New Roman"/>
          <w:sz w:val="32"/>
          <w:szCs w:val="32"/>
          <w:highlight w:val="auto"/>
        </w:rPr>
        <w:drawing>
          <wp:inline distT="0" distB="0" distL="114300" distR="114300">
            <wp:extent cx="5256530" cy="2988310"/>
            <wp:effectExtent l="0" t="0" r="0" b="0"/>
            <wp:docPr id="9" name="图表 7"/>
            <wp:cNvGraphicFramePr>
              <a:graphicFrameLocks noChangeAspect="0"/>
            </wp:cNvGraphicFramePr>
            <a:graphic>
              <a:graphicData uri="http://schemas.openxmlformats.org/drawingml/2006/chart">
                <c:chart xmlns:c="http://schemas.openxmlformats.org/drawingml/2006/chart" r:id="rId14"/>
              </a:graphicData>
            </a:graphic>
          </wp:inline>
        </w:drawing>
      </w:r>
    </w:p>
    <w:p>
      <w:pPr>
        <w:widowControl/>
        <w:spacing w:before="0" w:beforeAutospacing="0" w:after="0" w:afterAutospacing="0" w:line="360" w:lineRule="auto"/>
        <w:ind w:firstLineChars="300" w:firstLine="960"/>
        <w:jc w:val="left"/>
        <w:outlineLvl w:val="1"/>
        <w:rPr>
          <w:rFonts w:ascii="Times New Roman" w:eastAsia="黑体" w:hAnsi="Times New Roman"/>
          <w:sz w:val="32"/>
          <w:szCs w:val="32"/>
        </w:rPr>
      </w:pPr>
      <w:r>
        <w:rPr>
          <w:rFonts w:ascii="Times New Roman" w:eastAsia="黑体" w:hAnsi="Times New Roman"/>
          <w:b w:val="0"/>
          <w:sz w:val="32"/>
          <w:szCs w:val="32"/>
        </w:rPr>
        <w:t>四、财政拨款收入支出决算总体情况说明</w:t>
      </w:r>
    </w:p>
    <w:p>
      <w:pPr>
        <w:widowControl/>
        <w:spacing w:before="0" w:beforeAutospacing="0" w:after="0" w:afterAutospacing="0" w:line="360" w:lineRule="auto"/>
        <w:ind w:firstLineChars="300" w:firstLine="960"/>
        <w:jc w:val="left"/>
        <w:rPr>
          <w:rFonts w:ascii="Times New Roman" w:eastAsia="楷体_GB2312" w:hAnsi="Times New Roman"/>
          <w:sz w:val="32"/>
          <w:szCs w:val="32"/>
        </w:rPr>
      </w:pPr>
      <w:r>
        <w:rPr>
          <w:rFonts w:ascii="Times New Roman" w:eastAsia="楷体_GB2312" w:hAnsi="Times New Roman"/>
          <w:b/>
          <w:sz w:val="32"/>
          <w:szCs w:val="32"/>
        </w:rPr>
        <w:t>（一）财政拨款收支与</w:t>
      </w:r>
      <w:r>
        <w:rPr>
          <w:rFonts w:ascii="Times New Roman" w:eastAsia="仿宋_GB2312" w:hAnsi="Times New Roman"/>
          <w:b/>
          <w:sz w:val="32"/>
          <w:szCs w:val="32"/>
        </w:rPr>
        <w:t>2023</w:t>
      </w:r>
      <w:r>
        <w:rPr>
          <w:rFonts w:ascii="Times New Roman" w:eastAsia="楷体_GB2312" w:hAnsi="Times New Roman"/>
          <w:b/>
          <w:sz w:val="32"/>
          <w:szCs w:val="32"/>
        </w:rPr>
        <w:t>年度决算对比情况</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本部门2024年度财政拨款收、支总计（含结转和结余）均为143.64万元。与2023年度相比，财政拨款收支各减少13.80万元，降低8.8%，主要原因是本年调出1人，人员经费减少。</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本部门2024年度财政拨款本年收入143.61万元,比上年减少13.83万元，降低8.8%，主要原因是本年调出1人，人员经费减少；本年支出143.62万元，比上年减少13.79万元，降低8.8%，主要原因是本年调出1人，人员经费减少。具体情况如下：</w:t>
      </w:r>
    </w:p>
    <w:p>
      <w:pPr>
        <w:widowControl/>
        <w:spacing w:before="0" w:beforeAutospacing="0" w:after="0" w:afterAutospacing="0" w:line="360" w:lineRule="auto"/>
        <w:ind w:firstLineChars="200" w:firstLine="640"/>
        <w:jc w:val="left"/>
        <w:outlineLvl w:val="1"/>
        <w:rPr>
          <w:rFonts w:ascii="Times New Roman" w:eastAsia="仿宋_GB2312" w:hAnsi="Times New Roman"/>
          <w:sz w:val="32"/>
          <w:szCs w:val="32"/>
        </w:rPr>
      </w:pPr>
      <w:r>
        <w:rPr>
          <w:rFonts w:ascii="Times New Roman" w:eastAsia="仿宋_GB2312" w:hAnsi="Times New Roman"/>
          <w:b w:val="0"/>
          <w:sz w:val="32"/>
          <w:szCs w:val="32"/>
        </w:rPr>
        <w:t>1. 一般公共预算财政拨款本年收入143.61万元,比上年减少13.83万元，降低8.8%，主要原因是本年调出1人，人员经费减少；本年支出143.62万元，比上年减少13.79万元，降低8.8%，主要原因是本年调出1人，人员经费减少。</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2. 政府性基金预算财政拨款本年收入0万元，与上年持平；本年支出</w:t>
      </w:r>
      <w:r>
        <w:rPr>
          <w:rFonts w:ascii="Times New Roman" w:eastAsia="仿宋_GB2312" w:hAnsi="Times New Roman" w:hint="eastAsia"/>
          <w:b w:val="0"/>
          <w:sz w:val="32"/>
          <w:szCs w:val="32"/>
          <w:lang w:val="en-US" w:eastAsia="zh-CN"/>
        </w:rPr>
        <w:t>0</w:t>
      </w:r>
      <w:r>
        <w:rPr>
          <w:rFonts w:ascii="Times New Roman" w:eastAsia="仿宋_GB2312" w:hAnsi="Times New Roman"/>
          <w:b w:val="0"/>
          <w:sz w:val="32"/>
          <w:szCs w:val="32"/>
        </w:rPr>
        <w:t>万元，与上年持平</w:t>
      </w:r>
      <w:r>
        <w:rPr>
          <w:rFonts w:ascii="Times New Roman" w:eastAsia="仿宋_GB2312" w:hAnsi="Times New Roman" w:hint="eastAsia"/>
          <w:b w:val="0"/>
          <w:sz w:val="32"/>
          <w:szCs w:val="32"/>
          <w:lang w:eastAsia="zh-CN"/>
        </w:rPr>
        <w:t>，主要原因是近两年均未发生政府性基金预算</w:t>
      </w:r>
      <w:r>
        <w:rPr>
          <w:rFonts w:ascii="Times New Roman" w:eastAsia="仿宋_GB2312" w:hAnsi="Times New Roman"/>
          <w:b w:val="0"/>
          <w:sz w:val="32"/>
          <w:szCs w:val="32"/>
        </w:rPr>
        <w:t>。</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3. 国有资本经营预算财政拨款本年收入</w:t>
      </w:r>
      <w:r>
        <w:rPr>
          <w:rFonts w:ascii="Times New Roman" w:eastAsia="仿宋_GB2312" w:hAnsi="Times New Roman" w:hint="eastAsia"/>
          <w:b w:val="0"/>
          <w:sz w:val="32"/>
          <w:szCs w:val="32"/>
          <w:lang w:val="en-US" w:eastAsia="zh-CN"/>
        </w:rPr>
        <w:t>0</w:t>
      </w:r>
      <w:r>
        <w:rPr>
          <w:rFonts w:ascii="Times New Roman" w:eastAsia="仿宋_GB2312" w:hAnsi="Times New Roman"/>
          <w:b w:val="0"/>
          <w:sz w:val="32"/>
          <w:szCs w:val="32"/>
        </w:rPr>
        <w:t>万元，与上年持平；本年支出0万元，与上年持平。</w:t>
      </w:r>
      <w:r>
        <w:rPr>
          <w:rFonts w:ascii="Times New Roman" w:eastAsia="仿宋_GB2312" w:hAnsi="Times New Roman" w:hint="eastAsia"/>
          <w:b w:val="0"/>
          <w:sz w:val="32"/>
          <w:szCs w:val="32"/>
          <w:lang w:eastAsia="zh-CN"/>
        </w:rPr>
        <w:t>主要原因是近两年均未发生国有资本经营预算</w:t>
      </w:r>
      <w:r>
        <w:rPr>
          <w:rFonts w:ascii="Times New Roman" w:eastAsia="仿宋_GB2312" w:hAnsi="Times New Roman"/>
          <w:b w:val="0"/>
          <w:sz w:val="32"/>
          <w:szCs w:val="32"/>
        </w:rPr>
        <w:t>。</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p>
    <w:p>
      <w:pPr>
        <w:pStyle w:val="19"/>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center"/>
        <w:rPr>
          <w:rFonts w:ascii="Times New Roman" w:eastAsia="仿宋_GB2312" w:cs="Times New Roman" w:hAnsi="Times New Roman"/>
          <w:sz w:val="32"/>
          <w:szCs w:val="32"/>
          <w:lang w:val="en-US" w:eastAsia="zh-CN"/>
          <w:highlight w:val="auto"/>
        </w:rPr>
      </w:pPr>
      <w:r>
        <w:rPr>
          <w:rFonts w:ascii="Times New Roman" w:eastAsia="仿宋_GB2312" w:hAnsi="Times New Roman"/>
          <w:sz w:val="32"/>
          <w:szCs w:val="32"/>
        </w:rPr>
        <w:drawing>
          <wp:inline distT="0" distB="0" distL="114300" distR="114300">
            <wp:extent cx="5256530" cy="2988310"/>
            <wp:effectExtent l="0" t="0" r="0" b="0"/>
            <wp:docPr id="10" name="图表 3"/>
            <wp:cNvGraphicFramePr>
              <a:graphicFrameLocks noChangeAspect="0"/>
            </wp:cNvGraphicFramePr>
            <a:graphic>
              <a:graphicData uri="http://schemas.openxmlformats.org/drawingml/2006/chart">
                <c:chart xmlns:c="http://schemas.openxmlformats.org/drawingml/2006/chart" r:id="rId15"/>
              </a:graphicData>
            </a:graphic>
          </wp:inline>
        </w:drawing>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Chars="200" w:firstLine="640"/>
        <w:jc w:val="both"/>
        <w:textAlignment w:val="auto"/>
        <w:rPr>
          <w:rFonts w:ascii="Times New Roman" w:eastAsia="楷体_GB2312" w:hAnsi="Times New Roman"/>
          <w:sz w:val="32"/>
          <w:szCs w:val="32"/>
        </w:rPr>
      </w:pPr>
      <w:r>
        <w:rPr>
          <w:rFonts w:ascii="Times New Roman" w:eastAsia="楷体_GB2312" w:hAnsi="Times New Roman"/>
          <w:b/>
          <w:sz w:val="32"/>
          <w:szCs w:val="32"/>
        </w:rPr>
        <w:t>（二）财政拨款收支与年初预算数对比情况</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Chars="100" w:left="240" w:firstLineChars="225" w:firstLine="720"/>
        <w:jc w:val="both"/>
        <w:textAlignment w:val="auto"/>
        <w:rPr>
          <w:rFonts w:ascii="Times New Roman" w:eastAsia="仿宋_GB2312" w:hAnsi="Times New Roman"/>
          <w:sz w:val="32"/>
          <w:szCs w:val="32"/>
        </w:rPr>
      </w:pPr>
      <w:r>
        <w:rPr>
          <w:rFonts w:ascii="Times New Roman" w:eastAsia="仿宋_GB2312" w:hAnsi="Times New Roman"/>
          <w:b w:val="0"/>
          <w:sz w:val="32"/>
          <w:szCs w:val="32"/>
        </w:rPr>
        <w:t>本部门2024年度财政拨款本年收入143.61万元，完成年初预算的88.5%，比年初预算减少18.59万元，决算数小于预算数主要原因是将工作队经费列入预算，由于政策变化，未支出此费用；本年支出143.62万元，完成年初预算的88.5%，比年初预算减少18.58万元，决算数小于预算数主要原因是将工作队经费列入预算，由于政策变化，未支出此费用。具体情况如下：</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Chars="100" w:left="240" w:firstLineChars="225" w:firstLine="720"/>
        <w:jc w:val="both"/>
        <w:textAlignment w:val="auto"/>
        <w:rPr>
          <w:rFonts w:ascii="Times New Roman" w:eastAsia="仿宋_GB2312" w:hAnsi="Times New Roman"/>
          <w:sz w:val="32"/>
          <w:szCs w:val="32"/>
        </w:rPr>
      </w:pPr>
      <w:r>
        <w:rPr>
          <w:rFonts w:ascii="Times New Roman" w:eastAsia="仿宋_GB2312" w:hAnsi="Times New Roman"/>
          <w:b w:val="0"/>
          <w:sz w:val="32"/>
          <w:szCs w:val="32"/>
        </w:rPr>
        <w:t>1. 一般公共预算财政拨款本年收入完成年初预算的88.5%，比年初预算减少18.59万元，主要原因是将工作队经费列入预算，由于政策变化，未支出此费用；支出完成年初预算的88.5%，比年初预算减少18.58万元，主要原因是将工作队经费列入预算，由于政策变化，未支出此费用。</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Chars="200" w:firstLine="640"/>
        <w:jc w:val="both"/>
        <w:textAlignment w:val="auto"/>
        <w:rPr>
          <w:rFonts w:ascii="Times New Roman" w:eastAsia="仿宋_GB2312" w:hAnsi="Times New Roman" w:hint="eastAsia"/>
          <w:sz w:val="32"/>
          <w:szCs w:val="32"/>
          <w:lang w:eastAsia="zh-CN"/>
        </w:rPr>
      </w:pPr>
      <w:r>
        <w:rPr>
          <w:rFonts w:ascii="Times New Roman" w:eastAsia="仿宋_GB2312" w:hAnsi="Times New Roman"/>
          <w:b w:val="0"/>
          <w:sz w:val="32"/>
          <w:szCs w:val="32"/>
        </w:rPr>
        <w:t>2. 政府性基金预算财政拨款本年收入完成年初预算的0%，与上年持平；支出完成年初预算的0%，与上年持平。</w:t>
      </w:r>
      <w:r>
        <w:rPr>
          <w:rFonts w:ascii="Times New Roman" w:eastAsia="仿宋_GB2312" w:hAnsi="Times New Roman" w:hint="eastAsia"/>
          <w:b w:val="0"/>
          <w:sz w:val="32"/>
          <w:szCs w:val="32"/>
          <w:lang w:eastAsia="zh-CN"/>
        </w:rPr>
        <w:t>主要原因是近两年均未发生政府性基金预算</w:t>
      </w:r>
      <w:r>
        <w:rPr>
          <w:rFonts w:ascii="Times New Roman" w:eastAsia="仿宋_GB2312" w:hAnsi="Times New Roman"/>
          <w:b w:val="0"/>
          <w:sz w:val="32"/>
          <w:szCs w:val="32"/>
        </w:rPr>
        <w:t>。</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Chars="200" w:firstLine="640"/>
        <w:jc w:val="both"/>
        <w:textAlignment w:val="auto"/>
        <w:rPr>
          <w:rFonts w:ascii="Times New Roman" w:eastAsia="仿宋_GB2312" w:hAnsi="Times New Roman"/>
          <w:sz w:val="32"/>
          <w:szCs w:val="32"/>
        </w:rPr>
      </w:pPr>
      <w:r>
        <w:rPr>
          <w:rFonts w:ascii="Times New Roman" w:eastAsia="仿宋_GB2312" w:hAnsi="Times New Roman"/>
          <w:b w:val="0"/>
          <w:sz w:val="32"/>
          <w:szCs w:val="32"/>
        </w:rPr>
        <w:t>3. 国有资本经营预算财政拨款本年收入完成年初预算的0%，与上年持平；支出完成年初预算的0%，与上年持平。</w:t>
      </w:r>
      <w:r>
        <w:rPr>
          <w:rFonts w:ascii="Times New Roman" w:eastAsia="仿宋_GB2312" w:hAnsi="Times New Roman" w:hint="eastAsia"/>
          <w:b w:val="0"/>
          <w:sz w:val="32"/>
          <w:szCs w:val="32"/>
          <w:lang w:eastAsia="zh-CN"/>
        </w:rPr>
        <w:t>主要原因是近两年均未发生国有资本经营预算</w:t>
      </w:r>
      <w:r>
        <w:rPr>
          <w:rFonts w:ascii="Times New Roman" w:eastAsia="仿宋_GB2312" w:hAnsi="Times New Roman"/>
          <w:b w:val="0"/>
          <w:sz w:val="32"/>
          <w:szCs w:val="32"/>
        </w:rPr>
        <w:t>。</w:t>
      </w:r>
    </w:p>
    <w:p>
      <w:pPr>
        <w:pStyle w:val="19"/>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left"/>
        <w:rPr>
          <w:rFonts w:ascii="Times New Roman" w:eastAsia="Arial" w:cs="Times New Roman" w:hAnsi="Times New Roman"/>
          <w:highlight w:val="auto"/>
        </w:rPr>
      </w:pPr>
    </w:p>
    <w:p>
      <w:pPr>
        <w:pStyle w:val="19"/>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jc w:val="center"/>
        <w:rPr>
          <w:rFonts w:ascii="Times New Roman" w:eastAsia="仿宋_GB2312" w:cs="Times New Roman" w:hAnsi="Times New Roman"/>
          <w:color w:val="auto"/>
          <w:kern w:val="0"/>
          <w:sz w:val="32"/>
          <w:szCs w:val="32"/>
          <w:lang w:val="en-US" w:eastAsia="zh-CN" w:bidi="ar-SA"/>
          <w:highlight w:val="auto"/>
        </w:rPr>
      </w:pPr>
      <w:r>
        <w:rPr>
          <w:rFonts w:ascii="Times New Roman" w:eastAsia="仿宋_GB2312" w:hAnsi="Times New Roman"/>
          <w:sz w:val="32"/>
          <w:szCs w:val="32"/>
          <w:highlight w:val="auto"/>
        </w:rPr>
        <w:drawing>
          <wp:inline distT="0" distB="0" distL="114300" distR="114300">
            <wp:extent cx="5256530" cy="2988310"/>
            <wp:effectExtent l="0" t="0" r="0" b="0"/>
            <wp:docPr id="11" name="图表 11"/>
            <wp:cNvGraphicFramePr>
              <a:graphicFrameLocks noChangeAspect="0"/>
            </wp:cNvGraphicFramePr>
            <a:graphic>
              <a:graphicData uri="http://schemas.openxmlformats.org/drawingml/2006/chart">
                <c:chart xmlns:c="http://schemas.openxmlformats.org/drawingml/2006/chart" r:id="rId16"/>
              </a:graphicData>
            </a:graphic>
          </wp:inline>
        </w:drawing>
      </w:r>
    </w:p>
    <w:p>
      <w:pPr>
        <w:widowControl/>
        <w:spacing w:before="0" w:beforeAutospacing="0" w:after="0" w:afterAutospacing="0" w:line="360" w:lineRule="auto"/>
        <w:ind w:firstLineChars="200" w:firstLine="640"/>
        <w:jc w:val="left"/>
        <w:rPr>
          <w:rFonts w:ascii="Times New Roman" w:eastAsia="楷体_GB2312" w:hAnsi="Times New Roman"/>
          <w:sz w:val="32"/>
          <w:szCs w:val="32"/>
        </w:rPr>
      </w:pPr>
      <w:r>
        <w:rPr>
          <w:rFonts w:ascii="Times New Roman" w:eastAsia="楷体_GB2312" w:hAnsi="Times New Roman"/>
          <w:b/>
          <w:sz w:val="32"/>
          <w:szCs w:val="32"/>
        </w:rPr>
        <w:t>（三）财政拨款支出决算结构情况</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2024年度财政拨款支出143.62万元，主要用于以下方面：</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一般公共预算财政拨款支出：</w:t>
      </w:r>
    </w:p>
    <w:p>
      <w:pPr>
        <w:widowControl/>
        <w:spacing w:before="0" w:beforeAutospacing="0" w:after="0" w:afterAutospacing="0" w:line="360" w:lineRule="auto"/>
        <w:ind w:firstLineChars="200" w:firstLine="640"/>
        <w:jc w:val="left"/>
        <w:rPr>
          <w:rFonts w:ascii="Times New Roman" w:eastAsia="仿宋_GB2312" w:hAnsi="Times New Roman"/>
          <w:b w:val="0"/>
          <w:sz w:val="32"/>
          <w:szCs w:val="32"/>
        </w:rPr>
      </w:pPr>
      <w:r>
        <w:rPr>
          <w:rFonts w:ascii="Times New Roman" w:eastAsia="仿宋_GB2312" w:hAnsi="Times New Roman"/>
          <w:b w:val="0"/>
          <w:sz w:val="32"/>
          <w:szCs w:val="32"/>
        </w:rPr>
        <w:t>一般公共服务（类）支出125.44万元，占87.3%，主要用于人员工资、保险、公用经费等支出；社会保障和就业 （类）支出12.89万元，占9.0%，主要用于养老保险等支出；住房保障（类）支出5.29万元，占3.7%，主要用于住房公积金等支出；</w:t>
      </w:r>
    </w:p>
    <w:p>
      <w:pPr>
        <w:widowControl/>
        <w:spacing w:before="0" w:beforeAutospacing="0" w:after="0" w:afterAutospacing="0" w:line="360" w:lineRule="auto"/>
        <w:ind w:firstLineChars="200" w:firstLine="640"/>
        <w:jc w:val="left"/>
        <w:rPr>
          <w:rFonts w:ascii="Times New Roman" w:eastAsia="仿宋_GB2312" w:hAnsi="Times New Roman" w:hint="eastAsia"/>
          <w:b w:val="0"/>
          <w:sz w:val="32"/>
          <w:szCs w:val="32"/>
          <w:lang w:eastAsia="zh-CN"/>
        </w:rPr>
      </w:pPr>
      <w:r>
        <w:rPr>
          <w:rFonts w:ascii="Times New Roman" w:eastAsia="仿宋_GB2312" w:hAnsi="Times New Roman"/>
          <w:b/>
          <w:sz w:val="32"/>
          <w:szCs w:val="32"/>
        </w:rPr>
        <w:t>政府性基金预算财政拨款支出：</w:t>
      </w:r>
      <w:r>
        <w:rPr>
          <w:rFonts w:ascii="Times New Roman" w:eastAsia="仿宋_GB2312" w:hAnsi="Times New Roman" w:hint="eastAsia"/>
          <w:b w:val="0"/>
          <w:sz w:val="32"/>
          <w:szCs w:val="32"/>
          <w:lang w:eastAsia="zh-CN"/>
        </w:rPr>
        <w:t>我单位无政府性基金预算支出。</w:t>
      </w:r>
    </w:p>
    <w:p>
      <w:pPr>
        <w:widowControl/>
        <w:spacing w:before="0" w:beforeAutospacing="0" w:after="0" w:afterAutospacing="0" w:line="360" w:lineRule="auto"/>
        <w:ind w:firstLineChars="200" w:firstLine="640"/>
        <w:jc w:val="left"/>
        <w:rPr>
          <w:rFonts w:ascii="Times New Roman" w:eastAsia="仿宋_GB2312" w:hAnsi="Times New Roman" w:hint="eastAsia"/>
          <w:b w:val="0"/>
          <w:sz w:val="32"/>
          <w:szCs w:val="32"/>
          <w:lang w:eastAsia="zh-CN"/>
        </w:rPr>
      </w:pPr>
      <w:r>
        <w:rPr>
          <w:rFonts w:ascii="Times New Roman" w:eastAsia="仿宋_GB2312" w:hAnsi="Times New Roman"/>
          <w:b/>
          <w:sz w:val="32"/>
          <w:szCs w:val="32"/>
        </w:rPr>
        <w:t>国有资本经营预算财政拨款支出：</w:t>
      </w:r>
      <w:r>
        <w:rPr>
          <w:rFonts w:ascii="Times New Roman" w:eastAsia="仿宋_GB2312" w:hAnsi="Times New Roman" w:hint="eastAsia"/>
          <w:b w:val="0"/>
          <w:sz w:val="32"/>
          <w:szCs w:val="32"/>
          <w:lang w:eastAsia="zh-CN"/>
        </w:rPr>
        <w:t>我单位无国有资本经营预算支出。</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p>
    <w:p>
      <w:pPr>
        <w:pStyle w:val="19"/>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ind w:left="0" w:right="0"/>
        <w:jc w:val="left"/>
        <w:textAlignment w:val="auto"/>
        <w:rPr>
          <w:rFonts w:ascii="Times New Roman" w:eastAsia="仿宋_GB2312" w:cs="Times New Roman" w:hAnsi="Times New Roman"/>
          <w:color w:val="auto"/>
          <w:kern w:val="2"/>
          <w:sz w:val="32"/>
          <w:szCs w:val="32"/>
          <w:lang w:val="zh-CN" w:eastAsia="zh-CN" w:bidi="ar-SA"/>
        </w:rPr>
      </w:pPr>
      <w:r>
        <w:rPr>
          <w:rFonts w:ascii="Times New Roman" w:eastAsia="仿宋_GB2312" w:hAnsi="Times New Roman"/>
          <w:kern w:val="2"/>
          <w:sz w:val="32"/>
          <w:szCs w:val="32"/>
          <w:lang w:val="zh-CN"/>
        </w:rPr>
        <w:drawing>
          <wp:inline distT="0" distB="0" distL="114300" distR="114300">
            <wp:extent cx="5859145" cy="2988310"/>
            <wp:effectExtent l="0" t="0" r="0" b="0"/>
            <wp:docPr id="12" name="图表 13"/>
            <wp:cNvGraphicFramePr>
              <a:graphicFrameLocks noChangeAspect="0"/>
            </wp:cNvGraphicFramePr>
            <a:graphic>
              <a:graphicData uri="http://schemas.openxmlformats.org/drawingml/2006/chart">
                <c:chart xmlns:c="http://schemas.openxmlformats.org/drawingml/2006/chart" r:id="rId17"/>
              </a:graphicData>
            </a:graphic>
          </wp:inline>
        </w:drawing>
      </w:r>
    </w:p>
    <w:p>
      <w:pPr>
        <w:widowControl/>
        <w:spacing w:before="0" w:beforeAutospacing="0" w:after="0" w:afterAutospacing="0" w:line="360" w:lineRule="auto"/>
        <w:ind w:firstLineChars="200" w:firstLine="640"/>
        <w:jc w:val="left"/>
        <w:rPr>
          <w:rFonts w:ascii="Times New Roman" w:eastAsia="楷体_GB2312" w:hAnsi="Times New Roman"/>
          <w:sz w:val="32"/>
          <w:szCs w:val="32"/>
        </w:rPr>
      </w:pPr>
      <w:r>
        <w:rPr>
          <w:rFonts w:ascii="Times New Roman" w:eastAsia="楷体_GB2312" w:hAnsi="Times New Roman"/>
          <w:b/>
          <w:sz w:val="32"/>
          <w:szCs w:val="32"/>
        </w:rPr>
        <w:t>（四）一般公共预算基本支出决算情况说明</w:t>
      </w:r>
    </w:p>
    <w:p>
      <w:pPr>
        <w:widowControl/>
        <w:spacing w:before="0" w:beforeAutospacing="0" w:after="0" w:afterAutospacing="0" w:line="360" w:lineRule="auto"/>
        <w:ind w:firstLineChars="300" w:firstLine="960"/>
        <w:jc w:val="left"/>
        <w:rPr>
          <w:rFonts w:ascii="Times New Roman" w:eastAsia="仿宋_GB2312" w:hAnsi="Times New Roman"/>
          <w:sz w:val="32"/>
          <w:szCs w:val="32"/>
        </w:rPr>
      </w:pPr>
      <w:r>
        <w:rPr>
          <w:rFonts w:ascii="Times New Roman" w:eastAsia="仿宋_GB2312" w:hAnsi="Times New Roman"/>
          <w:b w:val="0"/>
          <w:sz w:val="32"/>
          <w:szCs w:val="32"/>
        </w:rPr>
        <w:t>2024年度财政拨款基本支出131.19万元，其中：</w:t>
      </w:r>
    </w:p>
    <w:p>
      <w:pPr>
        <w:widowControl/>
        <w:spacing w:before="0" w:beforeAutospacing="0" w:after="0" w:afterAutospacing="0" w:line="360" w:lineRule="auto"/>
        <w:ind w:leftChars="100" w:left="240" w:firstLineChars="225" w:firstLine="720"/>
        <w:jc w:val="left"/>
        <w:rPr>
          <w:rFonts w:ascii="Times New Roman" w:eastAsia="仿宋_GB2312" w:hAnsi="Times New Roman"/>
          <w:sz w:val="32"/>
          <w:szCs w:val="32"/>
        </w:rPr>
      </w:pPr>
      <w:r>
        <w:rPr>
          <w:rFonts w:ascii="Times New Roman" w:eastAsia="仿宋_GB2312" w:hAnsi="Times New Roman"/>
          <w:b w:val="0"/>
          <w:sz w:val="32"/>
          <w:szCs w:val="32"/>
        </w:rPr>
        <w:t>人员经费117.88万元，主要包括基本工资、津贴补贴、奖金、绩效工资、机关事业部门基本养老保险缴费、职工基本医疗保险缴费、住房公积金、其他社会保障缴费、 退休费、其他对个人和家庭的补助支出。</w:t>
      </w:r>
    </w:p>
    <w:p>
      <w:pPr>
        <w:widowControl/>
        <w:spacing w:before="0" w:beforeAutospacing="0" w:after="0" w:afterAutospacing="0" w:line="360" w:lineRule="auto"/>
        <w:ind w:leftChars="100" w:left="240"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公用经费13.31万元，主要包括办公费、印刷费、电费、邮电费、取 暖费、差旅费、会议费、劳务费、公务用车运行维护费、其他交通费用、税金及附加费用、其他商品和服务支出、办公设备购置。</w:t>
      </w:r>
    </w:p>
    <w:p>
      <w:pPr>
        <w:widowControl/>
        <w:spacing w:before="0" w:beforeAutospacing="0" w:after="0" w:afterAutospacing="0" w:line="360" w:lineRule="auto"/>
        <w:ind w:firstLineChars="300" w:firstLine="960"/>
        <w:jc w:val="left"/>
        <w:outlineLvl w:val="1"/>
        <w:rPr>
          <w:rFonts w:ascii="Times New Roman" w:eastAsia="黑体" w:hAnsi="Times New Roman"/>
          <w:sz w:val="32"/>
          <w:szCs w:val="32"/>
        </w:rPr>
      </w:pPr>
      <w:r>
        <w:rPr>
          <w:rFonts w:ascii="Times New Roman" w:eastAsia="黑体" w:hAnsi="Times New Roman"/>
          <w:b w:val="0"/>
          <w:sz w:val="32"/>
          <w:szCs w:val="32"/>
        </w:rPr>
        <w:t>五、财政拨款“三公” 经费支出决算情况说明</w:t>
      </w:r>
    </w:p>
    <w:p>
      <w:pPr>
        <w:widowControl/>
        <w:spacing w:before="0" w:beforeAutospacing="0" w:after="0" w:afterAutospacing="0" w:line="360" w:lineRule="auto"/>
        <w:ind w:firstLineChars="300" w:firstLine="960"/>
        <w:jc w:val="left"/>
        <w:rPr>
          <w:rFonts w:ascii="Times New Roman" w:eastAsia="楷体_GB2312" w:hAnsi="Times New Roman"/>
          <w:sz w:val="32"/>
          <w:szCs w:val="32"/>
        </w:rPr>
      </w:pPr>
      <w:r>
        <w:rPr>
          <w:rFonts w:ascii="Times New Roman" w:eastAsia="楷体_GB2312" w:hAnsi="Times New Roman"/>
          <w:b/>
          <w:sz w:val="32"/>
          <w:szCs w:val="32"/>
        </w:rPr>
        <w:t>（一）“三公”经费财政拨款支出决算总体情况说明</w:t>
      </w:r>
    </w:p>
    <w:p>
      <w:pPr>
        <w:widowControl/>
        <w:spacing w:before="0" w:beforeAutospacing="0" w:after="0" w:afterAutospacing="0" w:line="360" w:lineRule="auto"/>
        <w:ind w:leftChars="100" w:left="240" w:firstLineChars="225" w:firstLine="720"/>
        <w:jc w:val="left"/>
        <w:rPr>
          <w:rFonts w:ascii="Times New Roman" w:eastAsia="仿宋_GB2312" w:hAnsi="Times New Roman"/>
          <w:sz w:val="32"/>
          <w:szCs w:val="32"/>
        </w:rPr>
      </w:pPr>
      <w:r>
        <w:rPr>
          <w:rFonts w:ascii="Times New Roman" w:eastAsia="仿宋_GB2312" w:hAnsi="Times New Roman"/>
          <w:b w:val="0"/>
          <w:sz w:val="32"/>
          <w:szCs w:val="32"/>
        </w:rPr>
        <w:t>本部门2024年度“三公”经费财政拨款支出预算为5万元，支出决算为3万元，完成预算的60%，较预算减少2万元，降低40%，主要原因是响应国家号召，压缩三公支出；较2023年度决算减少0.15万元，降低4.8%，主要原因是响应国家号召，压缩三公支出。</w:t>
      </w:r>
    </w:p>
    <w:p>
      <w:pPr>
        <w:widowControl/>
        <w:spacing w:before="0" w:beforeAutospacing="0" w:after="0" w:afterAutospacing="0" w:line="360" w:lineRule="auto"/>
        <w:ind w:firstLineChars="300" w:firstLine="960"/>
        <w:jc w:val="left"/>
        <w:rPr>
          <w:rFonts w:ascii="Times New Roman" w:eastAsia="楷体_GB2312" w:hAnsi="Times New Roman"/>
          <w:sz w:val="32"/>
          <w:szCs w:val="32"/>
        </w:rPr>
      </w:pPr>
      <w:r>
        <w:rPr>
          <w:rFonts w:ascii="Times New Roman" w:eastAsia="楷体_GB2312" w:hAnsi="Times New Roman"/>
          <w:b/>
          <w:sz w:val="32"/>
          <w:szCs w:val="32"/>
        </w:rPr>
        <w:t>（二）“三公”经费财政拨款支出决算具体情况说明</w:t>
      </w:r>
    </w:p>
    <w:p>
      <w:pPr>
        <w:widowControl/>
        <w:spacing w:before="0" w:beforeAutospacing="0" w:after="0" w:afterAutospacing="0" w:line="360" w:lineRule="auto"/>
        <w:ind w:leftChars="100" w:left="240" w:firstLineChars="300" w:firstLine="960"/>
        <w:jc w:val="left"/>
        <w:rPr>
          <w:rFonts w:ascii="Times New Roman" w:eastAsia="仿宋_GB2312" w:hAnsi="Times New Roman"/>
          <w:sz w:val="32"/>
          <w:szCs w:val="32"/>
        </w:rPr>
      </w:pPr>
      <w:r>
        <w:rPr>
          <w:rFonts w:ascii="Times New Roman" w:eastAsia="楷体_GB2312" w:hAnsi="Times New Roman"/>
          <w:b/>
          <w:sz w:val="32"/>
          <w:szCs w:val="32"/>
        </w:rPr>
        <w:t>1.因公出国（境）费支出情况。</w:t>
      </w:r>
      <w:r>
        <w:rPr>
          <w:rFonts w:ascii="Times New Roman" w:eastAsia="仿宋_GB2312" w:hAnsi="Times New Roman"/>
          <w:b w:val="0"/>
          <w:sz w:val="32"/>
          <w:szCs w:val="32"/>
        </w:rPr>
        <w:t>本部门2024年度因公出国（境）费支出预算为0万元,支出决算0万元。完成预算的0%。因公出国（境）费支出较预算增加0万元，</w:t>
      </w:r>
      <w:r>
        <w:rPr>
          <w:rFonts w:ascii="Times New Roman" w:eastAsia="仿宋_GB2312" w:hAnsi="Times New Roman" w:hint="eastAsia"/>
          <w:b w:val="0"/>
          <w:sz w:val="32"/>
          <w:szCs w:val="32"/>
          <w:lang w:eastAsia="zh-CN"/>
        </w:rPr>
        <w:t>与上年持平</w:t>
      </w:r>
      <w:r>
        <w:rPr>
          <w:rFonts w:ascii="Times New Roman" w:eastAsia="仿宋_GB2312" w:hAnsi="Times New Roman"/>
          <w:b w:val="0"/>
          <w:sz w:val="32"/>
          <w:szCs w:val="32"/>
        </w:rPr>
        <w:t>；较上年增加0万元，</w:t>
      </w:r>
      <w:r>
        <w:rPr>
          <w:rFonts w:ascii="Times New Roman" w:eastAsia="仿宋_GB2312" w:hAnsi="Times New Roman" w:hint="eastAsia"/>
          <w:b w:val="0"/>
          <w:sz w:val="32"/>
          <w:szCs w:val="32"/>
          <w:lang w:eastAsia="zh-CN"/>
        </w:rPr>
        <w:t>与上年持平</w:t>
      </w:r>
      <w:r>
        <w:rPr>
          <w:rFonts w:ascii="Times New Roman" w:eastAsia="仿宋_GB2312" w:hAnsi="Times New Roman"/>
          <w:b w:val="0"/>
          <w:sz w:val="32"/>
          <w:szCs w:val="32"/>
        </w:rPr>
        <w:t>。因公出国（境）团组0个、共0人、参加其他单位组织的因公出国（境）团组0个、共0人</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无本部门组织的出国（境）团组。</w:t>
      </w:r>
    </w:p>
    <w:p>
      <w:pPr>
        <w:widowControl/>
        <w:spacing w:before="0" w:beforeAutospacing="0" w:after="0" w:afterAutospacing="0" w:line="360" w:lineRule="auto"/>
        <w:ind w:leftChars="100" w:left="240" w:firstLineChars="226" w:firstLine="723"/>
        <w:jc w:val="left"/>
        <w:rPr>
          <w:rFonts w:ascii="Times New Roman" w:eastAsia="仿宋_GB2312" w:hAnsi="Times New Roman"/>
          <w:sz w:val="32"/>
          <w:szCs w:val="32"/>
        </w:rPr>
      </w:pPr>
      <w:r>
        <w:rPr>
          <w:rFonts w:ascii="Times New Roman" w:eastAsia="楷体_GB2312" w:hAnsi="Times New Roman"/>
          <w:b/>
          <w:sz w:val="32"/>
          <w:szCs w:val="32"/>
        </w:rPr>
        <w:t>2.公务用车购置及运行维护费支出情况。</w:t>
      </w:r>
      <w:r>
        <w:rPr>
          <w:rFonts w:ascii="Times New Roman" w:eastAsia="仿宋_GB2312" w:hAnsi="Times New Roman"/>
          <w:b w:val="0"/>
          <w:sz w:val="32"/>
          <w:szCs w:val="32"/>
        </w:rPr>
        <w:t>本部门2024年度公务用车购置及运行维护费预算为3万元，支出决算3万元，完成预算的100%</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与预算持平；较上年减少0.15万元，降低4.8%,主要原因是响应国家号召，压缩三公支出。其中：</w:t>
      </w:r>
    </w:p>
    <w:p>
      <w:pPr>
        <w:widowControl/>
        <w:spacing w:before="0" w:beforeAutospacing="0" w:after="0" w:afterAutospacing="0" w:line="360" w:lineRule="auto"/>
        <w:ind w:leftChars="100" w:left="240" w:firstLineChars="225" w:firstLine="720"/>
        <w:jc w:val="left"/>
        <w:rPr>
          <w:rFonts w:ascii="Times New Roman" w:eastAsia="仿宋_GB2312" w:hAnsi="Times New Roman"/>
          <w:sz w:val="32"/>
          <w:szCs w:val="32"/>
        </w:rPr>
      </w:pPr>
      <w:r>
        <w:rPr>
          <w:rFonts w:ascii="Times New Roman" w:eastAsia="仿宋_GB2312" w:hAnsi="Times New Roman"/>
          <w:b/>
          <w:sz w:val="32"/>
          <w:szCs w:val="32"/>
        </w:rPr>
        <w:t>公务用车购置费支出0万元：</w:t>
      </w:r>
      <w:r>
        <w:rPr>
          <w:rFonts w:ascii="Times New Roman" w:eastAsia="仿宋_GB2312" w:hAnsi="Times New Roman"/>
          <w:b w:val="0"/>
          <w:sz w:val="32"/>
          <w:szCs w:val="32"/>
        </w:rPr>
        <w:t>本部门2024年度公务用车购置量0辆，发生“公务用车购置”经费支出0万元。公务用车购置费支出较预算增加0万元，</w:t>
      </w:r>
      <w:r>
        <w:rPr>
          <w:rFonts w:ascii="Times New Roman" w:eastAsia="仿宋_GB2312" w:hAnsi="Times New Roman" w:hint="eastAsia"/>
          <w:b w:val="0"/>
          <w:sz w:val="32"/>
          <w:szCs w:val="32"/>
          <w:lang w:eastAsia="zh-CN"/>
        </w:rPr>
        <w:t>与上年持平</w:t>
      </w:r>
      <w:r>
        <w:rPr>
          <w:rFonts w:ascii="Times New Roman" w:eastAsia="仿宋_GB2312" w:hAnsi="Times New Roman"/>
          <w:b w:val="0"/>
          <w:sz w:val="32"/>
          <w:szCs w:val="32"/>
        </w:rPr>
        <w:t>；较上年增加0万元，</w:t>
      </w:r>
      <w:r>
        <w:rPr>
          <w:rFonts w:ascii="Times New Roman" w:eastAsia="仿宋_GB2312" w:hAnsi="Times New Roman" w:hint="eastAsia"/>
          <w:b w:val="0"/>
          <w:sz w:val="32"/>
          <w:szCs w:val="32"/>
          <w:lang w:eastAsia="zh-CN"/>
        </w:rPr>
        <w:t>与上年持平</w:t>
      </w:r>
      <w:r>
        <w:rPr>
          <w:rFonts w:ascii="Times New Roman" w:eastAsia="仿宋_GB2312" w:hAnsi="Times New Roman"/>
          <w:b w:val="0"/>
          <w:sz w:val="32"/>
          <w:szCs w:val="32"/>
        </w:rPr>
        <w:t>。</w:t>
      </w:r>
    </w:p>
    <w:p>
      <w:pPr>
        <w:widowControl/>
        <w:spacing w:before="0" w:beforeAutospacing="0" w:after="0" w:afterAutospacing="0" w:line="360" w:lineRule="auto"/>
        <w:ind w:leftChars="100" w:left="240" w:firstLineChars="200" w:firstLine="640"/>
        <w:jc w:val="left"/>
        <w:rPr>
          <w:rFonts w:ascii="Times New Roman" w:eastAsia="仿宋_GB2312" w:hAnsi="Times New Roman"/>
          <w:sz w:val="32"/>
          <w:szCs w:val="32"/>
        </w:rPr>
      </w:pPr>
      <w:r>
        <w:rPr>
          <w:rFonts w:ascii="Times New Roman" w:eastAsia="仿宋_GB2312" w:hAnsi="Times New Roman"/>
          <w:b/>
          <w:sz w:val="32"/>
          <w:szCs w:val="32"/>
        </w:rPr>
        <w:t>公务用车运行维护费支出3万元：</w:t>
      </w:r>
      <w:r>
        <w:rPr>
          <w:rFonts w:ascii="Times New Roman" w:eastAsia="仿宋_GB2312" w:hAnsi="Times New Roman"/>
          <w:b w:val="0"/>
          <w:sz w:val="32"/>
          <w:szCs w:val="32"/>
        </w:rPr>
        <w:t>本部门2024年度单位公务用车保有量1辆，发生运行维护费支出3万元。公车运行维护费支出</w:t>
      </w:r>
      <w:r>
        <w:rPr>
          <w:rFonts w:ascii="Times New Roman" w:eastAsia="仿宋_GB2312" w:hAnsi="Times New Roman" w:hint="eastAsia"/>
          <w:b w:val="0"/>
          <w:sz w:val="32"/>
          <w:szCs w:val="32"/>
          <w:lang w:eastAsia="zh-CN"/>
        </w:rPr>
        <w:t>与预算持平</w:t>
      </w:r>
      <w:r>
        <w:rPr>
          <w:rFonts w:ascii="Times New Roman" w:eastAsia="仿宋_GB2312" w:hAnsi="Times New Roman"/>
          <w:b w:val="0"/>
          <w:sz w:val="32"/>
          <w:szCs w:val="32"/>
        </w:rPr>
        <w:t>；较上年减少0.15万元，降低4.8%，主要原因是响应国家号召，压缩三公支出。</w:t>
      </w:r>
    </w:p>
    <w:p>
      <w:pPr>
        <w:widowControl/>
        <w:spacing w:before="0" w:beforeAutospacing="0" w:after="0" w:afterAutospacing="0" w:line="360" w:lineRule="auto"/>
        <w:ind w:leftChars="100" w:left="240" w:firstLineChars="301" w:firstLine="963"/>
        <w:jc w:val="left"/>
        <w:rPr>
          <w:rFonts w:ascii="Times New Roman" w:eastAsia="仿宋_GB2312" w:hAnsi="Times New Roman"/>
          <w:sz w:val="32"/>
          <w:szCs w:val="32"/>
        </w:rPr>
      </w:pPr>
      <w:r>
        <w:rPr>
          <w:rFonts w:ascii="Times New Roman" w:eastAsia="楷体_GB2312" w:hAnsi="Times New Roman"/>
          <w:b/>
          <w:sz w:val="32"/>
          <w:szCs w:val="32"/>
        </w:rPr>
        <w:t>3.公务接待费支出情况。</w:t>
      </w:r>
      <w:r>
        <w:rPr>
          <w:rFonts w:ascii="Times New Roman" w:eastAsia="仿宋_GB2312" w:hAnsi="Times New Roman"/>
          <w:b w:val="0"/>
          <w:sz w:val="32"/>
          <w:szCs w:val="32"/>
        </w:rPr>
        <w:t>本部门2024年度公务接待费支出预算为2万元，支出决算0万元，完成预算的0%。公务接待费支出较预算减少2万元，降低100%</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主要原因是</w:t>
      </w:r>
      <w:r>
        <w:rPr>
          <w:rFonts w:ascii="Times New Roman" w:eastAsia="仿宋_GB2312" w:hAnsi="Times New Roman" w:hint="eastAsia"/>
          <w:b w:val="0"/>
          <w:sz w:val="32"/>
          <w:szCs w:val="32"/>
          <w:lang w:val="en-US" w:eastAsia="zh-CN"/>
        </w:rPr>
        <w:t>本年度未发生公务接待事项</w:t>
      </w:r>
      <w:r>
        <w:rPr>
          <w:rFonts w:ascii="Times New Roman" w:eastAsia="仿宋_GB2312" w:hAnsi="Times New Roman"/>
          <w:b w:val="0"/>
          <w:sz w:val="32"/>
          <w:szCs w:val="32"/>
        </w:rPr>
        <w:t>；较上年度增加0万元，增长0%</w:t>
      </w:r>
      <w:r>
        <w:rPr>
          <w:rFonts w:ascii="Times New Roman" w:eastAsia="仿宋_GB2312" w:hAnsi="Times New Roman" w:hint="eastAsia"/>
          <w:b w:val="0"/>
          <w:sz w:val="32"/>
          <w:szCs w:val="32"/>
          <w:lang w:eastAsia="zh-CN"/>
        </w:rPr>
        <w:t>，与上年持平</w:t>
      </w:r>
      <w:r>
        <w:rPr>
          <w:rFonts w:ascii="Times New Roman" w:eastAsia="仿宋_GB2312" w:hAnsi="Times New Roman"/>
          <w:b w:val="0"/>
          <w:sz w:val="32"/>
          <w:szCs w:val="32"/>
        </w:rPr>
        <w:t>。本年度共发生公务接待0批次、0人次。</w:t>
      </w:r>
    </w:p>
    <w:p>
      <w:pPr>
        <w:widowControl/>
        <w:spacing w:before="0" w:beforeAutospacing="0" w:after="0" w:afterAutospacing="0" w:line="360" w:lineRule="auto"/>
        <w:ind w:firstLineChars="300" w:firstLine="960"/>
        <w:jc w:val="left"/>
        <w:outlineLvl w:val="1"/>
        <w:rPr>
          <w:rFonts w:ascii="Times New Roman" w:eastAsia="黑体" w:hAnsi="Times New Roman"/>
          <w:sz w:val="32"/>
          <w:szCs w:val="32"/>
        </w:rPr>
      </w:pPr>
      <w:r>
        <w:rPr>
          <w:rFonts w:ascii="Times New Roman" w:eastAsia="黑体" w:hAnsi="Times New Roman"/>
          <w:b w:val="0"/>
          <w:sz w:val="32"/>
          <w:szCs w:val="32"/>
        </w:rPr>
        <w:t>六、机关运行经费支出说明</w:t>
      </w:r>
    </w:p>
    <w:p>
      <w:pPr>
        <w:widowControl/>
        <w:spacing w:before="0" w:beforeAutospacing="0" w:after="0" w:afterAutospacing="0" w:line="360" w:lineRule="auto"/>
        <w:ind w:leftChars="100" w:left="240" w:firstLineChars="225" w:firstLine="720"/>
        <w:jc w:val="left"/>
        <w:rPr>
          <w:rFonts w:ascii="Times New Roman" w:eastAsia="仿宋_GB2312" w:hAnsi="Times New Roman"/>
          <w:sz w:val="32"/>
          <w:szCs w:val="32"/>
        </w:rPr>
      </w:pPr>
      <w:r>
        <w:rPr>
          <w:rFonts w:ascii="Times New Roman" w:eastAsia="仿宋_GB2312" w:hAnsi="Times New Roman"/>
          <w:b w:val="0"/>
          <w:sz w:val="32"/>
          <w:szCs w:val="32"/>
        </w:rPr>
        <w:t>本部门2024年度机关运行经费支出13.31万元，较2023年度减少25.91万元，降低66.1%。主要原因是</w:t>
      </w:r>
      <w:r>
        <w:rPr>
          <w:rFonts w:ascii="Times New Roman" w:eastAsia="仿宋_GB2312" w:hAnsi="Times New Roman" w:hint="eastAsia"/>
          <w:b w:val="0"/>
          <w:sz w:val="32"/>
          <w:szCs w:val="32"/>
          <w:lang w:eastAsia="zh-CN"/>
        </w:rPr>
        <w:t>上年将项目资金列入机关运行经费，本年没有</w:t>
      </w:r>
      <w:r>
        <w:rPr>
          <w:rFonts w:ascii="Times New Roman" w:eastAsia="仿宋_GB2312" w:hAnsi="Times New Roman"/>
          <w:b w:val="0"/>
          <w:sz w:val="32"/>
          <w:szCs w:val="32"/>
        </w:rPr>
        <w:t>。</w:t>
      </w:r>
    </w:p>
    <w:p>
      <w:pPr>
        <w:widowControl/>
        <w:spacing w:before="0" w:beforeAutospacing="0" w:after="0" w:afterAutospacing="0" w:line="360" w:lineRule="auto"/>
        <w:ind w:firstLineChars="300" w:firstLine="960"/>
        <w:jc w:val="left"/>
        <w:outlineLvl w:val="1"/>
        <w:rPr>
          <w:rFonts w:ascii="Times New Roman" w:eastAsia="黑体" w:hAnsi="Times New Roman"/>
          <w:sz w:val="32"/>
          <w:szCs w:val="32"/>
        </w:rPr>
      </w:pPr>
      <w:r>
        <w:rPr>
          <w:rFonts w:ascii="Times New Roman" w:eastAsia="黑体" w:hAnsi="Times New Roman"/>
          <w:b w:val="0"/>
          <w:sz w:val="32"/>
          <w:szCs w:val="32"/>
        </w:rPr>
        <w:t>七、政府采购支出说明</w:t>
      </w:r>
    </w:p>
    <w:p>
      <w:pPr>
        <w:widowControl/>
        <w:spacing w:before="0" w:beforeAutospacing="0" w:after="0" w:afterAutospacing="0" w:line="360" w:lineRule="auto"/>
        <w:ind w:leftChars="100" w:left="240" w:firstLineChars="225" w:firstLine="720"/>
        <w:jc w:val="left"/>
        <w:rPr>
          <w:rFonts w:ascii="Times New Roman" w:eastAsia="仿宋_GB2312" w:hAnsi="Times New Roman"/>
          <w:sz w:val="32"/>
          <w:szCs w:val="32"/>
        </w:rPr>
      </w:pPr>
      <w:r>
        <w:rPr>
          <w:rFonts w:ascii="Times New Roman" w:eastAsia="仿宋_GB2312" w:hAnsi="Times New Roman"/>
          <w:b w:val="0"/>
          <w:sz w:val="32"/>
          <w:szCs w:val="32"/>
        </w:rPr>
        <w:t>本部门2024年度政府采购支出总额0万元，从采购类型来看，政府采购货物支出0万元、政府采购工程支出0万元、政府采购服务支出0万元。授予中小企业合同金额0万元，占政府采购支出总额的0%，其中授予小微企业合同金额0万元，占政府采购支出总额的0%。</w:t>
      </w:r>
    </w:p>
    <w:p>
      <w:pPr>
        <w:widowControl/>
        <w:spacing w:before="0" w:beforeAutospacing="0" w:after="0" w:afterAutospacing="0" w:line="360" w:lineRule="auto"/>
        <w:ind w:firstLineChars="300" w:firstLine="960"/>
        <w:jc w:val="left"/>
        <w:outlineLvl w:val="1"/>
        <w:rPr>
          <w:rFonts w:ascii="Times New Roman" w:eastAsia="黑体" w:hAnsi="Times New Roman"/>
          <w:sz w:val="32"/>
          <w:szCs w:val="32"/>
        </w:rPr>
      </w:pPr>
      <w:r>
        <w:rPr>
          <w:rFonts w:ascii="Times New Roman" w:eastAsia="黑体" w:hAnsi="Times New Roman"/>
          <w:b w:val="0"/>
          <w:sz w:val="32"/>
          <w:szCs w:val="32"/>
        </w:rPr>
        <w:t>八、国有资产占用情况说明</w:t>
      </w:r>
    </w:p>
    <w:p>
      <w:pPr>
        <w:widowControl/>
        <w:spacing w:before="0" w:beforeAutospacing="0" w:after="0" w:afterAutospacing="0" w:line="360" w:lineRule="auto"/>
        <w:ind w:leftChars="100" w:left="240"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截至2024年12月31日，本部门共有车辆1辆，</w:t>
      </w:r>
      <w:r>
        <w:rPr>
          <w:rFonts w:ascii="Times New Roman" w:eastAsia="仿宋_GB2312" w:hAnsi="Times New Roman" w:hint="eastAsia"/>
          <w:b w:val="0"/>
          <w:sz w:val="32"/>
          <w:szCs w:val="32"/>
          <w:lang w:eastAsia="zh-CN"/>
        </w:rPr>
        <w:t>与上年持平</w:t>
      </w:r>
      <w:r>
        <w:rPr>
          <w:rFonts w:ascii="Times New Roman" w:eastAsia="仿宋_GB2312" w:hAnsi="Times New Roman"/>
          <w:b w:val="0"/>
          <w:sz w:val="32"/>
          <w:szCs w:val="32"/>
        </w:rPr>
        <w:t>。其中，副部（省）级及以上领导用车0辆，主要负责人用车0辆，机要通信用车0辆，应急保障用车0辆，执法执勤用车0辆，特种专业技术用车0辆，离退休干部用车0辆，其他用车1辆，其他用车主要是</w:t>
      </w:r>
      <w:r>
        <w:rPr>
          <w:rFonts w:ascii="Times New Roman" w:eastAsia="仿宋_GB2312" w:hAnsi="Times New Roman" w:hint="eastAsia"/>
          <w:b w:val="0"/>
          <w:sz w:val="32"/>
          <w:szCs w:val="32"/>
          <w:lang w:eastAsia="zh-CN"/>
        </w:rPr>
        <w:t>平时下乡用车。</w:t>
      </w:r>
      <w:r>
        <w:rPr>
          <w:rFonts w:ascii="Times New Roman" w:eastAsia="仿宋_GB2312" w:hAnsi="Times New Roman"/>
          <w:b w:val="0"/>
          <w:sz w:val="32"/>
          <w:szCs w:val="32"/>
        </w:rPr>
        <w:t>单位价值100万元（含）以上设备（不含车辆）0台（套）</w:t>
      </w:r>
      <w:r>
        <w:rPr>
          <w:rFonts w:ascii="Times New Roman" w:eastAsia="仿宋_GB2312" w:hAnsi="Times New Roman" w:hint="eastAsia"/>
          <w:b w:val="0"/>
          <w:sz w:val="32"/>
          <w:szCs w:val="32"/>
          <w:lang w:eastAsia="zh-CN"/>
        </w:rPr>
        <w:t>，</w:t>
      </w:r>
      <w:r>
        <w:rPr>
          <w:rFonts w:ascii="Times New Roman" w:eastAsia="仿宋_GB2312" w:hAnsi="Times New Roman" w:hint="eastAsia"/>
          <w:b w:val="0"/>
          <w:sz w:val="32"/>
          <w:szCs w:val="32"/>
          <w:lang w:val="en-US" w:eastAsia="zh-CN"/>
        </w:rPr>
        <w:t>与上年持平</w:t>
      </w:r>
      <w:r>
        <w:rPr>
          <w:rFonts w:ascii="Times New Roman" w:eastAsia="仿宋_GB2312" w:hAnsi="Times New Roman"/>
          <w:b w:val="0"/>
          <w:sz w:val="32"/>
          <w:szCs w:val="32"/>
        </w:rPr>
        <w:t>。</w:t>
      </w:r>
    </w:p>
    <w:p>
      <w:pPr>
        <w:widowControl/>
        <w:spacing w:before="0" w:beforeAutospacing="0" w:after="0" w:afterAutospacing="0" w:line="360" w:lineRule="auto"/>
        <w:ind w:firstLineChars="300" w:firstLine="960"/>
        <w:jc w:val="left"/>
        <w:outlineLvl w:val="1"/>
        <w:rPr>
          <w:rFonts w:ascii="Times New Roman" w:eastAsia="黑体" w:hAnsi="Times New Roman"/>
          <w:sz w:val="32"/>
          <w:szCs w:val="32"/>
        </w:rPr>
      </w:pPr>
      <w:r>
        <w:rPr>
          <w:rFonts w:ascii="Times New Roman" w:eastAsia="黑体" w:hAnsi="Times New Roman"/>
          <w:b w:val="0"/>
          <w:sz w:val="32"/>
          <w:szCs w:val="32"/>
        </w:rPr>
        <w:t>九、关于2024年度绩效评价情况的说明</w:t>
      </w:r>
    </w:p>
    <w:p>
      <w:pPr>
        <w:widowControl/>
        <w:spacing w:before="0" w:beforeAutospacing="0" w:after="0" w:afterAutospacing="0" w:line="360" w:lineRule="auto"/>
        <w:ind w:firstLineChars="300" w:firstLine="960"/>
        <w:jc w:val="left"/>
        <w:rPr>
          <w:rFonts w:ascii="Times New Roman" w:eastAsia="仿宋_GB2312" w:hAnsi="Times New Roman"/>
          <w:sz w:val="32"/>
          <w:szCs w:val="32"/>
        </w:rPr>
      </w:pPr>
      <w:r>
        <w:rPr>
          <w:rFonts w:ascii="Times New Roman" w:eastAsia="仿宋_GB2312" w:hAnsi="Times New Roman"/>
          <w:b/>
          <w:sz w:val="32"/>
          <w:szCs w:val="32"/>
        </w:rPr>
        <w:t>（一）绩效评价工作开展情况</w:t>
      </w:r>
    </w:p>
    <w:p>
      <w:pPr>
        <w:widowControl/>
        <w:spacing w:before="0" w:beforeAutospacing="0" w:after="0" w:afterAutospacing="0" w:line="360" w:lineRule="auto"/>
        <w:ind w:leftChars="100" w:left="240"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根据预算绩效管理要求，本部门组织对2024年度本级预算项目支出全面开展绩效自评，共涉及资金</w:t>
      </w:r>
      <w:r>
        <w:rPr>
          <w:rFonts w:ascii="Times New Roman" w:eastAsia="仿宋_GB2312" w:hAnsi="Times New Roman" w:hint="eastAsia"/>
          <w:b w:val="0"/>
          <w:sz w:val="32"/>
          <w:szCs w:val="32"/>
          <w:lang w:val="en-US" w:eastAsia="zh-CN"/>
        </w:rPr>
        <w:t>12.43</w:t>
      </w:r>
      <w:r>
        <w:rPr>
          <w:rFonts w:ascii="Times New Roman" w:eastAsia="仿宋_GB2312" w:hAnsi="Times New Roman"/>
          <w:b w:val="0"/>
          <w:sz w:val="32"/>
          <w:szCs w:val="32"/>
        </w:rPr>
        <w:t>万元（决算金额）。其中，一般公共预算项目</w:t>
      </w:r>
      <w:r>
        <w:rPr>
          <w:rFonts w:ascii="Times New Roman" w:eastAsia="仿宋_GB2312" w:hAnsi="Times New Roman" w:hint="eastAsia"/>
          <w:b w:val="0"/>
          <w:sz w:val="32"/>
          <w:szCs w:val="32"/>
          <w:lang w:val="en-US" w:eastAsia="zh-CN"/>
        </w:rPr>
        <w:t>5</w:t>
      </w:r>
      <w:r>
        <w:rPr>
          <w:rFonts w:ascii="Times New Roman" w:eastAsia="仿宋_GB2312" w:hAnsi="Times New Roman"/>
          <w:b w:val="0"/>
          <w:sz w:val="32"/>
          <w:szCs w:val="32"/>
        </w:rPr>
        <w:t>个，涉及资金</w:t>
      </w:r>
      <w:r>
        <w:rPr>
          <w:rFonts w:ascii="Times New Roman" w:eastAsia="仿宋_GB2312" w:hAnsi="Times New Roman" w:hint="eastAsia"/>
          <w:b w:val="0"/>
          <w:sz w:val="32"/>
          <w:szCs w:val="32"/>
          <w:lang w:val="en-US" w:eastAsia="zh-CN"/>
        </w:rPr>
        <w:t>12.43</w:t>
      </w:r>
      <w:r>
        <w:rPr>
          <w:rFonts w:ascii="Times New Roman" w:eastAsia="仿宋_GB2312" w:hAnsi="Times New Roman"/>
          <w:b w:val="0"/>
          <w:sz w:val="32"/>
          <w:szCs w:val="32"/>
        </w:rPr>
        <w:t>万元，占一般公共预算项目支出总额的</w:t>
      </w:r>
      <w:r>
        <w:rPr>
          <w:rFonts w:ascii="Times New Roman" w:eastAsia="仿宋_GB2312" w:hAnsi="Times New Roman" w:hint="eastAsia"/>
          <w:b w:val="0"/>
          <w:sz w:val="32"/>
          <w:szCs w:val="32"/>
          <w:lang w:val="en-US" w:eastAsia="zh-CN"/>
        </w:rPr>
        <w:t>100</w:t>
      </w:r>
      <w:r>
        <w:rPr>
          <w:rFonts w:ascii="Times New Roman" w:eastAsia="仿宋_GB2312" w:hAnsi="Times New Roman"/>
          <w:b w:val="0"/>
          <w:sz w:val="32"/>
          <w:szCs w:val="32"/>
        </w:rPr>
        <w:t>%；</w:t>
      </w:r>
      <w:r>
        <w:rPr>
          <w:rFonts w:ascii="Times New Roman" w:eastAsia="仿宋_GB2312" w:hAnsi="Times New Roman" w:hint="eastAsia"/>
          <w:b w:val="0"/>
          <w:sz w:val="32"/>
          <w:szCs w:val="32"/>
          <w:lang w:eastAsia="zh-CN"/>
        </w:rPr>
        <w:t>无</w:t>
      </w:r>
      <w:r>
        <w:rPr>
          <w:rFonts w:ascii="Times New Roman" w:eastAsia="仿宋_GB2312" w:hAnsi="Times New Roman"/>
          <w:b w:val="0"/>
          <w:sz w:val="32"/>
          <w:szCs w:val="32"/>
        </w:rPr>
        <w:t>政府性基金预算项目；</w:t>
      </w:r>
      <w:r>
        <w:rPr>
          <w:rFonts w:ascii="Times New Roman" w:eastAsia="仿宋_GB2312" w:hAnsi="Times New Roman" w:hint="eastAsia"/>
          <w:b w:val="0"/>
          <w:sz w:val="32"/>
          <w:szCs w:val="32"/>
          <w:lang w:eastAsia="zh-CN"/>
        </w:rPr>
        <w:t>无</w:t>
      </w:r>
      <w:r>
        <w:rPr>
          <w:rFonts w:ascii="Times New Roman" w:eastAsia="仿宋_GB2312" w:hAnsi="Times New Roman"/>
          <w:b w:val="0"/>
          <w:sz w:val="32"/>
          <w:szCs w:val="32"/>
        </w:rPr>
        <w:t>国有资本经营预算项目。</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hint="eastAsia"/>
          <w:b w:val="0"/>
          <w:sz w:val="32"/>
          <w:szCs w:val="32"/>
          <w:lang w:val="en-US" w:eastAsia="zh-CN"/>
        </w:rPr>
        <w:t>我</w:t>
      </w:r>
      <w:r>
        <w:rPr>
          <w:rFonts w:ascii="Times New Roman" w:eastAsia="仿宋_GB2312" w:hAnsi="Times New Roman"/>
          <w:b w:val="0"/>
          <w:sz w:val="32"/>
          <w:szCs w:val="32"/>
        </w:rPr>
        <w:t>部门</w:t>
      </w:r>
      <w:r>
        <w:rPr>
          <w:rFonts w:ascii="Times New Roman" w:eastAsia="仿宋_GB2312" w:hAnsi="Times New Roman" w:hint="eastAsia"/>
          <w:b w:val="0"/>
          <w:sz w:val="32"/>
          <w:szCs w:val="32"/>
          <w:lang w:eastAsia="zh-CN"/>
        </w:rPr>
        <w:t>无</w:t>
      </w:r>
      <w:r>
        <w:rPr>
          <w:rFonts w:ascii="Times New Roman" w:eastAsia="仿宋_GB2312" w:hAnsi="Times New Roman"/>
          <w:b w:val="0"/>
          <w:sz w:val="32"/>
          <w:szCs w:val="32"/>
        </w:rPr>
        <w:t>重点评价</w:t>
      </w:r>
      <w:r>
        <w:rPr>
          <w:rFonts w:ascii="Times New Roman" w:eastAsia="仿宋_GB2312" w:hAnsi="Times New Roman" w:hint="eastAsia"/>
          <w:b w:val="0"/>
          <w:sz w:val="32"/>
          <w:szCs w:val="32"/>
          <w:lang w:eastAsia="zh-CN"/>
        </w:rPr>
        <w:t>项目</w:t>
      </w:r>
      <w:r>
        <w:rPr>
          <w:rFonts w:ascii="Times New Roman" w:eastAsia="仿宋_GB2312" w:hAnsi="Times New Roman"/>
          <w:b w:val="0"/>
          <w:sz w:val="32"/>
          <w:szCs w:val="32"/>
        </w:rPr>
        <w:t>。</w:t>
      </w:r>
    </w:p>
    <w:p>
      <w:pPr>
        <w:widowControl/>
        <w:numPr>
          <w:ilvl w:val="0"/>
          <w:numId w:val="1"/>
        </w:numPr>
        <w:spacing w:before="0" w:beforeAutospacing="0" w:after="0" w:afterAutospacing="0" w:line="360" w:lineRule="auto"/>
        <w:ind w:left="0" w:firstLineChars="200" w:firstLine="640"/>
        <w:jc w:val="left"/>
        <w:rPr>
          <w:rFonts w:ascii="Times New Roman" w:eastAsia="仿宋_GB2312" w:hAnsi="Times New Roman"/>
          <w:b/>
          <w:sz w:val="32"/>
          <w:szCs w:val="32"/>
        </w:rPr>
      </w:pPr>
      <w:r>
        <w:rPr>
          <w:rFonts w:ascii="Times New Roman" w:eastAsia="仿宋_GB2312" w:hAnsi="Times New Roman"/>
          <w:b/>
          <w:sz w:val="32"/>
          <w:szCs w:val="32"/>
        </w:rPr>
        <w:t>部门决算中项目绩效自评结果</w:t>
      </w:r>
    </w:p>
    <w:p>
      <w:pPr>
        <w:widowControl/>
        <w:spacing w:before="0" w:beforeAutospacing="0" w:after="0" w:afterAutospacing="0" w:line="360" w:lineRule="auto"/>
        <w:ind w:left="0" w:firstLineChars="200" w:firstLine="640"/>
        <w:jc w:val="left"/>
        <w:rPr>
          <w:rFonts w:ascii="Times New Roman" w:eastAsia="仿宋_GB2312" w:hAnsi="Times New Roman"/>
          <w:b w:val="0"/>
          <w:sz w:val="32"/>
          <w:szCs w:val="32"/>
        </w:rPr>
      </w:pPr>
      <w:r>
        <w:rPr>
          <w:rFonts w:ascii="Times New Roman" w:eastAsia="仿宋_GB2312" w:hAnsi="Times New Roman"/>
          <w:b w:val="0"/>
          <w:sz w:val="32"/>
          <w:szCs w:val="32"/>
        </w:rPr>
        <w:t>本部门在今年部门决算公开中反映</w:t>
      </w:r>
      <w:r>
        <w:rPr>
          <w:rFonts w:ascii="Times New Roman" w:eastAsia="仿宋_GB2312" w:hAnsi="Times New Roman" w:hint="eastAsia"/>
          <w:b w:val="0"/>
          <w:sz w:val="32"/>
          <w:szCs w:val="32"/>
          <w:lang w:val="en-US" w:eastAsia="zh-CN"/>
        </w:rPr>
        <w:t>5</w:t>
      </w:r>
      <w:r>
        <w:rPr>
          <w:rFonts w:ascii="Times New Roman" w:eastAsia="仿宋_GB2312" w:hAnsi="Times New Roman"/>
          <w:b w:val="0"/>
          <w:sz w:val="32"/>
          <w:szCs w:val="32"/>
        </w:rPr>
        <w:t>个项目绩效自评结果。</w:t>
      </w:r>
    </w:p>
    <w:p>
      <w:pPr>
        <w:widowControl/>
        <w:spacing w:before="0" w:beforeAutospacing="0" w:after="0" w:afterAutospacing="0" w:line="360" w:lineRule="auto"/>
        <w:ind w:firstLineChars="200" w:firstLine="640"/>
        <w:jc w:val="left"/>
        <w:rPr>
          <w:rFonts w:ascii="Times New Roman" w:eastAsia="仿宋_GB2312" w:hAnsi="Times New Roman" w:hint="eastAsia"/>
          <w:b w:val="0"/>
          <w:sz w:val="32"/>
          <w:szCs w:val="32"/>
          <w:lang w:eastAsia="zh-CN"/>
        </w:rPr>
      </w:pPr>
      <w:r>
        <w:rPr>
          <w:rFonts w:ascii="Times New Roman" w:eastAsia="仿宋_GB2312" w:hAnsi="Times New Roman" w:hint="eastAsia"/>
          <w:b w:val="0"/>
          <w:sz w:val="32"/>
          <w:szCs w:val="32"/>
          <w:lang w:eastAsia="zh-CN"/>
        </w:rPr>
        <w:t>项目一、“</w:t>
      </w:r>
      <w:r>
        <w:rPr>
          <w:rFonts w:ascii="仿宋_GB2312" w:eastAsia="仿宋_GB2312" w:cs="仿宋_GB2312" w:hint="eastAsia"/>
          <w:i w:val="0"/>
          <w:iCs w:val="0"/>
          <w:color w:val="000000"/>
          <w:kern w:val="0"/>
          <w:sz w:val="32"/>
          <w:szCs w:val="32"/>
          <w:u w:val="none"/>
          <w:lang w:val="en-US" w:eastAsia="zh-CN"/>
        </w:rPr>
        <w:t>统战部</w:t>
      </w:r>
      <w:r>
        <w:rPr>
          <w:rStyle w:val="27"/>
          <w:rFonts w:ascii="仿宋_GB2312" w:eastAsia="仿宋_GB2312" w:cs="仿宋_GB2312" w:hint="eastAsia"/>
          <w:sz w:val="32"/>
          <w:szCs w:val="32"/>
          <w:lang w:val="en-US" w:eastAsia="zh-CN"/>
        </w:rPr>
        <w:t>2024</w:t>
      </w:r>
      <w:r>
        <w:rPr>
          <w:rStyle w:val="28"/>
          <w:rFonts w:ascii="仿宋_GB2312" w:eastAsia="仿宋_GB2312" w:cs="仿宋_GB2312" w:hint="eastAsia"/>
          <w:sz w:val="32"/>
          <w:szCs w:val="32"/>
          <w:lang w:val="en-US" w:eastAsia="zh-CN"/>
        </w:rPr>
        <w:t>年AKTD资</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绩效自评情况：根据年初设定的绩效目标，项目绩效自评得分</w:t>
      </w:r>
      <w:r>
        <w:rPr>
          <w:rFonts w:ascii="Times New Roman" w:eastAsia="仿宋_GB2312" w:hAnsi="Times New Roman" w:hint="eastAsia"/>
          <w:b w:val="0"/>
          <w:sz w:val="32"/>
          <w:szCs w:val="32"/>
          <w:lang w:val="en-US" w:eastAsia="zh-CN"/>
        </w:rPr>
        <w:t>98分</w:t>
      </w:r>
      <w:r>
        <w:rPr>
          <w:rFonts w:ascii="Times New Roman" w:eastAsia="仿宋_GB2312" w:hAnsi="Times New Roman"/>
          <w:b w:val="0"/>
          <w:sz w:val="32"/>
          <w:szCs w:val="32"/>
        </w:rPr>
        <w:t>（绩效自评表附后）。全年预算数为</w:t>
      </w:r>
      <w:r>
        <w:rPr>
          <w:rFonts w:ascii="Times New Roman" w:eastAsia="仿宋_GB2312" w:hAnsi="Times New Roman" w:hint="eastAsia"/>
          <w:b w:val="0"/>
          <w:sz w:val="32"/>
          <w:szCs w:val="32"/>
          <w:lang w:val="en-US" w:eastAsia="zh-CN"/>
        </w:rPr>
        <w:t>1.25</w:t>
      </w:r>
      <w:r>
        <w:rPr>
          <w:rFonts w:ascii="Times New Roman" w:eastAsia="仿宋_GB2312" w:hAnsi="Times New Roman"/>
          <w:b w:val="0"/>
          <w:sz w:val="32"/>
          <w:szCs w:val="32"/>
        </w:rPr>
        <w:t>万元，执行数为</w:t>
      </w:r>
      <w:r>
        <w:rPr>
          <w:rFonts w:ascii="Times New Roman" w:eastAsia="仿宋_GB2312" w:hAnsi="Times New Roman" w:hint="eastAsia"/>
          <w:b w:val="0"/>
          <w:sz w:val="32"/>
          <w:szCs w:val="32"/>
          <w:lang w:val="en-US" w:eastAsia="zh-CN"/>
        </w:rPr>
        <w:t>1.25</w:t>
      </w:r>
      <w:r>
        <w:rPr>
          <w:rFonts w:ascii="Times New Roman" w:eastAsia="仿宋_GB2312" w:hAnsi="Times New Roman"/>
          <w:b w:val="0"/>
          <w:sz w:val="32"/>
          <w:szCs w:val="32"/>
        </w:rPr>
        <w:t>万元，完成预算的</w:t>
      </w:r>
      <w:r>
        <w:rPr>
          <w:rFonts w:ascii="Times New Roman" w:eastAsia="仿宋_GB2312" w:hAnsi="Times New Roman" w:hint="eastAsia"/>
          <w:b w:val="0"/>
          <w:sz w:val="32"/>
          <w:szCs w:val="32"/>
          <w:lang w:val="en-US" w:eastAsia="zh-CN"/>
        </w:rPr>
        <w:t>100</w:t>
      </w:r>
      <w:r>
        <w:rPr>
          <w:rFonts w:ascii="Times New Roman" w:eastAsia="仿宋_GB2312" w:hAnsi="Times New Roman"/>
          <w:b w:val="0"/>
          <w:sz w:val="32"/>
          <w:szCs w:val="32"/>
        </w:rPr>
        <w:t>%。项目绩效目标</w:t>
      </w:r>
      <w:r>
        <w:rPr>
          <w:rFonts w:ascii="Times New Roman" w:eastAsia="仿宋_GB2312" w:hAnsi="Times New Roman" w:hint="eastAsia"/>
          <w:b w:val="0"/>
          <w:sz w:val="32"/>
          <w:szCs w:val="32"/>
          <w:lang w:eastAsia="zh-CN"/>
        </w:rPr>
        <w:t>均已完成</w:t>
      </w:r>
      <w:r>
        <w:rPr>
          <w:rFonts w:ascii="Times New Roman" w:eastAsia="仿宋_GB2312" w:hAnsi="Times New Roman"/>
          <w:b w:val="0"/>
          <w:sz w:val="32"/>
          <w:szCs w:val="32"/>
        </w:rPr>
        <w:t>。</w:t>
      </w:r>
      <w:r>
        <w:rPr>
          <w:rFonts w:ascii="Times New Roman" w:eastAsia="仿宋_GB2312" w:hAnsi="Times New Roman" w:hint="eastAsia"/>
          <w:b w:val="0"/>
          <w:sz w:val="32"/>
          <w:szCs w:val="32"/>
          <w:lang w:eastAsia="zh-CN"/>
        </w:rPr>
        <w:t>未</w:t>
      </w:r>
      <w:r>
        <w:rPr>
          <w:rFonts w:ascii="Times New Roman" w:eastAsia="仿宋_GB2312" w:hAnsi="Times New Roman"/>
          <w:b w:val="0"/>
          <w:sz w:val="32"/>
          <w:szCs w:val="32"/>
        </w:rPr>
        <w:t>发现</w:t>
      </w:r>
      <w:r>
        <w:rPr>
          <w:rFonts w:ascii="Times New Roman" w:eastAsia="仿宋_GB2312" w:hAnsi="Times New Roman" w:hint="eastAsia"/>
          <w:b w:val="0"/>
          <w:sz w:val="32"/>
          <w:szCs w:val="32"/>
          <w:lang w:eastAsia="zh-CN"/>
        </w:rPr>
        <w:t>其他</w:t>
      </w:r>
      <w:r>
        <w:rPr>
          <w:rFonts w:ascii="Times New Roman" w:eastAsia="仿宋_GB2312" w:hAnsi="Times New Roman"/>
          <w:b w:val="0"/>
          <w:sz w:val="32"/>
          <w:szCs w:val="32"/>
        </w:rPr>
        <w:t>问题</w:t>
      </w:r>
      <w:r>
        <w:rPr>
          <w:rFonts w:ascii="Times New Roman" w:eastAsia="仿宋_GB2312" w:hAnsi="Times New Roman" w:hint="eastAsia"/>
          <w:b w:val="0"/>
          <w:sz w:val="32"/>
          <w:szCs w:val="32"/>
          <w:lang w:eastAsia="zh-CN"/>
        </w:rPr>
        <w:t>。</w:t>
      </w:r>
    </w:p>
    <w:tbl>
      <w:tblPr>
        <w:jc w:val="center"/>
        <w:tblW w:w="10032" w:type="dxa"/>
        <w:tblBorders>
          <w:top w:val="none" w:sz="0" w:space="0" w:color="auto"/>
          <w:left w:val="none" w:sz="0" w:space="0" w:color="auto"/>
          <w:bottom w:val="none" w:sz="0" w:space="0" w:color="auto"/>
          <w:right w:val="none" w:sz="0" w:space="0" w:color="auto"/>
        </w:tblBorders>
        <w:shd w:val="clear" w:color="auto" w:fill="auto"/>
        <w:tblCellMar>
          <w:top w:w="0" w:type="dxa"/>
          <w:left w:w="108" w:type="dxa"/>
          <w:bottom w:w="0" w:type="dxa"/>
          <w:right w:w="108" w:type="dxa"/>
        </w:tblCellMar>
      </w:tblPr>
      <w:tblGrid>
        <w:gridCol w:w="900"/>
        <w:gridCol w:w="838"/>
        <w:gridCol w:w="980"/>
        <w:gridCol w:w="1136"/>
        <w:gridCol w:w="1306"/>
        <w:gridCol w:w="756"/>
        <w:gridCol w:w="756"/>
        <w:gridCol w:w="505"/>
        <w:gridCol w:w="755"/>
        <w:gridCol w:w="708"/>
        <w:gridCol w:w="795"/>
        <w:gridCol w:w="597"/>
      </w:tblGrid>
      <w:tr>
        <w:trPr>
          <w:trHeight w:val="434"/>
        </w:trPr>
        <w:tc>
          <w:tcPr>
            <w:tcW w:w="10032" w:type="dxa"/>
            <w:gridSpan w:val="12"/>
            <w:vMerge w:val="restart"/>
            <w:tcBorders>
              <w:top w:val="single" w:sz="4" w:space="0" w:color="auto"/>
              <w:left w:val="single" w:sz="4" w:space="0" w:color="auto"/>
              <w:bottom w:val="single" w:sz="4" w:space="0" w:color="auto"/>
              <w:right w:val="single" w:sz="4" w:space="0" w:color="auto"/>
            </w:tcBorders>
            <w:shd w:val="clear" w:color="FFFFFF" w:fill="auto"/>
            <w:vAlign w:val="center"/>
          </w:tcPr>
          <w:p>
            <w:pPr>
              <w:keepNext w:val="0"/>
              <w:keepLines w:val="0"/>
              <w:widowControl/>
              <w:suppressLineNumbers w:val="0"/>
              <w:jc w:val="center"/>
              <w:textAlignment w:val="center"/>
              <w:rPr>
                <w:rFonts w:ascii="宋体" w:eastAsia="宋体" w:cs="宋体"/>
                <w:b/>
                <w:bCs/>
                <w:i w:val="0"/>
                <w:iCs w:val="0"/>
                <w:color w:val="000000"/>
                <w:sz w:val="36"/>
                <w:szCs w:val="36"/>
                <w:u w:val="none"/>
              </w:rPr>
            </w:pPr>
            <w:r>
              <w:rPr>
                <w:rFonts w:ascii="宋体" w:eastAsia="宋体" w:cs="宋体"/>
                <w:b/>
                <w:bCs/>
                <w:i w:val="0"/>
                <w:iCs w:val="0"/>
                <w:color w:val="000000"/>
                <w:kern w:val="0"/>
                <w:sz w:val="36"/>
                <w:szCs w:val="36"/>
                <w:u w:val="none"/>
                <w:lang w:val="en-US" w:eastAsia="zh-CN"/>
              </w:rPr>
              <w:t>2024年度预算项目绩效自评表</w:t>
            </w:r>
          </w:p>
        </w:tc>
      </w:tr>
      <w:tr>
        <w:trPr>
          <w:trHeight w:val="312"/>
        </w:trPr>
        <w:tc>
          <w:tcPr>
            <w:tcW w:w="10032" w:type="dxa"/>
            <w:gridSpan w:val="12"/>
            <w:vMerge/>
            <w:tcBorders>
              <w:top w:val="single" w:sz="4" w:space="0" w:color="auto"/>
              <w:left w:val="single" w:sz="4" w:space="0" w:color="auto"/>
              <w:bottom w:val="single" w:sz="4" w:space="0" w:color="auto"/>
              <w:right w:val="single" w:sz="4" w:space="0" w:color="auto"/>
            </w:tcBorders>
            <w:shd w:val="clear" w:color="FFFFFF" w:fill="auto"/>
            <w:vAlign w:val="center"/>
          </w:tcPr>
          <w:p/>
        </w:tc>
      </w:tr>
      <w:tr>
        <w:trPr>
          <w:trHeight w:val="940"/>
        </w:trPr>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一、基本情况</w:t>
            </w:r>
          </w:p>
        </w:tc>
        <w:tc>
          <w:tcPr>
            <w:tcW w:w="83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项目名称</w:t>
            </w:r>
          </w:p>
        </w:tc>
        <w:tc>
          <w:tcPr>
            <w:tcW w:w="2116"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统战部</w:t>
            </w:r>
            <w:r>
              <w:rPr>
                <w:rStyle w:val="27"/>
                <w:rFonts w:eastAsia="宋体"/>
                <w:lang w:val="en-US" w:eastAsia="zh-CN"/>
              </w:rPr>
              <w:t>2024</w:t>
            </w:r>
            <w:r>
              <w:rPr>
                <w:rStyle w:val="28"/>
                <w:lang w:val="en-US" w:eastAsia="zh-CN"/>
              </w:rPr>
              <w:t>年AKTD资金</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项目级次</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本级</w:t>
            </w:r>
          </w:p>
        </w:tc>
        <w:tc>
          <w:tcPr>
            <w:tcW w:w="1261"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实施主管单位</w:t>
            </w:r>
          </w:p>
        </w:tc>
        <w:tc>
          <w:tcPr>
            <w:tcW w:w="1463"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 xml:space="preserve">213001 - </w:t>
            </w:r>
            <w:r>
              <w:rPr>
                <w:rStyle w:val="28"/>
                <w:lang w:val="en-US" w:eastAsia="zh-CN"/>
              </w:rPr>
              <w:t>中国共产党涞源县委员会统战部</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金额单位</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万元</w:t>
            </w:r>
          </w:p>
        </w:tc>
      </w:tr>
      <w:tr>
        <w:trPr>
          <w:trHeight w:val="406"/>
        </w:trPr>
        <w:tc>
          <w:tcPr>
            <w:tcW w:w="90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二、预算执行情况</w:t>
            </w:r>
          </w:p>
        </w:tc>
        <w:tc>
          <w:tcPr>
            <w:tcW w:w="1818"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预算安排情况(调整后)</w:t>
            </w:r>
          </w:p>
        </w:tc>
        <w:tc>
          <w:tcPr>
            <w:tcW w:w="3198"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资金到位情况</w:t>
            </w:r>
          </w:p>
        </w:tc>
        <w:tc>
          <w:tcPr>
            <w:tcW w:w="2724"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资金执行情况</w:t>
            </w:r>
          </w:p>
        </w:tc>
        <w:tc>
          <w:tcPr>
            <w:tcW w:w="139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预算执行进度(%)</w:t>
            </w:r>
          </w:p>
        </w:tc>
      </w:tr>
      <w:tr>
        <w:trPr>
          <w:trHeight w:val="425"/>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预算数</w:t>
            </w: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1.25</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到位数</w:t>
            </w:r>
          </w:p>
        </w:tc>
        <w:tc>
          <w:tcPr>
            <w:tcW w:w="206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1.25</w:t>
            </w:r>
          </w:p>
        </w:tc>
        <w:tc>
          <w:tcPr>
            <w:tcW w:w="1261"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执行数</w:t>
            </w:r>
          </w:p>
        </w:tc>
        <w:tc>
          <w:tcPr>
            <w:tcW w:w="1463"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1.25</w:t>
            </w:r>
          </w:p>
        </w:tc>
        <w:tc>
          <w:tcPr>
            <w:tcW w:w="1392" w:type="dxa"/>
            <w:gridSpan w:val="2"/>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r>
      <w:tr>
        <w:trPr>
          <w:trHeight w:val="630"/>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1.250</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206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1.25</w:t>
            </w:r>
          </w:p>
        </w:tc>
        <w:tc>
          <w:tcPr>
            <w:tcW w:w="1261"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463"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1.25</w:t>
            </w:r>
          </w:p>
        </w:tc>
        <w:tc>
          <w:tcPr>
            <w:tcW w:w="1392" w:type="dxa"/>
            <w:gridSpan w:val="2"/>
            <w:vMerge/>
            <w:tcBorders>
              <w:top w:val="single" w:sz="4" w:space="0" w:color="auto"/>
              <w:left w:val="single" w:sz="4" w:space="0" w:color="auto"/>
              <w:bottom w:val="single" w:sz="4" w:space="0" w:color="auto"/>
              <w:right w:val="single" w:sz="4" w:space="0" w:color="auto"/>
            </w:tcBorders>
            <w:shd w:val="clear" w:color="FFFFFF" w:fill="auto"/>
          </w:tcPr>
          <w:p/>
        </w:tc>
      </w:tr>
      <w:tr>
        <w:trPr>
          <w:trHeight w:val="434"/>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206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261"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463"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392" w:type="dxa"/>
            <w:gridSpan w:val="2"/>
            <w:vMerge/>
            <w:tcBorders>
              <w:top w:val="single" w:sz="4" w:space="0" w:color="auto"/>
              <w:left w:val="single" w:sz="4" w:space="0" w:color="auto"/>
              <w:bottom w:val="single" w:sz="4" w:space="0" w:color="auto"/>
              <w:right w:val="single" w:sz="4" w:space="0" w:color="auto"/>
            </w:tcBorders>
            <w:shd w:val="clear" w:color="FFFFFF" w:fill="auto"/>
          </w:tcPr>
          <w:p/>
        </w:tc>
      </w:tr>
      <w:tr>
        <w:trPr>
          <w:trHeight w:val="320"/>
        </w:trPr>
        <w:tc>
          <w:tcPr>
            <w:tcW w:w="90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三、目标完成情况</w:t>
            </w:r>
          </w:p>
        </w:tc>
        <w:tc>
          <w:tcPr>
            <w:tcW w:w="4260"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年度预期目标</w:t>
            </w:r>
          </w:p>
        </w:tc>
        <w:tc>
          <w:tcPr>
            <w:tcW w:w="3480"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具体完成情况</w:t>
            </w:r>
          </w:p>
        </w:tc>
        <w:tc>
          <w:tcPr>
            <w:tcW w:w="139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总体完成率(%)</w:t>
            </w:r>
          </w:p>
        </w:tc>
      </w:tr>
      <w:tr>
        <w:trPr>
          <w:trHeight w:val="320"/>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4260"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保证本单位信息安全</w:t>
            </w:r>
          </w:p>
        </w:tc>
        <w:tc>
          <w:tcPr>
            <w:tcW w:w="3480"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139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98.00</w:t>
            </w:r>
          </w:p>
        </w:tc>
      </w:tr>
      <w:tr>
        <w:trPr>
          <w:trHeight w:val="320"/>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4260"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保证本单位信息安全</w:t>
            </w:r>
          </w:p>
        </w:tc>
        <w:tc>
          <w:tcPr>
            <w:tcW w:w="3480"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139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98.00</w:t>
            </w:r>
          </w:p>
        </w:tc>
      </w:tr>
      <w:tr>
        <w:trPr>
          <w:trHeight w:val="320"/>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4260"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保证本单位信息安全</w:t>
            </w:r>
          </w:p>
        </w:tc>
        <w:tc>
          <w:tcPr>
            <w:tcW w:w="3480"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139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98.00</w:t>
            </w:r>
          </w:p>
        </w:tc>
      </w:tr>
      <w:tr>
        <w:trPr>
          <w:trHeight w:val="434"/>
        </w:trPr>
        <w:tc>
          <w:tcPr>
            <w:tcW w:w="90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四、年度绩效</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指标完成情况</w:t>
            </w:r>
          </w:p>
        </w:tc>
        <w:tc>
          <w:tcPr>
            <w:tcW w:w="838"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一级指标</w:t>
            </w:r>
          </w:p>
        </w:tc>
        <w:tc>
          <w:tcPr>
            <w:tcW w:w="98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二级指标</w:t>
            </w:r>
          </w:p>
        </w:tc>
        <w:tc>
          <w:tcPr>
            <w:tcW w:w="113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三级指标</w:t>
            </w:r>
          </w:p>
        </w:tc>
        <w:tc>
          <w:tcPr>
            <w:tcW w:w="130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指标说明</w:t>
            </w:r>
          </w:p>
        </w:tc>
        <w:tc>
          <w:tcPr>
            <w:tcW w:w="75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指标分值</w:t>
            </w:r>
          </w:p>
        </w:tc>
        <w:tc>
          <w:tcPr>
            <w:tcW w:w="2016"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预期指标值</w:t>
            </w:r>
          </w:p>
        </w:tc>
        <w:tc>
          <w:tcPr>
            <w:tcW w:w="708"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单项指标实际完成值</w:t>
            </w:r>
          </w:p>
        </w:tc>
        <w:tc>
          <w:tcPr>
            <w:tcW w:w="795"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单项指标完成情况</w:t>
            </w:r>
          </w:p>
        </w:tc>
        <w:tc>
          <w:tcPr>
            <w:tcW w:w="597"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自评得分</w:t>
            </w:r>
          </w:p>
        </w:tc>
      </w:tr>
      <w:tr>
        <w:trPr>
          <w:trHeight w:val="1127"/>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vMerge/>
            <w:tcBorders>
              <w:top w:val="single" w:sz="4" w:space="0" w:color="auto"/>
              <w:left w:val="single" w:sz="4" w:space="0" w:color="auto"/>
              <w:bottom w:val="single" w:sz="4" w:space="0" w:color="auto"/>
              <w:right w:val="single" w:sz="4" w:space="0" w:color="auto"/>
            </w:tcBorders>
            <w:shd w:val="clear" w:color="FFFFFF" w:fill="auto"/>
          </w:tcPr>
          <w:p/>
        </w:tc>
        <w:tc>
          <w:tcPr>
            <w:tcW w:w="1136" w:type="dxa"/>
            <w:vMerge/>
            <w:tcBorders>
              <w:top w:val="single" w:sz="4" w:space="0" w:color="auto"/>
              <w:left w:val="single" w:sz="4" w:space="0" w:color="auto"/>
              <w:bottom w:val="single" w:sz="4" w:space="0" w:color="auto"/>
              <w:right w:val="single" w:sz="4" w:space="0" w:color="auto"/>
            </w:tcBorders>
            <w:shd w:val="clear" w:color="FFFFFF" w:fill="auto"/>
          </w:tcPr>
          <w:p/>
        </w:tc>
        <w:tc>
          <w:tcPr>
            <w:tcW w:w="1306" w:type="dxa"/>
            <w:vMerge/>
            <w:tcBorders>
              <w:top w:val="single" w:sz="4" w:space="0" w:color="auto"/>
              <w:left w:val="single" w:sz="4" w:space="0" w:color="auto"/>
              <w:bottom w:val="single" w:sz="4" w:space="0" w:color="auto"/>
              <w:right w:val="single" w:sz="4" w:space="0" w:color="auto"/>
            </w:tcBorders>
            <w:shd w:val="clear" w:color="FFFFFF" w:fill="auto"/>
          </w:tcPr>
          <w:p/>
        </w:tc>
        <w:tc>
          <w:tcPr>
            <w:tcW w:w="756" w:type="dxa"/>
            <w:vMerge/>
            <w:tcBorders>
              <w:top w:val="single" w:sz="4" w:space="0" w:color="auto"/>
              <w:left w:val="single" w:sz="4" w:space="0" w:color="auto"/>
              <w:bottom w:val="single" w:sz="4" w:space="0" w:color="auto"/>
              <w:right w:val="single" w:sz="4" w:space="0" w:color="auto"/>
            </w:tcBorders>
            <w:shd w:val="clear" w:color="FFFFFF" w:fill="auto"/>
          </w:tcP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符号</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值</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单位(文字描述)</w:t>
            </w:r>
          </w:p>
        </w:tc>
        <w:tc>
          <w:tcPr>
            <w:tcW w:w="708" w:type="dxa"/>
            <w:vMerge/>
            <w:tcBorders>
              <w:top w:val="single" w:sz="4" w:space="0" w:color="auto"/>
              <w:left w:val="single" w:sz="4" w:space="0" w:color="auto"/>
              <w:bottom w:val="single" w:sz="4" w:space="0" w:color="auto"/>
              <w:right w:val="single" w:sz="4" w:space="0" w:color="auto"/>
            </w:tcBorders>
            <w:shd w:val="clear" w:color="FFFFFF" w:fill="auto"/>
          </w:tcPr>
          <w:p/>
        </w:tc>
        <w:tc>
          <w:tcPr>
            <w:tcW w:w="795" w:type="dxa"/>
            <w:vMerge/>
            <w:tcBorders>
              <w:top w:val="single" w:sz="4" w:space="0" w:color="auto"/>
              <w:left w:val="single" w:sz="4" w:space="0" w:color="auto"/>
              <w:bottom w:val="single" w:sz="4" w:space="0" w:color="auto"/>
              <w:right w:val="single" w:sz="4" w:space="0" w:color="auto"/>
            </w:tcBorders>
            <w:shd w:val="clear" w:color="FFFFFF" w:fill="auto"/>
          </w:tcPr>
          <w:p/>
        </w:tc>
        <w:tc>
          <w:tcPr>
            <w:tcW w:w="597" w:type="dxa"/>
            <w:vMerge/>
            <w:tcBorders>
              <w:top w:val="single" w:sz="4" w:space="0" w:color="auto"/>
              <w:left w:val="single" w:sz="4" w:space="0" w:color="auto"/>
              <w:bottom w:val="single" w:sz="4" w:space="0" w:color="auto"/>
              <w:right w:val="single" w:sz="4" w:space="0" w:color="auto"/>
            </w:tcBorders>
            <w:shd w:val="clear" w:color="FFFFFF" w:fill="auto"/>
          </w:tcP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产出指标</w:t>
            </w: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数量指标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设备采购数量</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设备采购数量</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台</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质量指标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购置质量合格率（</w:t>
            </w:r>
            <w:r>
              <w:rPr>
                <w:rStyle w:val="27"/>
                <w:rFonts w:eastAsia="宋体"/>
                <w:lang w:val="en-US" w:eastAsia="zh-CN"/>
              </w:rPr>
              <w:t>%</w:t>
            </w:r>
            <w:r>
              <w:rPr>
                <w:rStyle w:val="28"/>
                <w:lang w:val="en-US" w:eastAsia="zh-CN"/>
              </w:rPr>
              <w:t>）</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购置质量合格率（</w:t>
            </w:r>
            <w:r>
              <w:rPr>
                <w:rStyle w:val="27"/>
                <w:rFonts w:eastAsia="宋体"/>
                <w:lang w:val="en-US" w:eastAsia="zh-CN"/>
              </w:rPr>
              <w:t>%</w:t>
            </w:r>
            <w:r>
              <w:rPr>
                <w:rStyle w:val="28"/>
                <w:lang w:val="en-US" w:eastAsia="zh-CN"/>
              </w:rPr>
              <w:t>）</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时效指标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资金拨付及时率</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资金拨付及时率</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成本指标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办公设备购置费用</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办公设备购置费用</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1.85</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万元</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1.25</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未完成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8</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效益指标</w:t>
            </w: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对经济发展带来效果</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对经济发展带来效果</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效益较好</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社会效益指标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有较好的社会影响</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有较好的社会影响</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影响较好</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155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生态效益指标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促进生态文明建设，推动绿色发展和绿色生活方式</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较好的推动</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可持续影响指标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持续发挥作用期限</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持续发挥作用期限</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年</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满意度指标</w:t>
            </w: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服务对象的满意度</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服务对象的满意度</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持续发挥作用期限</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持续发挥作用期限</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年</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vMerge/>
            <w:tcBorders>
              <w:top w:val="single" w:sz="4" w:space="0" w:color="auto"/>
              <w:left w:val="single" w:sz="4" w:space="0" w:color="auto"/>
              <w:bottom w:val="single" w:sz="4" w:space="0" w:color="auto"/>
              <w:right w:val="single" w:sz="4" w:space="0" w:color="auto"/>
            </w:tcBorders>
            <w:shd w:val="clear" w:color="FFFFFF" w:fill="auto"/>
          </w:tcP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服务对象满意度指标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服务对象的满意度</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服务对象的满意度</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4.00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w:t>
            </w:r>
          </w:p>
        </w:tc>
      </w:tr>
      <w:tr>
        <w:trPr>
          <w:trHeight w:val="621"/>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预算执行率</w:t>
            </w:r>
          </w:p>
        </w:tc>
        <w:tc>
          <w:tcPr>
            <w:tcW w:w="9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113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c>
          <w:tcPr>
            <w:tcW w:w="75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50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5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08"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9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59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359"/>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83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自评总分</w:t>
            </w:r>
          </w:p>
        </w:tc>
        <w:tc>
          <w:tcPr>
            <w:tcW w:w="8294" w:type="dxa"/>
            <w:gridSpan w:val="10"/>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r>
      <w:tr>
        <w:trPr>
          <w:trHeight w:val="434"/>
        </w:trPr>
        <w:tc>
          <w:tcPr>
            <w:tcW w:w="90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五、存在问题</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原因及整改措施</w:t>
            </w:r>
          </w:p>
        </w:tc>
        <w:tc>
          <w:tcPr>
            <w:tcW w:w="9132" w:type="dxa"/>
            <w:gridSpan w:val="11"/>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无</w:t>
            </w:r>
          </w:p>
        </w:tc>
      </w:tr>
      <w:tr>
        <w:trPr>
          <w:trHeight w:val="1747"/>
        </w:trPr>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9132" w:type="dxa"/>
            <w:gridSpan w:val="11"/>
            <w:vMerge/>
            <w:tcBorders>
              <w:top w:val="single" w:sz="4" w:space="0" w:color="auto"/>
              <w:left w:val="single" w:sz="4" w:space="0" w:color="auto"/>
              <w:bottom w:val="single" w:sz="4" w:space="0" w:color="auto"/>
              <w:right w:val="single" w:sz="4" w:space="0" w:color="auto"/>
            </w:tcBorders>
            <w:shd w:val="clear" w:color="FFFFFF" w:fill="auto"/>
          </w:tcPr>
          <w:p/>
        </w:tc>
      </w:tr>
      <w:tr>
        <w:trPr>
          <w:trHeight w:val="639"/>
        </w:trPr>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填报人:</w:t>
            </w:r>
          </w:p>
        </w:tc>
        <w:tc>
          <w:tcPr>
            <w:tcW w:w="2954"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谢小娟</w:t>
            </w:r>
          </w:p>
        </w:tc>
        <w:tc>
          <w:tcPr>
            <w:tcW w:w="13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联系电话:</w:t>
            </w:r>
          </w:p>
        </w:tc>
        <w:tc>
          <w:tcPr>
            <w:tcW w:w="4872" w:type="dxa"/>
            <w:gridSpan w:val="7"/>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03127313648</w:t>
            </w:r>
          </w:p>
        </w:tc>
      </w:tr>
    </w:tbl>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r>
        <w:rPr>
          <w:rFonts w:ascii="Times New Roman" w:eastAsia="仿宋_GB2312" w:hAnsi="Times New Roman" w:hint="eastAsia"/>
          <w:b w:val="0"/>
          <w:sz w:val="32"/>
          <w:szCs w:val="32"/>
          <w:lang w:eastAsia="zh-CN"/>
        </w:rPr>
        <w:t>项目二、“</w:t>
      </w:r>
      <w:r>
        <w:rPr>
          <w:rFonts w:ascii="仿宋_GB2312" w:eastAsia="仿宋_GB2312" w:cs="仿宋_GB2312" w:hint="eastAsia"/>
          <w:i w:val="0"/>
          <w:iCs w:val="0"/>
          <w:color w:val="000000"/>
          <w:kern w:val="0"/>
          <w:sz w:val="32"/>
          <w:szCs w:val="32"/>
          <w:u w:val="none"/>
          <w:lang w:val="en-US" w:eastAsia="zh-CN"/>
        </w:rPr>
        <w:t>统战专项经费</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绩效自评情况：根据年初设定的绩效目标，项目绩效自评得分</w:t>
      </w:r>
      <w:r>
        <w:rPr>
          <w:rFonts w:ascii="Times New Roman" w:eastAsia="仿宋_GB2312" w:hAnsi="Times New Roman" w:hint="eastAsia"/>
          <w:b w:val="0"/>
          <w:sz w:val="32"/>
          <w:szCs w:val="32"/>
          <w:lang w:val="en-US" w:eastAsia="zh-CN"/>
        </w:rPr>
        <w:t>99分</w:t>
      </w:r>
      <w:r>
        <w:rPr>
          <w:rFonts w:ascii="Times New Roman" w:eastAsia="仿宋_GB2312" w:hAnsi="Times New Roman"/>
          <w:b w:val="0"/>
          <w:sz w:val="32"/>
          <w:szCs w:val="32"/>
        </w:rPr>
        <w:t>（绩效自评表附后）。全年预算数为</w:t>
      </w:r>
      <w:r>
        <w:rPr>
          <w:rFonts w:ascii="Times New Roman" w:eastAsia="仿宋_GB2312" w:hAnsi="Times New Roman" w:hint="eastAsia"/>
          <w:b w:val="0"/>
          <w:sz w:val="32"/>
          <w:szCs w:val="32"/>
          <w:lang w:val="en-US" w:eastAsia="zh-CN"/>
        </w:rPr>
        <w:t>4</w:t>
      </w:r>
      <w:r>
        <w:rPr>
          <w:rFonts w:ascii="Times New Roman" w:eastAsia="仿宋_GB2312" w:hAnsi="Times New Roman"/>
          <w:b w:val="0"/>
          <w:sz w:val="32"/>
          <w:szCs w:val="32"/>
        </w:rPr>
        <w:t>万元，执行数为</w:t>
      </w:r>
      <w:r>
        <w:rPr>
          <w:rFonts w:ascii="Times New Roman" w:eastAsia="仿宋_GB2312" w:hAnsi="Times New Roman" w:hint="eastAsia"/>
          <w:b w:val="0"/>
          <w:sz w:val="32"/>
          <w:szCs w:val="32"/>
          <w:lang w:val="en-US" w:eastAsia="zh-CN"/>
        </w:rPr>
        <w:t>4</w:t>
      </w:r>
      <w:r>
        <w:rPr>
          <w:rFonts w:ascii="Times New Roman" w:eastAsia="仿宋_GB2312" w:hAnsi="Times New Roman"/>
          <w:b w:val="0"/>
          <w:sz w:val="32"/>
          <w:szCs w:val="32"/>
        </w:rPr>
        <w:t>万元，完成预算的</w:t>
      </w:r>
      <w:r>
        <w:rPr>
          <w:rFonts w:ascii="Times New Roman" w:eastAsia="仿宋_GB2312" w:hAnsi="Times New Roman" w:hint="eastAsia"/>
          <w:b w:val="0"/>
          <w:sz w:val="32"/>
          <w:szCs w:val="32"/>
          <w:lang w:val="en-US" w:eastAsia="zh-CN"/>
        </w:rPr>
        <w:t>100</w:t>
      </w:r>
      <w:r>
        <w:rPr>
          <w:rFonts w:ascii="Times New Roman" w:eastAsia="仿宋_GB2312" w:hAnsi="Times New Roman"/>
          <w:b w:val="0"/>
          <w:sz w:val="32"/>
          <w:szCs w:val="32"/>
        </w:rPr>
        <w:t>%。项目绩效目标</w:t>
      </w:r>
      <w:r>
        <w:rPr>
          <w:rFonts w:ascii="Times New Roman" w:eastAsia="仿宋_GB2312" w:hAnsi="Times New Roman" w:hint="eastAsia"/>
          <w:b w:val="0"/>
          <w:sz w:val="32"/>
          <w:szCs w:val="32"/>
          <w:lang w:eastAsia="zh-CN"/>
        </w:rPr>
        <w:t>均已完成</w:t>
      </w:r>
      <w:r>
        <w:rPr>
          <w:rFonts w:ascii="Times New Roman" w:eastAsia="仿宋_GB2312" w:hAnsi="Times New Roman"/>
          <w:b w:val="0"/>
          <w:sz w:val="32"/>
          <w:szCs w:val="32"/>
        </w:rPr>
        <w:t>。</w:t>
      </w:r>
      <w:r>
        <w:rPr>
          <w:rFonts w:ascii="Times New Roman" w:eastAsia="仿宋_GB2312" w:hAnsi="Times New Roman" w:hint="eastAsia"/>
          <w:b w:val="0"/>
          <w:sz w:val="32"/>
          <w:szCs w:val="32"/>
          <w:lang w:eastAsia="zh-CN"/>
        </w:rPr>
        <w:t>未</w:t>
      </w:r>
      <w:r>
        <w:rPr>
          <w:rFonts w:ascii="Times New Roman" w:eastAsia="仿宋_GB2312" w:hAnsi="Times New Roman"/>
          <w:b w:val="0"/>
          <w:sz w:val="32"/>
          <w:szCs w:val="32"/>
        </w:rPr>
        <w:t>发现</w:t>
      </w:r>
      <w:r>
        <w:rPr>
          <w:rFonts w:ascii="Times New Roman" w:eastAsia="仿宋_GB2312" w:hAnsi="Times New Roman" w:hint="eastAsia"/>
          <w:b w:val="0"/>
          <w:sz w:val="32"/>
          <w:szCs w:val="32"/>
          <w:lang w:eastAsia="zh-CN"/>
        </w:rPr>
        <w:t>其他</w:t>
      </w:r>
      <w:r>
        <w:rPr>
          <w:rFonts w:ascii="Times New Roman" w:eastAsia="仿宋_GB2312" w:hAnsi="Times New Roman"/>
          <w:b w:val="0"/>
          <w:sz w:val="32"/>
          <w:szCs w:val="32"/>
        </w:rPr>
        <w:t>问题</w:t>
      </w:r>
      <w:r>
        <w:rPr>
          <w:rFonts w:ascii="Times New Roman" w:eastAsia="仿宋_GB2312" w:hAnsi="Times New Roman" w:hint="eastAsia"/>
          <w:b w:val="0"/>
          <w:sz w:val="32"/>
          <w:szCs w:val="32"/>
          <w:lang w:eastAsia="zh-CN"/>
        </w:rPr>
        <w:t>。</w:t>
      </w: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tbl>
      <w:tblPr>
        <w:jc w:val="center"/>
        <w:tblW w:w="10409" w:type="dxa"/>
        <w:tblBorders>
          <w:top w:val="none" w:sz="0" w:space="0" w:color="auto"/>
          <w:left w:val="none" w:sz="0" w:space="0" w:color="auto"/>
          <w:bottom w:val="none" w:sz="0" w:space="0" w:color="auto"/>
          <w:right w:val="none" w:sz="0" w:space="0" w:color="auto"/>
        </w:tblBorders>
        <w:shd w:val="clear" w:color="auto" w:fill="auto"/>
        <w:tblCellMar>
          <w:top w:w="0" w:type="dxa"/>
          <w:left w:w="108" w:type="dxa"/>
          <w:bottom w:w="0" w:type="dxa"/>
          <w:right w:w="108" w:type="dxa"/>
        </w:tblCellMar>
      </w:tblPr>
      <w:tblGrid>
        <w:gridCol w:w="984"/>
        <w:gridCol w:w="936"/>
        <w:gridCol w:w="1059"/>
        <w:gridCol w:w="957"/>
        <w:gridCol w:w="1106"/>
        <w:gridCol w:w="823"/>
        <w:gridCol w:w="717"/>
        <w:gridCol w:w="629"/>
        <w:gridCol w:w="911"/>
        <w:gridCol w:w="806"/>
        <w:gridCol w:w="852"/>
        <w:gridCol w:w="629"/>
      </w:tblGrid>
      <w:tr>
        <w:trPr>
          <w:trHeight w:val="450"/>
        </w:trPr>
        <w:tc>
          <w:tcPr>
            <w:tcW w:w="10409" w:type="dxa"/>
            <w:gridSpan w:val="12"/>
            <w:vMerge w:val="restart"/>
            <w:tcBorders>
              <w:top w:val="single" w:sz="4" w:space="0" w:color="auto"/>
              <w:left w:val="single" w:sz="4" w:space="0" w:color="auto"/>
              <w:bottom w:val="single" w:sz="4" w:space="0" w:color="auto"/>
              <w:right w:val="single" w:sz="4" w:space="0" w:color="auto"/>
            </w:tcBorders>
            <w:shd w:val="clear" w:color="FFFFFF" w:fill="auto"/>
            <w:vAlign w:val="center"/>
          </w:tcPr>
          <w:p>
            <w:pPr>
              <w:keepNext w:val="0"/>
              <w:keepLines w:val="0"/>
              <w:widowControl/>
              <w:suppressLineNumbers w:val="0"/>
              <w:jc w:val="center"/>
              <w:textAlignment w:val="center"/>
              <w:rPr>
                <w:rFonts w:ascii="宋体" w:eastAsia="宋体" w:cs="宋体"/>
                <w:b/>
                <w:bCs/>
                <w:i w:val="0"/>
                <w:iCs w:val="0"/>
                <w:color w:val="000000"/>
                <w:sz w:val="36"/>
                <w:szCs w:val="36"/>
                <w:u w:val="none"/>
              </w:rPr>
            </w:pPr>
            <w:r>
              <w:rPr>
                <w:rFonts w:ascii="宋体" w:eastAsia="宋体" w:cs="宋体"/>
                <w:b/>
                <w:bCs/>
                <w:i w:val="0"/>
                <w:iCs w:val="0"/>
                <w:color w:val="000000"/>
                <w:kern w:val="0"/>
                <w:sz w:val="36"/>
                <w:szCs w:val="36"/>
                <w:u w:val="none"/>
                <w:lang w:val="en-US" w:eastAsia="zh-CN"/>
              </w:rPr>
              <w:t>2024年度预算项目绩效自评表</w:t>
            </w:r>
          </w:p>
        </w:tc>
      </w:tr>
      <w:tr>
        <w:trPr>
          <w:trHeight w:val="450"/>
        </w:trPr>
        <w:tc>
          <w:tcPr>
            <w:tcW w:w="10409" w:type="dxa"/>
            <w:gridSpan w:val="12"/>
            <w:vMerge/>
            <w:tcBorders>
              <w:top w:val="single" w:sz="4" w:space="0" w:color="auto"/>
              <w:left w:val="single" w:sz="4" w:space="0" w:color="auto"/>
              <w:bottom w:val="single" w:sz="4" w:space="0" w:color="auto"/>
              <w:right w:val="single" w:sz="4" w:space="0" w:color="auto"/>
            </w:tcBorders>
            <w:shd w:val="clear" w:color="FFFFFF" w:fill="auto"/>
            <w:vAlign w:val="center"/>
          </w:tcPr>
          <w:p/>
        </w:tc>
      </w:tr>
      <w:tr>
        <w:trPr>
          <w:trHeight w:val="450"/>
        </w:trPr>
        <w:tc>
          <w:tcPr>
            <w:tcW w:w="9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一、基本情况</w:t>
            </w:r>
          </w:p>
        </w:tc>
        <w:tc>
          <w:tcPr>
            <w:tcW w:w="9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项目名称</w:t>
            </w:r>
          </w:p>
        </w:tc>
        <w:tc>
          <w:tcPr>
            <w:tcW w:w="2016"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统战专项经费</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项目级次</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本级</w:t>
            </w:r>
          </w:p>
        </w:tc>
        <w:tc>
          <w:tcPr>
            <w:tcW w:w="1346"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实施主管单位</w:t>
            </w:r>
          </w:p>
        </w:tc>
        <w:tc>
          <w:tcPr>
            <w:tcW w:w="1717"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 xml:space="preserve">213001 - </w:t>
            </w:r>
            <w:r>
              <w:rPr>
                <w:rFonts w:ascii="宋体" w:eastAsia="宋体" w:cs="宋体" w:hint="eastAsia"/>
                <w:i w:val="0"/>
                <w:iCs w:val="0"/>
                <w:color w:val="000000"/>
                <w:kern w:val="0"/>
                <w:sz w:val="16"/>
                <w:szCs w:val="16"/>
                <w:u w:val="none"/>
                <w:lang w:val="en-US" w:eastAsia="zh-CN"/>
              </w:rPr>
              <w:t>中国共产党涞源县委员会统战部</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金额单位</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万元</w:t>
            </w:r>
          </w:p>
        </w:tc>
      </w:tr>
      <w:tr>
        <w:trPr>
          <w:trHeight w:val="450"/>
        </w:trPr>
        <w:tc>
          <w:tcPr>
            <w:tcW w:w="984"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二、预算执行情况</w:t>
            </w:r>
          </w:p>
        </w:tc>
        <w:tc>
          <w:tcPr>
            <w:tcW w:w="1995"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预算安排情况(调整后)</w:t>
            </w:r>
          </w:p>
        </w:tc>
        <w:tc>
          <w:tcPr>
            <w:tcW w:w="2886"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资金到位情况</w:t>
            </w:r>
          </w:p>
        </w:tc>
        <w:tc>
          <w:tcPr>
            <w:tcW w:w="3063"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资金执行情况</w:t>
            </w:r>
          </w:p>
        </w:tc>
        <w:tc>
          <w:tcPr>
            <w:tcW w:w="1481"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预算执行进度(%)</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预算数</w:t>
            </w: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4.000000</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到位数</w:t>
            </w:r>
          </w:p>
        </w:tc>
        <w:tc>
          <w:tcPr>
            <w:tcW w:w="1929"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4.000000</w:t>
            </w:r>
          </w:p>
        </w:tc>
        <w:tc>
          <w:tcPr>
            <w:tcW w:w="1346"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执行数</w:t>
            </w:r>
          </w:p>
        </w:tc>
        <w:tc>
          <w:tcPr>
            <w:tcW w:w="1717"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4.000000</w:t>
            </w:r>
          </w:p>
        </w:tc>
        <w:tc>
          <w:tcPr>
            <w:tcW w:w="1481" w:type="dxa"/>
            <w:gridSpan w:val="2"/>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4.000000</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929"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4.000000</w:t>
            </w:r>
          </w:p>
        </w:tc>
        <w:tc>
          <w:tcPr>
            <w:tcW w:w="1346"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717"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4.000000</w:t>
            </w:r>
          </w:p>
        </w:tc>
        <w:tc>
          <w:tcPr>
            <w:tcW w:w="1481" w:type="dxa"/>
            <w:gridSpan w:val="2"/>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929"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346"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717"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481" w:type="dxa"/>
            <w:gridSpan w:val="2"/>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84"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三、目标完成情况</w:t>
            </w:r>
          </w:p>
        </w:tc>
        <w:tc>
          <w:tcPr>
            <w:tcW w:w="4058"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年度预期目标</w:t>
            </w:r>
          </w:p>
        </w:tc>
        <w:tc>
          <w:tcPr>
            <w:tcW w:w="3886"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具体完成情况</w:t>
            </w:r>
          </w:p>
        </w:tc>
        <w:tc>
          <w:tcPr>
            <w:tcW w:w="1481"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总体完成率(%)</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4058"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统战工作正常开展</w:t>
            </w:r>
            <w:r>
              <w:rPr>
                <w:rFonts w:ascii="Arial" w:eastAsia="宋体" w:cs="Arial" w:hAnsi="Arial"/>
                <w:i w:val="0"/>
                <w:iCs w:val="0"/>
                <w:color w:val="000000"/>
                <w:kern w:val="0"/>
                <w:sz w:val="16"/>
                <w:szCs w:val="16"/>
                <w:u w:val="none"/>
                <w:lang w:val="en-US" w:eastAsia="zh-CN"/>
              </w:rPr>
              <w:t xml:space="preserve"> </w:t>
            </w:r>
          </w:p>
        </w:tc>
        <w:tc>
          <w:tcPr>
            <w:tcW w:w="3886"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1481"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100.00</w:t>
            </w:r>
          </w:p>
        </w:tc>
      </w:tr>
      <w:tr>
        <w:trPr>
          <w:trHeight w:val="450"/>
        </w:trPr>
        <w:tc>
          <w:tcPr>
            <w:tcW w:w="984"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四、年度绩效</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指标完成情况</w:t>
            </w:r>
          </w:p>
        </w:tc>
        <w:tc>
          <w:tcPr>
            <w:tcW w:w="93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一级指标</w:t>
            </w:r>
          </w:p>
        </w:tc>
        <w:tc>
          <w:tcPr>
            <w:tcW w:w="1059"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二级指标</w:t>
            </w:r>
          </w:p>
        </w:tc>
        <w:tc>
          <w:tcPr>
            <w:tcW w:w="957"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三级指标</w:t>
            </w:r>
          </w:p>
        </w:tc>
        <w:tc>
          <w:tcPr>
            <w:tcW w:w="110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指标说明</w:t>
            </w:r>
          </w:p>
        </w:tc>
        <w:tc>
          <w:tcPr>
            <w:tcW w:w="823"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指标分值</w:t>
            </w:r>
          </w:p>
        </w:tc>
        <w:tc>
          <w:tcPr>
            <w:tcW w:w="2257"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预期指标值</w:t>
            </w:r>
          </w:p>
        </w:tc>
        <w:tc>
          <w:tcPr>
            <w:tcW w:w="80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单项指标实际完成值</w:t>
            </w:r>
          </w:p>
        </w:tc>
        <w:tc>
          <w:tcPr>
            <w:tcW w:w="85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单项指标完成情况</w:t>
            </w:r>
          </w:p>
        </w:tc>
        <w:tc>
          <w:tcPr>
            <w:tcW w:w="629"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自评得分</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tcBorders>
              <w:top w:val="single" w:sz="4" w:space="0" w:color="auto"/>
              <w:left w:val="single" w:sz="4" w:space="0" w:color="auto"/>
              <w:bottom w:val="single" w:sz="4" w:space="0" w:color="auto"/>
              <w:right w:val="single" w:sz="4" w:space="0" w:color="auto"/>
            </w:tcBorders>
            <w:shd w:val="clear" w:color="FFFFFF" w:fill="auto"/>
          </w:tcPr>
          <w:p/>
        </w:tc>
        <w:tc>
          <w:tcPr>
            <w:tcW w:w="1059" w:type="dxa"/>
            <w:vMerge/>
            <w:tcBorders>
              <w:top w:val="single" w:sz="4" w:space="0" w:color="auto"/>
              <w:left w:val="single" w:sz="4" w:space="0" w:color="auto"/>
              <w:bottom w:val="single" w:sz="4" w:space="0" w:color="auto"/>
              <w:right w:val="single" w:sz="4" w:space="0" w:color="auto"/>
            </w:tcBorders>
            <w:shd w:val="clear" w:color="FFFFFF" w:fill="auto"/>
          </w:tcPr>
          <w:p/>
        </w:tc>
        <w:tc>
          <w:tcPr>
            <w:tcW w:w="957" w:type="dxa"/>
            <w:vMerge/>
            <w:tcBorders>
              <w:top w:val="single" w:sz="4" w:space="0" w:color="auto"/>
              <w:left w:val="single" w:sz="4" w:space="0" w:color="auto"/>
              <w:bottom w:val="single" w:sz="4" w:space="0" w:color="auto"/>
              <w:right w:val="single" w:sz="4" w:space="0" w:color="auto"/>
            </w:tcBorders>
            <w:shd w:val="clear" w:color="FFFFFF" w:fill="auto"/>
          </w:tcPr>
          <w:p/>
        </w:tc>
        <w:tc>
          <w:tcPr>
            <w:tcW w:w="1106" w:type="dxa"/>
            <w:vMerge/>
            <w:tcBorders>
              <w:top w:val="single" w:sz="4" w:space="0" w:color="auto"/>
              <w:left w:val="single" w:sz="4" w:space="0" w:color="auto"/>
              <w:bottom w:val="single" w:sz="4" w:space="0" w:color="auto"/>
              <w:right w:val="single" w:sz="4" w:space="0" w:color="auto"/>
            </w:tcBorders>
            <w:shd w:val="clear" w:color="FFFFFF" w:fill="auto"/>
          </w:tcPr>
          <w:p/>
        </w:tc>
        <w:tc>
          <w:tcPr>
            <w:tcW w:w="823" w:type="dxa"/>
            <w:vMerge/>
            <w:tcBorders>
              <w:top w:val="single" w:sz="4" w:space="0" w:color="auto"/>
              <w:left w:val="single" w:sz="4" w:space="0" w:color="auto"/>
              <w:bottom w:val="single" w:sz="4" w:space="0" w:color="auto"/>
              <w:right w:val="single" w:sz="4" w:space="0" w:color="auto"/>
            </w:tcBorders>
            <w:shd w:val="clear" w:color="FFFFFF" w:fill="auto"/>
          </w:tcP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符号</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值</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单位(文字描述)</w:t>
            </w:r>
          </w:p>
        </w:tc>
        <w:tc>
          <w:tcPr>
            <w:tcW w:w="806" w:type="dxa"/>
            <w:vMerge/>
            <w:tcBorders>
              <w:top w:val="single" w:sz="4" w:space="0" w:color="auto"/>
              <w:left w:val="single" w:sz="4" w:space="0" w:color="auto"/>
              <w:bottom w:val="single" w:sz="4" w:space="0" w:color="auto"/>
              <w:right w:val="single" w:sz="4" w:space="0" w:color="auto"/>
            </w:tcBorders>
            <w:shd w:val="clear" w:color="FFFFFF" w:fill="auto"/>
          </w:tcPr>
          <w:p/>
        </w:tc>
        <w:tc>
          <w:tcPr>
            <w:tcW w:w="852" w:type="dxa"/>
            <w:vMerge/>
            <w:tcBorders>
              <w:top w:val="single" w:sz="4" w:space="0" w:color="auto"/>
              <w:left w:val="single" w:sz="4" w:space="0" w:color="auto"/>
              <w:bottom w:val="single" w:sz="4" w:space="0" w:color="auto"/>
              <w:right w:val="single" w:sz="4" w:space="0" w:color="auto"/>
            </w:tcBorders>
            <w:shd w:val="clear" w:color="FFFFFF" w:fill="auto"/>
          </w:tcPr>
          <w:p/>
        </w:tc>
        <w:tc>
          <w:tcPr>
            <w:tcW w:w="629" w:type="dxa"/>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产出指标</w:t>
            </w: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数量指标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举办活动场次</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举办活动场次</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次</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tcBorders>
              <w:top w:val="single" w:sz="4" w:space="0" w:color="auto"/>
              <w:left w:val="single" w:sz="4" w:space="0" w:color="auto"/>
              <w:bottom w:val="single" w:sz="4" w:space="0" w:color="auto"/>
              <w:right w:val="single" w:sz="4" w:space="0" w:color="auto"/>
            </w:tcBorders>
            <w:shd w:val="clear" w:color="FFFFFF" w:fill="auto"/>
          </w:tcP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质量指标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成功举办</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参与活动人数与预计人数的比例</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tcBorders>
              <w:top w:val="single" w:sz="4" w:space="0" w:color="auto"/>
              <w:left w:val="single" w:sz="4" w:space="0" w:color="auto"/>
              <w:bottom w:val="single" w:sz="4" w:space="0" w:color="auto"/>
              <w:right w:val="single" w:sz="4" w:space="0" w:color="auto"/>
            </w:tcBorders>
            <w:shd w:val="clear" w:color="FFFFFF" w:fill="auto"/>
          </w:tcP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时效指标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活动完成时限</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举办活动及时率</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tcBorders>
              <w:top w:val="single" w:sz="4" w:space="0" w:color="auto"/>
              <w:left w:val="single" w:sz="4" w:space="0" w:color="auto"/>
              <w:bottom w:val="single" w:sz="4" w:space="0" w:color="auto"/>
              <w:right w:val="single" w:sz="4" w:space="0" w:color="auto"/>
            </w:tcBorders>
            <w:shd w:val="clear" w:color="FFFFFF" w:fill="auto"/>
          </w:tcP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成本指标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效益指标</w:t>
            </w: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tcBorders>
              <w:top w:val="single" w:sz="4" w:space="0" w:color="auto"/>
              <w:left w:val="single" w:sz="4" w:space="0" w:color="auto"/>
              <w:bottom w:val="single" w:sz="4" w:space="0" w:color="auto"/>
              <w:right w:val="single" w:sz="4" w:space="0" w:color="auto"/>
            </w:tcBorders>
            <w:shd w:val="clear" w:color="FFFFFF" w:fill="auto"/>
          </w:tcP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社会效益指标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影响较好</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较好</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tcBorders>
              <w:top w:val="single" w:sz="4" w:space="0" w:color="auto"/>
              <w:left w:val="single" w:sz="4" w:space="0" w:color="auto"/>
              <w:bottom w:val="single" w:sz="4" w:space="0" w:color="auto"/>
              <w:right w:val="single" w:sz="4" w:space="0" w:color="auto"/>
            </w:tcBorders>
            <w:shd w:val="clear" w:color="FFFFFF" w:fill="auto"/>
          </w:tcP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生态效益指标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促进生态文明建设，推动绿色发展和绿色生活方式</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有效推进</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推进</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vMerge/>
            <w:tcBorders>
              <w:top w:val="single" w:sz="4" w:space="0" w:color="auto"/>
              <w:left w:val="single" w:sz="4" w:space="0" w:color="auto"/>
              <w:bottom w:val="single" w:sz="4" w:space="0" w:color="auto"/>
              <w:right w:val="single" w:sz="4" w:space="0" w:color="auto"/>
            </w:tcBorders>
            <w:shd w:val="clear" w:color="FFFFFF" w:fill="auto"/>
          </w:tcP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可持续影响指标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满意度指标</w:t>
            </w: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服务对象满意度指标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Fonts w:ascii="宋体" w:eastAsia="宋体" w:cs="宋体" w:hint="eastAsia"/>
                <w:i w:val="0"/>
                <w:iCs w:val="0"/>
                <w:color w:val="000000"/>
                <w:kern w:val="0"/>
                <w:sz w:val="16"/>
                <w:szCs w:val="16"/>
                <w:u w:val="none"/>
                <w:lang w:val="en-US" w:eastAsia="zh-CN"/>
              </w:rPr>
              <w:t>）</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Fonts w:ascii="宋体" w:eastAsia="宋体" w:cs="宋体" w:hint="eastAsia"/>
                <w:i w:val="0"/>
                <w:iCs w:val="0"/>
                <w:color w:val="000000"/>
                <w:kern w:val="0"/>
                <w:sz w:val="16"/>
                <w:szCs w:val="16"/>
                <w:u w:val="none"/>
                <w:lang w:val="en-US" w:eastAsia="zh-CN"/>
              </w:rPr>
              <w:t>）</w:t>
            </w: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预算执行率</w:t>
            </w:r>
          </w:p>
        </w:tc>
        <w:tc>
          <w:tcPr>
            <w:tcW w:w="105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957"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2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c>
          <w:tcPr>
            <w:tcW w:w="717"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911"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0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52"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629"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自评总分</w:t>
            </w:r>
          </w:p>
        </w:tc>
        <w:tc>
          <w:tcPr>
            <w:tcW w:w="8489" w:type="dxa"/>
            <w:gridSpan w:val="10"/>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r>
      <w:tr>
        <w:trPr>
          <w:trHeight w:val="450"/>
        </w:trPr>
        <w:tc>
          <w:tcPr>
            <w:tcW w:w="984"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五、存在问题</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原因及整改措施</w:t>
            </w:r>
          </w:p>
        </w:tc>
        <w:tc>
          <w:tcPr>
            <w:tcW w:w="9425" w:type="dxa"/>
            <w:gridSpan w:val="11"/>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无</w:t>
            </w:r>
          </w:p>
        </w:tc>
      </w:tr>
      <w:tr>
        <w:trPr>
          <w:trHeight w:val="450"/>
        </w:trPr>
        <w:tc>
          <w:tcPr>
            <w:tcW w:w="984" w:type="dxa"/>
            <w:vMerge/>
            <w:tcBorders>
              <w:top w:val="single" w:sz="4" w:space="0" w:color="auto"/>
              <w:left w:val="single" w:sz="4" w:space="0" w:color="auto"/>
              <w:bottom w:val="single" w:sz="4" w:space="0" w:color="auto"/>
              <w:right w:val="single" w:sz="4" w:space="0" w:color="auto"/>
            </w:tcBorders>
            <w:shd w:val="clear" w:color="FFFFFF" w:fill="auto"/>
          </w:tcPr>
          <w:p/>
        </w:tc>
        <w:tc>
          <w:tcPr>
            <w:tcW w:w="9425" w:type="dxa"/>
            <w:gridSpan w:val="11"/>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填报人:</w:t>
            </w:r>
          </w:p>
        </w:tc>
        <w:tc>
          <w:tcPr>
            <w:tcW w:w="2952"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谢小娟</w:t>
            </w:r>
          </w:p>
        </w:tc>
        <w:tc>
          <w:tcPr>
            <w:tcW w:w="110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联系电话:</w:t>
            </w:r>
          </w:p>
        </w:tc>
        <w:tc>
          <w:tcPr>
            <w:tcW w:w="5367" w:type="dxa"/>
            <w:gridSpan w:val="7"/>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7313648</w:t>
            </w:r>
          </w:p>
        </w:tc>
      </w:tr>
    </w:tbl>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firstLineChars="200" w:firstLine="640"/>
        <w:jc w:val="left"/>
        <w:rPr>
          <w:rFonts w:ascii="Times New Roman" w:eastAsia="仿宋_GB2312" w:hAnsi="Times New Roman" w:hint="eastAsia"/>
          <w:b w:val="0"/>
          <w:sz w:val="32"/>
          <w:szCs w:val="32"/>
          <w:lang w:eastAsia="zh-CN"/>
        </w:rPr>
      </w:pPr>
      <w:r>
        <w:rPr>
          <w:rFonts w:ascii="Times New Roman" w:eastAsia="仿宋_GB2312" w:hAnsi="Times New Roman" w:hint="eastAsia"/>
          <w:b w:val="0"/>
          <w:sz w:val="32"/>
          <w:szCs w:val="32"/>
          <w:lang w:eastAsia="zh-CN"/>
        </w:rPr>
        <w:t>项目三、“</w:t>
      </w:r>
      <w:r>
        <w:rPr>
          <w:rFonts w:ascii="仿宋_GB2312" w:eastAsia="仿宋_GB2312" w:cs="仿宋_GB2312" w:hint="eastAsia"/>
          <w:i w:val="0"/>
          <w:iCs w:val="0"/>
          <w:color w:val="000000"/>
          <w:kern w:val="0"/>
          <w:sz w:val="32"/>
          <w:szCs w:val="32"/>
          <w:u w:val="none"/>
          <w:lang w:val="en-US" w:eastAsia="zh-CN"/>
        </w:rPr>
        <w:t>涉台教育专项经费</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绩效自评情况：根据年初设定的绩效目标，项目绩效自评得分</w:t>
      </w:r>
      <w:r>
        <w:rPr>
          <w:rFonts w:ascii="Times New Roman" w:eastAsia="仿宋_GB2312" w:hAnsi="Times New Roman" w:hint="eastAsia"/>
          <w:b w:val="0"/>
          <w:sz w:val="32"/>
          <w:szCs w:val="32"/>
          <w:lang w:val="en-US" w:eastAsia="zh-CN"/>
        </w:rPr>
        <w:t>989分</w:t>
      </w:r>
      <w:r>
        <w:rPr>
          <w:rFonts w:ascii="Times New Roman" w:eastAsia="仿宋_GB2312" w:hAnsi="Times New Roman"/>
          <w:b w:val="0"/>
          <w:sz w:val="32"/>
          <w:szCs w:val="32"/>
        </w:rPr>
        <w:t>（绩效自评表附后）。全年预算数为</w:t>
      </w:r>
      <w:r>
        <w:rPr>
          <w:rFonts w:ascii="Times New Roman" w:eastAsia="仿宋_GB2312" w:hAnsi="Times New Roman" w:hint="eastAsia"/>
          <w:b w:val="0"/>
          <w:sz w:val="32"/>
          <w:szCs w:val="32"/>
          <w:lang w:val="en-US" w:eastAsia="zh-CN"/>
        </w:rPr>
        <w:t>0.5</w:t>
      </w:r>
      <w:r>
        <w:rPr>
          <w:rFonts w:ascii="Times New Roman" w:eastAsia="仿宋_GB2312" w:hAnsi="Times New Roman"/>
          <w:b w:val="0"/>
          <w:sz w:val="32"/>
          <w:szCs w:val="32"/>
        </w:rPr>
        <w:t>万元，执行数为</w:t>
      </w:r>
      <w:r>
        <w:rPr>
          <w:rFonts w:ascii="Times New Roman" w:eastAsia="仿宋_GB2312" w:hAnsi="Times New Roman" w:hint="eastAsia"/>
          <w:b w:val="0"/>
          <w:sz w:val="32"/>
          <w:szCs w:val="32"/>
          <w:lang w:val="en-US" w:eastAsia="zh-CN"/>
        </w:rPr>
        <w:t>0.5</w:t>
      </w:r>
      <w:r>
        <w:rPr>
          <w:rFonts w:ascii="Times New Roman" w:eastAsia="仿宋_GB2312" w:hAnsi="Times New Roman"/>
          <w:b w:val="0"/>
          <w:sz w:val="32"/>
          <w:szCs w:val="32"/>
        </w:rPr>
        <w:t>万元，完成预算的</w:t>
      </w:r>
      <w:r>
        <w:rPr>
          <w:rFonts w:ascii="Times New Roman" w:eastAsia="仿宋_GB2312" w:hAnsi="Times New Roman" w:hint="eastAsia"/>
          <w:b w:val="0"/>
          <w:sz w:val="32"/>
          <w:szCs w:val="32"/>
          <w:lang w:val="en-US" w:eastAsia="zh-CN"/>
        </w:rPr>
        <w:t>100</w:t>
      </w:r>
      <w:r>
        <w:rPr>
          <w:rFonts w:ascii="Times New Roman" w:eastAsia="仿宋_GB2312" w:hAnsi="Times New Roman"/>
          <w:b w:val="0"/>
          <w:sz w:val="32"/>
          <w:szCs w:val="32"/>
        </w:rPr>
        <w:t>%。项目绩效目标</w:t>
      </w:r>
      <w:r>
        <w:rPr>
          <w:rFonts w:ascii="Times New Roman" w:eastAsia="仿宋_GB2312" w:hAnsi="Times New Roman" w:hint="eastAsia"/>
          <w:b w:val="0"/>
          <w:sz w:val="32"/>
          <w:szCs w:val="32"/>
          <w:lang w:eastAsia="zh-CN"/>
        </w:rPr>
        <w:t>均已完成</w:t>
      </w:r>
      <w:r>
        <w:rPr>
          <w:rFonts w:ascii="Times New Roman" w:eastAsia="仿宋_GB2312" w:hAnsi="Times New Roman"/>
          <w:b w:val="0"/>
          <w:sz w:val="32"/>
          <w:szCs w:val="32"/>
        </w:rPr>
        <w:t>。</w:t>
      </w:r>
      <w:r>
        <w:rPr>
          <w:rFonts w:ascii="Times New Roman" w:eastAsia="仿宋_GB2312" w:hAnsi="Times New Roman" w:hint="eastAsia"/>
          <w:b w:val="0"/>
          <w:sz w:val="32"/>
          <w:szCs w:val="32"/>
          <w:lang w:eastAsia="zh-CN"/>
        </w:rPr>
        <w:t>未</w:t>
      </w:r>
      <w:r>
        <w:rPr>
          <w:rFonts w:ascii="Times New Roman" w:eastAsia="仿宋_GB2312" w:hAnsi="Times New Roman"/>
          <w:b w:val="0"/>
          <w:sz w:val="32"/>
          <w:szCs w:val="32"/>
        </w:rPr>
        <w:t>发现</w:t>
      </w:r>
      <w:r>
        <w:rPr>
          <w:rFonts w:ascii="Times New Roman" w:eastAsia="仿宋_GB2312" w:hAnsi="Times New Roman" w:hint="eastAsia"/>
          <w:b w:val="0"/>
          <w:sz w:val="32"/>
          <w:szCs w:val="32"/>
          <w:lang w:eastAsia="zh-CN"/>
        </w:rPr>
        <w:t>其他</w:t>
      </w:r>
      <w:r>
        <w:rPr>
          <w:rFonts w:ascii="Times New Roman" w:eastAsia="仿宋_GB2312" w:hAnsi="Times New Roman"/>
          <w:b w:val="0"/>
          <w:sz w:val="32"/>
          <w:szCs w:val="32"/>
        </w:rPr>
        <w:t>问题</w:t>
      </w:r>
      <w:r>
        <w:rPr>
          <w:rFonts w:ascii="Times New Roman" w:eastAsia="仿宋_GB2312" w:hAnsi="Times New Roman" w:hint="eastAsia"/>
          <w:b w:val="0"/>
          <w:sz w:val="32"/>
          <w:szCs w:val="32"/>
          <w:lang w:eastAsia="zh-CN"/>
        </w:rPr>
        <w:t>。</w:t>
      </w:r>
    </w:p>
    <w:tbl>
      <w:tblPr>
        <w:tblpPr w:leftFromText="180" w:rightFromText="180" w:vertAnchor="text" w:horzAnchor="page" w:tblpXSpec="center" w:tblpY="655"/>
        <w:tblOverlap w:val="never"/>
        <w:tblW w:w="10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948"/>
        <w:gridCol w:w="1020"/>
        <w:gridCol w:w="982"/>
        <w:gridCol w:w="1026"/>
        <w:gridCol w:w="1125"/>
        <w:gridCol w:w="853"/>
        <w:gridCol w:w="840"/>
        <w:gridCol w:w="598"/>
        <w:gridCol w:w="829"/>
        <w:gridCol w:w="731"/>
        <w:gridCol w:w="720"/>
        <w:gridCol w:w="587"/>
      </w:tblGrid>
      <w:tr>
        <w:trPr>
          <w:trHeight w:val="450"/>
        </w:trPr>
        <w:tc>
          <w:tcPr>
            <w:tcW w:w="10259" w:type="dxa"/>
            <w:gridSpan w:val="12"/>
            <w:vMerge w:val="restart"/>
            <w:shd w:val="clear" w:color="auto" w:fill="auto"/>
            <w:vAlign w:val="center"/>
          </w:tcPr>
          <w:p>
            <w:pPr>
              <w:keepNext w:val="0"/>
              <w:keepLines w:val="0"/>
              <w:widowControl/>
              <w:suppressLineNumbers w:val="0"/>
              <w:jc w:val="center"/>
              <w:textAlignment w:val="center"/>
              <w:rPr>
                <w:rFonts w:ascii="宋体" w:eastAsia="宋体" w:cs="宋体"/>
                <w:b/>
                <w:bCs/>
                <w:i w:val="0"/>
                <w:iCs w:val="0"/>
                <w:color w:val="000000"/>
                <w:sz w:val="36"/>
                <w:szCs w:val="36"/>
                <w:u w:val="none"/>
              </w:rPr>
            </w:pPr>
            <w:r>
              <w:rPr>
                <w:rFonts w:ascii="宋体" w:eastAsia="宋体" w:cs="宋体"/>
                <w:b/>
                <w:bCs/>
                <w:i w:val="0"/>
                <w:iCs w:val="0"/>
                <w:color w:val="000000"/>
                <w:kern w:val="0"/>
                <w:sz w:val="36"/>
                <w:szCs w:val="36"/>
                <w:u w:val="none"/>
                <w:lang w:val="en-US" w:eastAsia="zh-CN"/>
              </w:rPr>
              <w:t>2024年度预算项目绩效自评表</w:t>
            </w:r>
          </w:p>
        </w:tc>
      </w:tr>
      <w:tr>
        <w:trPr>
          <w:trHeight w:val="450"/>
        </w:trPr>
        <w:tc>
          <w:tcPr>
            <w:tcW w:w="10259" w:type="dxa"/>
            <w:gridSpan w:val="12"/>
            <w:vMerge/>
            <w:tcBorders>
              <w:top w:val="single" w:sz="4" w:space="0" w:color="auto"/>
              <w:left w:val="single" w:sz="4" w:space="0" w:color="auto"/>
              <w:right w:val="single" w:sz="4" w:space="0" w:color="auto"/>
            </w:tcBorders>
            <w:shd w:val="clear" w:color="auto" w:fill="auto"/>
            <w:vAlign w:val="center"/>
          </w:tcPr>
          <w:p/>
        </w:tc>
      </w:tr>
      <w:tr>
        <w:trPr>
          <w:trHeight w:val="840"/>
        </w:trPr>
        <w:tc>
          <w:tcPr>
            <w:tcW w:w="948"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一、基本情况</w:t>
            </w:r>
          </w:p>
        </w:tc>
        <w:tc>
          <w:tcPr>
            <w:tcW w:w="1020"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项目名称</w:t>
            </w:r>
          </w:p>
        </w:tc>
        <w:tc>
          <w:tcPr>
            <w:tcW w:w="200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涉台教育专项经费</w:t>
            </w:r>
          </w:p>
        </w:tc>
        <w:tc>
          <w:tcPr>
            <w:tcW w:w="1125"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项目级次</w:t>
            </w:r>
          </w:p>
        </w:tc>
        <w:tc>
          <w:tcPr>
            <w:tcW w:w="853"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本级</w:t>
            </w:r>
          </w:p>
        </w:tc>
        <w:tc>
          <w:tcPr>
            <w:tcW w:w="143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实施主管单位</w:t>
            </w:r>
          </w:p>
        </w:tc>
        <w:tc>
          <w:tcPr>
            <w:tcW w:w="1560"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 xml:space="preserve">213001 - </w:t>
            </w:r>
            <w:r>
              <w:rPr>
                <w:rStyle w:val="29"/>
                <w:lang w:val="en-US" w:eastAsia="zh-CN"/>
              </w:rPr>
              <w:t>中国共产党涞源县委员会统战部</w:t>
            </w:r>
          </w:p>
        </w:tc>
        <w:tc>
          <w:tcPr>
            <w:tcW w:w="720"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金额单位</w:t>
            </w:r>
          </w:p>
        </w:tc>
        <w:tc>
          <w:tcPr>
            <w:tcW w:w="587"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万元</w:t>
            </w:r>
          </w:p>
        </w:tc>
      </w:tr>
      <w:tr>
        <w:trPr>
          <w:trHeight w:val="450"/>
        </w:trPr>
        <w:tc>
          <w:tcPr>
            <w:tcW w:w="948" w:type="dxa"/>
            <w:vMerge w:val="restart"/>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二、预算执行情况</w:t>
            </w:r>
          </w:p>
        </w:tc>
        <w:tc>
          <w:tcPr>
            <w:tcW w:w="2002"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预算安排情况(调整后)</w:t>
            </w:r>
          </w:p>
        </w:tc>
        <w:tc>
          <w:tcPr>
            <w:tcW w:w="3004" w:type="dxa"/>
            <w:gridSpan w:val="3"/>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资金到位情况</w:t>
            </w:r>
          </w:p>
        </w:tc>
        <w:tc>
          <w:tcPr>
            <w:tcW w:w="2998" w:type="dxa"/>
            <w:gridSpan w:val="4"/>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资金执行情况</w:t>
            </w:r>
          </w:p>
        </w:tc>
        <w:tc>
          <w:tcPr>
            <w:tcW w:w="1307"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预算执行进度(%)</w:t>
            </w:r>
          </w:p>
        </w:tc>
      </w:tr>
      <w:tr>
        <w:trPr>
          <w:trHeight w:val="500"/>
        </w:trPr>
        <w:tc>
          <w:tcPr>
            <w:tcW w:w="948" w:type="dxa"/>
            <w:vMerge/>
            <w:tcBorders>
              <w:top w:val="single" w:sz="4" w:space="0" w:color="auto"/>
              <w:left w:val="single" w:sz="4" w:space="0" w:color="auto"/>
              <w:right w:val="single" w:sz="4" w:space="0" w:color="auto"/>
            </w:tcBorders>
            <w:shd w:val="clear" w:color="auto" w:fill="auto"/>
          </w:tcPr>
          <w:p/>
        </w:tc>
        <w:tc>
          <w:tcPr>
            <w:tcW w:w="1020"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预算数</w:t>
            </w:r>
          </w:p>
        </w:tc>
        <w:tc>
          <w:tcPr>
            <w:tcW w:w="982"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0.500000</w:t>
            </w:r>
          </w:p>
        </w:tc>
        <w:tc>
          <w:tcPr>
            <w:tcW w:w="1026"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到位数</w:t>
            </w:r>
          </w:p>
        </w:tc>
        <w:tc>
          <w:tcPr>
            <w:tcW w:w="197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0.500000</w:t>
            </w:r>
          </w:p>
        </w:tc>
        <w:tc>
          <w:tcPr>
            <w:tcW w:w="143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执行数</w:t>
            </w:r>
          </w:p>
        </w:tc>
        <w:tc>
          <w:tcPr>
            <w:tcW w:w="1560"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0.500000</w:t>
            </w:r>
          </w:p>
        </w:tc>
        <w:tc>
          <w:tcPr>
            <w:tcW w:w="1307" w:type="dxa"/>
            <w:gridSpan w:val="2"/>
            <w:vMerge w:val="restart"/>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r>
      <w:tr>
        <w:trPr>
          <w:trHeight w:val="540"/>
        </w:trPr>
        <w:tc>
          <w:tcPr>
            <w:tcW w:w="948" w:type="dxa"/>
            <w:vMerge/>
            <w:tcBorders>
              <w:top w:val="single" w:sz="4" w:space="0" w:color="auto"/>
              <w:left w:val="single" w:sz="4" w:space="0" w:color="auto"/>
              <w:right w:val="single" w:sz="4" w:space="0" w:color="auto"/>
            </w:tcBorders>
            <w:shd w:val="clear" w:color="auto" w:fill="auto"/>
          </w:tcPr>
          <w:p/>
        </w:tc>
        <w:tc>
          <w:tcPr>
            <w:tcW w:w="1020"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982"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0.500000</w:t>
            </w:r>
          </w:p>
        </w:tc>
        <w:tc>
          <w:tcPr>
            <w:tcW w:w="1026"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97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0.500000</w:t>
            </w:r>
          </w:p>
        </w:tc>
        <w:tc>
          <w:tcPr>
            <w:tcW w:w="143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560"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0.500000</w:t>
            </w:r>
          </w:p>
        </w:tc>
        <w:tc>
          <w:tcPr>
            <w:tcW w:w="1307" w:type="dxa"/>
            <w:gridSpan w:val="2"/>
            <w:vMerge/>
            <w:tcBorders>
              <w:top w:val="single" w:sz="4" w:space="0" w:color="auto"/>
              <w:left w:val="single" w:sz="4" w:space="0" w:color="auto"/>
              <w:right w:val="single" w:sz="4" w:space="0" w:color="auto"/>
            </w:tcBorders>
            <w:shd w:val="clear" w:color="auto" w:fill="auto"/>
          </w:tcP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982"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026"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97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438"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560"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307" w:type="dxa"/>
            <w:gridSpan w:val="2"/>
            <w:vMerge/>
            <w:tcBorders>
              <w:top w:val="single" w:sz="4" w:space="0" w:color="auto"/>
              <w:left w:val="single" w:sz="4" w:space="0" w:color="auto"/>
              <w:right w:val="single" w:sz="4" w:space="0" w:color="auto"/>
            </w:tcBorders>
            <w:shd w:val="clear" w:color="auto" w:fill="auto"/>
          </w:tcPr>
          <w:p/>
        </w:tc>
      </w:tr>
      <w:tr>
        <w:trPr>
          <w:trHeight w:val="450"/>
        </w:trPr>
        <w:tc>
          <w:tcPr>
            <w:tcW w:w="948" w:type="dxa"/>
            <w:vMerge w:val="restart"/>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三、目标完成情况</w:t>
            </w:r>
          </w:p>
        </w:tc>
        <w:tc>
          <w:tcPr>
            <w:tcW w:w="4153" w:type="dxa"/>
            <w:gridSpan w:val="4"/>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年度预期目标</w:t>
            </w:r>
          </w:p>
        </w:tc>
        <w:tc>
          <w:tcPr>
            <w:tcW w:w="3851" w:type="dxa"/>
            <w:gridSpan w:val="5"/>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具体完成情况</w:t>
            </w:r>
          </w:p>
        </w:tc>
        <w:tc>
          <w:tcPr>
            <w:tcW w:w="1307"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总体完成率(%)</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4153" w:type="dxa"/>
            <w:gridSpan w:val="4"/>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维护国家统一</w:t>
            </w:r>
          </w:p>
        </w:tc>
        <w:tc>
          <w:tcPr>
            <w:tcW w:w="3851" w:type="dxa"/>
            <w:gridSpan w:val="5"/>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1307" w:type="dxa"/>
            <w:gridSpan w:val="2"/>
            <w:tcBorders>
              <w:top w:val="single" w:sz="4" w:space="0" w:color="auto"/>
              <w:left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100.00</w:t>
            </w:r>
          </w:p>
        </w:tc>
      </w:tr>
      <w:tr>
        <w:trPr>
          <w:trHeight w:val="450"/>
        </w:trPr>
        <w:tc>
          <w:tcPr>
            <w:tcW w:w="948" w:type="dxa"/>
            <w:vMerge w:val="restart"/>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四、年度绩效</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指标完成情况</w:t>
            </w:r>
          </w:p>
        </w:tc>
        <w:tc>
          <w:tcPr>
            <w:tcW w:w="1020"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一级指标</w:t>
            </w:r>
          </w:p>
        </w:tc>
        <w:tc>
          <w:tcPr>
            <w:tcW w:w="982"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二级指标</w:t>
            </w:r>
          </w:p>
        </w:tc>
        <w:tc>
          <w:tcPr>
            <w:tcW w:w="1026"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三级指标</w:t>
            </w:r>
          </w:p>
        </w:tc>
        <w:tc>
          <w:tcPr>
            <w:tcW w:w="1125"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指标说明</w:t>
            </w:r>
          </w:p>
        </w:tc>
        <w:tc>
          <w:tcPr>
            <w:tcW w:w="853"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指标分值</w:t>
            </w:r>
          </w:p>
        </w:tc>
        <w:tc>
          <w:tcPr>
            <w:tcW w:w="2267" w:type="dxa"/>
            <w:gridSpan w:val="3"/>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预期指标值</w:t>
            </w:r>
          </w:p>
        </w:tc>
        <w:tc>
          <w:tcPr>
            <w:tcW w:w="731"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单项指标实际完成值</w:t>
            </w:r>
          </w:p>
        </w:tc>
        <w:tc>
          <w:tcPr>
            <w:tcW w:w="720"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单项指标完成情况</w:t>
            </w:r>
          </w:p>
        </w:tc>
        <w:tc>
          <w:tcPr>
            <w:tcW w:w="587"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自评得分</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tcBorders>
              <w:top w:val="single" w:sz="4" w:space="0" w:color="auto"/>
              <w:left w:val="single" w:sz="4" w:space="0" w:color="auto"/>
              <w:right w:val="single" w:sz="4" w:space="0" w:color="auto"/>
            </w:tcBorders>
            <w:shd w:val="clear" w:color="FFFFFF" w:fill="auto"/>
          </w:tcPr>
          <w:p/>
        </w:tc>
        <w:tc>
          <w:tcPr>
            <w:tcW w:w="982" w:type="dxa"/>
            <w:vMerge/>
            <w:tcBorders>
              <w:top w:val="single" w:sz="4" w:space="0" w:color="auto"/>
              <w:left w:val="single" w:sz="4" w:space="0" w:color="auto"/>
              <w:right w:val="single" w:sz="4" w:space="0" w:color="auto"/>
            </w:tcBorders>
            <w:shd w:val="clear" w:color="FFFFFF" w:fill="auto"/>
          </w:tcPr>
          <w:p/>
        </w:tc>
        <w:tc>
          <w:tcPr>
            <w:tcW w:w="1026" w:type="dxa"/>
            <w:vMerge/>
            <w:tcBorders>
              <w:top w:val="single" w:sz="4" w:space="0" w:color="auto"/>
              <w:left w:val="single" w:sz="4" w:space="0" w:color="auto"/>
              <w:right w:val="single" w:sz="4" w:space="0" w:color="auto"/>
            </w:tcBorders>
            <w:shd w:val="clear" w:color="FFFFFF" w:fill="auto"/>
          </w:tcPr>
          <w:p/>
        </w:tc>
        <w:tc>
          <w:tcPr>
            <w:tcW w:w="1125" w:type="dxa"/>
            <w:vMerge/>
            <w:tcBorders>
              <w:top w:val="single" w:sz="4" w:space="0" w:color="auto"/>
              <w:left w:val="single" w:sz="4" w:space="0" w:color="auto"/>
              <w:right w:val="single" w:sz="4" w:space="0" w:color="auto"/>
            </w:tcBorders>
            <w:shd w:val="clear" w:color="FFFFFF" w:fill="auto"/>
          </w:tcPr>
          <w:p/>
        </w:tc>
        <w:tc>
          <w:tcPr>
            <w:tcW w:w="853" w:type="dxa"/>
            <w:vMerge/>
            <w:tcBorders>
              <w:top w:val="single" w:sz="4" w:space="0" w:color="auto"/>
              <w:left w:val="single" w:sz="4" w:space="0" w:color="auto"/>
              <w:right w:val="single" w:sz="4" w:space="0" w:color="auto"/>
            </w:tcBorders>
            <w:shd w:val="clear" w:color="FFFFFF" w:fill="auto"/>
          </w:tcP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符号</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值</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单位(文字描述)</w:t>
            </w:r>
          </w:p>
        </w:tc>
        <w:tc>
          <w:tcPr>
            <w:tcW w:w="731" w:type="dxa"/>
            <w:vMerge/>
            <w:tcBorders>
              <w:top w:val="single" w:sz="4" w:space="0" w:color="auto"/>
              <w:left w:val="single" w:sz="4" w:space="0" w:color="auto"/>
              <w:right w:val="single" w:sz="4" w:space="0" w:color="auto"/>
            </w:tcBorders>
            <w:shd w:val="clear" w:color="FFFFFF" w:fill="auto"/>
          </w:tcPr>
          <w:p/>
        </w:tc>
        <w:tc>
          <w:tcPr>
            <w:tcW w:w="720" w:type="dxa"/>
            <w:vMerge/>
            <w:tcBorders>
              <w:top w:val="single" w:sz="4" w:space="0" w:color="auto"/>
              <w:left w:val="single" w:sz="4" w:space="0" w:color="auto"/>
              <w:right w:val="single" w:sz="4" w:space="0" w:color="auto"/>
            </w:tcBorders>
            <w:shd w:val="clear" w:color="FFFFFF" w:fill="auto"/>
          </w:tcPr>
          <w:p/>
        </w:tc>
        <w:tc>
          <w:tcPr>
            <w:tcW w:w="587" w:type="dxa"/>
            <w:vMerge/>
            <w:tcBorders>
              <w:top w:val="single" w:sz="4" w:space="0" w:color="auto"/>
              <w:left w:val="single" w:sz="4" w:space="0" w:color="auto"/>
              <w:right w:val="single" w:sz="4" w:space="0" w:color="auto"/>
            </w:tcBorders>
            <w:shd w:val="clear" w:color="FFFFFF" w:fill="auto"/>
          </w:tcP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产出指标</w:t>
            </w: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数量指标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宣传资料印刷册数</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宣传资料印刷册数</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份</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5000</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tcBorders>
              <w:top w:val="single" w:sz="4" w:space="0" w:color="auto"/>
              <w:left w:val="single" w:sz="4" w:space="0" w:color="auto"/>
              <w:right w:val="single" w:sz="4" w:space="0" w:color="auto"/>
            </w:tcBorders>
            <w:shd w:val="clear" w:color="FFFFFF" w:fill="auto"/>
          </w:tcP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质量指标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成功举办</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群众参与人数与预计人数的比例</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tcBorders>
              <w:top w:val="single" w:sz="4" w:space="0" w:color="auto"/>
              <w:left w:val="single" w:sz="4" w:space="0" w:color="auto"/>
              <w:right w:val="single" w:sz="4" w:space="0" w:color="auto"/>
            </w:tcBorders>
            <w:shd w:val="clear" w:color="FFFFFF" w:fill="auto"/>
          </w:tcP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时效指标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按时完成率</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按时完成率</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tcBorders>
              <w:top w:val="single" w:sz="4" w:space="0" w:color="auto"/>
              <w:left w:val="single" w:sz="4" w:space="0" w:color="auto"/>
              <w:right w:val="single" w:sz="4" w:space="0" w:color="auto"/>
            </w:tcBorders>
            <w:shd w:val="clear" w:color="FFFFFF" w:fill="auto"/>
          </w:tcP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成本指标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效益指标</w:t>
            </w: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tcBorders>
              <w:top w:val="single" w:sz="4" w:space="0" w:color="auto"/>
              <w:left w:val="single" w:sz="4" w:space="0" w:color="auto"/>
              <w:right w:val="single" w:sz="4" w:space="0" w:color="auto"/>
            </w:tcBorders>
            <w:shd w:val="clear" w:color="FFFFFF" w:fill="auto"/>
          </w:tcP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社会效益指标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598"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影响较好</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较好</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tcBorders>
              <w:top w:val="single" w:sz="4" w:space="0" w:color="auto"/>
              <w:left w:val="single" w:sz="4" w:space="0" w:color="auto"/>
              <w:right w:val="single" w:sz="4" w:space="0" w:color="auto"/>
            </w:tcBorders>
            <w:shd w:val="clear" w:color="FFFFFF" w:fill="auto"/>
          </w:tcP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生态效益指标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促进生态文明建设，推动绿色发展和绿色生活方式</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598"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有效推进</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推进</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vMerge/>
            <w:tcBorders>
              <w:top w:val="single" w:sz="4" w:space="0" w:color="auto"/>
              <w:left w:val="single" w:sz="4" w:space="0" w:color="auto"/>
              <w:right w:val="single" w:sz="4" w:space="0" w:color="auto"/>
            </w:tcBorders>
            <w:shd w:val="clear" w:color="FFFFFF" w:fill="auto"/>
          </w:tcP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可持续影响指标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满意度指标</w:t>
            </w: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服务对象满意度指标</w:t>
            </w:r>
          </w:p>
        </w:tc>
        <w:tc>
          <w:tcPr>
            <w:tcW w:w="1026"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Style w:val="29"/>
                <w:lang w:val="en-US" w:eastAsia="zh-CN"/>
              </w:rPr>
              <w:t>）</w:t>
            </w:r>
          </w:p>
        </w:tc>
        <w:tc>
          <w:tcPr>
            <w:tcW w:w="1125"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Style w:val="29"/>
                <w:lang w:val="en-US" w:eastAsia="zh-CN"/>
              </w:rPr>
              <w:t>）</w:t>
            </w: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84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98"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29"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31"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预算执行率</w:t>
            </w:r>
          </w:p>
        </w:tc>
        <w:tc>
          <w:tcPr>
            <w:tcW w:w="982"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1026"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1125"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53"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c>
          <w:tcPr>
            <w:tcW w:w="840"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598"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29"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31"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20" w:type="dxa"/>
            <w:tcBorders>
              <w:top w:val="single" w:sz="4" w:space="0" w:color="auto"/>
              <w:left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587"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48" w:type="dxa"/>
            <w:vMerge/>
            <w:tcBorders>
              <w:top w:val="single" w:sz="4" w:space="0" w:color="auto"/>
              <w:left w:val="single" w:sz="4" w:space="0" w:color="auto"/>
              <w:right w:val="single" w:sz="4" w:space="0" w:color="auto"/>
            </w:tcBorders>
            <w:shd w:val="clear" w:color="auto" w:fill="auto"/>
          </w:tcPr>
          <w:p/>
        </w:tc>
        <w:tc>
          <w:tcPr>
            <w:tcW w:w="1020" w:type="dxa"/>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自评总分</w:t>
            </w:r>
          </w:p>
        </w:tc>
        <w:tc>
          <w:tcPr>
            <w:tcW w:w="8291" w:type="dxa"/>
            <w:gridSpan w:val="10"/>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r>
      <w:tr>
        <w:trPr>
          <w:trHeight w:val="450"/>
        </w:trPr>
        <w:tc>
          <w:tcPr>
            <w:tcW w:w="948" w:type="dxa"/>
            <w:vMerge w:val="restart"/>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五、存在问题</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原因及整改措施</w:t>
            </w:r>
          </w:p>
        </w:tc>
        <w:tc>
          <w:tcPr>
            <w:tcW w:w="9311" w:type="dxa"/>
            <w:gridSpan w:val="11"/>
            <w:vMerge w:val="restart"/>
            <w:tcBorders>
              <w:top w:val="single" w:sz="4" w:space="0" w:color="auto"/>
              <w:left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无</w:t>
            </w:r>
          </w:p>
        </w:tc>
      </w:tr>
      <w:tr>
        <w:trPr>
          <w:trHeight w:val="600"/>
        </w:trPr>
        <w:tc>
          <w:tcPr>
            <w:tcW w:w="948" w:type="dxa"/>
            <w:vMerge/>
            <w:tcBorders>
              <w:top w:val="single" w:sz="4" w:space="0" w:color="auto"/>
              <w:left w:val="single" w:sz="4" w:space="0" w:color="auto"/>
              <w:right w:val="single" w:sz="4" w:space="0" w:color="auto"/>
            </w:tcBorders>
            <w:shd w:val="clear" w:color="auto" w:fill="auto"/>
          </w:tcPr>
          <w:p/>
        </w:tc>
        <w:tc>
          <w:tcPr>
            <w:tcW w:w="9311" w:type="dxa"/>
            <w:gridSpan w:val="11"/>
            <w:vMerge/>
            <w:tcBorders>
              <w:top w:val="single" w:sz="4" w:space="0" w:color="auto"/>
              <w:left w:val="single" w:sz="4" w:space="0" w:color="auto"/>
              <w:right w:val="single" w:sz="4" w:space="0" w:color="auto"/>
            </w:tcBorders>
            <w:shd w:val="clear" w:color="FFFFFF" w:fill="auto"/>
          </w:tcPr>
          <w:p/>
        </w:tc>
      </w:tr>
      <w:tr>
        <w:trPr>
          <w:trHeight w:val="450"/>
        </w:trPr>
        <w:tc>
          <w:tcPr>
            <w:tcW w:w="948"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填报人:</w:t>
            </w:r>
          </w:p>
        </w:tc>
        <w:tc>
          <w:tcPr>
            <w:tcW w:w="3028" w:type="dxa"/>
            <w:gridSpan w:val="3"/>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谢小娟</w:t>
            </w:r>
          </w:p>
        </w:tc>
        <w:tc>
          <w:tcPr>
            <w:tcW w:w="1125" w:type="dxa"/>
            <w:tcBorders>
              <w:top w:val="single" w:sz="4" w:space="0" w:color="auto"/>
              <w:left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联系电话:</w:t>
            </w:r>
          </w:p>
        </w:tc>
        <w:tc>
          <w:tcPr>
            <w:tcW w:w="5158" w:type="dxa"/>
            <w:gridSpan w:val="7"/>
            <w:tcBorders>
              <w:top w:val="single" w:sz="4" w:space="0" w:color="auto"/>
              <w:left w:val="single" w:sz="4" w:space="0" w:color="auto"/>
              <w:right w:val="single" w:sz="4" w:space="0" w:color="auto"/>
            </w:tcBorders>
            <w:shd w:val="clear" w:color="auto"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03127313648</w:t>
            </w:r>
          </w:p>
        </w:tc>
      </w:tr>
    </w:tbl>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r>
        <w:rPr>
          <w:rFonts w:ascii="Times New Roman" w:eastAsia="仿宋_GB2312" w:hAnsi="Times New Roman" w:hint="eastAsia"/>
          <w:b w:val="0"/>
          <w:sz w:val="32"/>
          <w:szCs w:val="32"/>
          <w:lang w:eastAsia="zh-CN"/>
        </w:rPr>
        <w:t>项目四、“</w:t>
      </w:r>
      <w:r>
        <w:rPr>
          <w:rFonts w:ascii="仿宋_GB2312" w:eastAsia="仿宋_GB2312" w:cs="仿宋_GB2312" w:hint="eastAsia"/>
          <w:i w:val="0"/>
          <w:iCs w:val="0"/>
          <w:color w:val="000000"/>
          <w:kern w:val="0"/>
          <w:sz w:val="32"/>
          <w:szCs w:val="32"/>
          <w:u w:val="none"/>
          <w:lang w:val="en-US" w:eastAsia="zh-CN"/>
        </w:rPr>
        <w:t>智慧统战建设经费</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绩效自评情况：根据年初设定的绩效目标，项目绩效自评得分</w:t>
      </w:r>
      <w:r>
        <w:rPr>
          <w:rFonts w:ascii="Times New Roman" w:eastAsia="仿宋_GB2312" w:hAnsi="Times New Roman" w:hint="eastAsia"/>
          <w:b w:val="0"/>
          <w:sz w:val="32"/>
          <w:szCs w:val="32"/>
          <w:lang w:val="en-US" w:eastAsia="zh-CN"/>
        </w:rPr>
        <w:t>100分</w:t>
      </w:r>
      <w:r>
        <w:rPr>
          <w:rFonts w:ascii="Times New Roman" w:eastAsia="仿宋_GB2312" w:hAnsi="Times New Roman"/>
          <w:b w:val="0"/>
          <w:sz w:val="32"/>
          <w:szCs w:val="32"/>
        </w:rPr>
        <w:t>（绩效自评表附后）。全年预算数为</w:t>
      </w:r>
      <w:r>
        <w:rPr>
          <w:rFonts w:ascii="Times New Roman" w:eastAsia="仿宋_GB2312" w:hAnsi="Times New Roman" w:hint="eastAsia"/>
          <w:b w:val="0"/>
          <w:sz w:val="32"/>
          <w:szCs w:val="32"/>
          <w:lang w:val="en-US" w:eastAsia="zh-CN"/>
        </w:rPr>
        <w:t>1.68</w:t>
      </w:r>
      <w:r>
        <w:rPr>
          <w:rFonts w:ascii="Times New Roman" w:eastAsia="仿宋_GB2312" w:hAnsi="Times New Roman"/>
          <w:b w:val="0"/>
          <w:sz w:val="32"/>
          <w:szCs w:val="32"/>
        </w:rPr>
        <w:t>万元，执行数为</w:t>
      </w:r>
      <w:r>
        <w:rPr>
          <w:rFonts w:ascii="Times New Roman" w:eastAsia="仿宋_GB2312" w:hAnsi="Times New Roman" w:hint="eastAsia"/>
          <w:b w:val="0"/>
          <w:sz w:val="32"/>
          <w:szCs w:val="32"/>
          <w:lang w:val="en-US" w:eastAsia="zh-CN"/>
        </w:rPr>
        <w:t>1.68</w:t>
      </w:r>
      <w:r>
        <w:rPr>
          <w:rFonts w:ascii="Times New Roman" w:eastAsia="仿宋_GB2312" w:hAnsi="Times New Roman"/>
          <w:b w:val="0"/>
          <w:sz w:val="32"/>
          <w:szCs w:val="32"/>
        </w:rPr>
        <w:t>万元，完成预算的</w:t>
      </w:r>
      <w:r>
        <w:rPr>
          <w:rFonts w:ascii="Times New Roman" w:eastAsia="仿宋_GB2312" w:hAnsi="Times New Roman" w:hint="eastAsia"/>
          <w:b w:val="0"/>
          <w:sz w:val="32"/>
          <w:szCs w:val="32"/>
          <w:lang w:val="en-US" w:eastAsia="zh-CN"/>
        </w:rPr>
        <w:t>100</w:t>
      </w:r>
      <w:r>
        <w:rPr>
          <w:rFonts w:ascii="Times New Roman" w:eastAsia="仿宋_GB2312" w:hAnsi="Times New Roman"/>
          <w:b w:val="0"/>
          <w:sz w:val="32"/>
          <w:szCs w:val="32"/>
        </w:rPr>
        <w:t>%。项目绩效目标</w:t>
      </w:r>
      <w:r>
        <w:rPr>
          <w:rFonts w:ascii="Times New Roman" w:eastAsia="仿宋_GB2312" w:hAnsi="Times New Roman" w:hint="eastAsia"/>
          <w:b w:val="0"/>
          <w:sz w:val="32"/>
          <w:szCs w:val="32"/>
          <w:lang w:eastAsia="zh-CN"/>
        </w:rPr>
        <w:t>均已完成</w:t>
      </w:r>
      <w:r>
        <w:rPr>
          <w:rFonts w:ascii="Times New Roman" w:eastAsia="仿宋_GB2312" w:hAnsi="Times New Roman"/>
          <w:b w:val="0"/>
          <w:sz w:val="32"/>
          <w:szCs w:val="32"/>
        </w:rPr>
        <w:t>。</w:t>
      </w:r>
      <w:r>
        <w:rPr>
          <w:rFonts w:ascii="Times New Roman" w:eastAsia="仿宋_GB2312" w:hAnsi="Times New Roman" w:hint="eastAsia"/>
          <w:b w:val="0"/>
          <w:sz w:val="32"/>
          <w:szCs w:val="32"/>
          <w:lang w:eastAsia="zh-CN"/>
        </w:rPr>
        <w:t>未</w:t>
      </w:r>
      <w:r>
        <w:rPr>
          <w:rFonts w:ascii="Times New Roman" w:eastAsia="仿宋_GB2312" w:hAnsi="Times New Roman"/>
          <w:b w:val="0"/>
          <w:sz w:val="32"/>
          <w:szCs w:val="32"/>
        </w:rPr>
        <w:t>发现</w:t>
      </w:r>
      <w:r>
        <w:rPr>
          <w:rFonts w:ascii="Times New Roman" w:eastAsia="仿宋_GB2312" w:hAnsi="Times New Roman" w:hint="eastAsia"/>
          <w:b w:val="0"/>
          <w:sz w:val="32"/>
          <w:szCs w:val="32"/>
          <w:lang w:eastAsia="zh-CN"/>
        </w:rPr>
        <w:t>其他</w:t>
      </w:r>
      <w:r>
        <w:rPr>
          <w:rFonts w:ascii="Times New Roman" w:eastAsia="仿宋_GB2312" w:hAnsi="Times New Roman"/>
          <w:b w:val="0"/>
          <w:sz w:val="32"/>
          <w:szCs w:val="32"/>
        </w:rPr>
        <w:t>问题</w:t>
      </w:r>
      <w:r>
        <w:rPr>
          <w:rFonts w:ascii="Times New Roman" w:eastAsia="仿宋_GB2312" w:hAnsi="Times New Roman" w:hint="eastAsia"/>
          <w:b w:val="0"/>
          <w:sz w:val="32"/>
          <w:szCs w:val="32"/>
          <w:lang w:eastAsia="zh-CN"/>
        </w:rPr>
        <w:t>。</w:t>
      </w: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tbl>
      <w:tblPr>
        <w:jc w:val="left"/>
        <w:tblInd w:w="-413" w:type="dxa"/>
        <w:tblW w:w="10140" w:type="dxa"/>
        <w:tblBorders>
          <w:top w:val="none" w:sz="0" w:space="0" w:color="auto"/>
          <w:left w:val="none" w:sz="0" w:space="0" w:color="auto"/>
          <w:bottom w:val="none" w:sz="0" w:space="0" w:color="auto"/>
          <w:right w:val="none" w:sz="0" w:space="0" w:color="auto"/>
        </w:tblBorders>
        <w:shd w:val="clear" w:color="auto" w:fill="auto"/>
        <w:tblCellMar>
          <w:top w:w="0" w:type="dxa"/>
          <w:left w:w="108" w:type="dxa"/>
          <w:bottom w:w="0" w:type="dxa"/>
          <w:right w:w="108" w:type="dxa"/>
        </w:tblCellMar>
      </w:tblPr>
      <w:tblGrid>
        <w:gridCol w:w="1020"/>
        <w:gridCol w:w="952"/>
        <w:gridCol w:w="853"/>
        <w:gridCol w:w="995"/>
        <w:gridCol w:w="1093"/>
        <w:gridCol w:w="847"/>
        <w:gridCol w:w="636"/>
        <w:gridCol w:w="720"/>
        <w:gridCol w:w="804"/>
        <w:gridCol w:w="768"/>
        <w:gridCol w:w="780"/>
        <w:gridCol w:w="672"/>
      </w:tblGrid>
      <w:tr>
        <w:trPr>
          <w:trHeight w:val="450"/>
        </w:trPr>
        <w:tc>
          <w:tcPr>
            <w:tcW w:w="10140" w:type="dxa"/>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tcPr>
          <w:p>
            <w:pPr>
              <w:keepNext w:val="0"/>
              <w:keepLines w:val="0"/>
              <w:widowControl/>
              <w:suppressLineNumbers w:val="0"/>
              <w:jc w:val="center"/>
              <w:textAlignment w:val="center"/>
              <w:rPr>
                <w:rFonts w:ascii="宋体" w:eastAsia="宋体" w:cs="宋体"/>
                <w:b/>
                <w:bCs/>
                <w:i w:val="0"/>
                <w:iCs w:val="0"/>
                <w:color w:val="000000"/>
                <w:sz w:val="36"/>
                <w:szCs w:val="36"/>
                <w:u w:val="none"/>
              </w:rPr>
            </w:pPr>
            <w:r>
              <w:rPr>
                <w:rFonts w:ascii="宋体" w:eastAsia="宋体" w:cs="宋体"/>
                <w:b/>
                <w:bCs/>
                <w:i w:val="0"/>
                <w:iCs w:val="0"/>
                <w:color w:val="000000"/>
                <w:kern w:val="0"/>
                <w:sz w:val="36"/>
                <w:szCs w:val="36"/>
                <w:u w:val="none"/>
                <w:lang w:val="en-US" w:eastAsia="zh-CN"/>
              </w:rPr>
              <w:t>2024年度预算项目绩效自评表</w:t>
            </w:r>
          </w:p>
        </w:tc>
      </w:tr>
      <w:tr>
        <w:trPr>
          <w:trHeight w:val="450"/>
        </w:trPr>
        <w:tc>
          <w:tcPr>
            <w:tcW w:w="10140" w:type="dxa"/>
            <w:gridSpan w:val="12"/>
            <w:vMerge/>
            <w:tcBorders>
              <w:top w:val="single" w:sz="4" w:space="0" w:color="auto"/>
              <w:left w:val="single" w:sz="4" w:space="0" w:color="auto"/>
              <w:bottom w:val="single" w:sz="4" w:space="0" w:color="auto"/>
              <w:right w:val="single" w:sz="4" w:space="0" w:color="auto"/>
            </w:tcBorders>
            <w:shd w:val="clear" w:color="auto" w:fill="auto"/>
            <w:vAlign w:val="center"/>
          </w:tcPr>
          <w:p/>
        </w:tc>
      </w:tr>
      <w:tr>
        <w:trPr>
          <w:trHeight w:val="450"/>
        </w:trPr>
        <w:tc>
          <w:tcPr>
            <w:tcW w:w="1020"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一、基本情况</w:t>
            </w:r>
          </w:p>
        </w:tc>
        <w:tc>
          <w:tcPr>
            <w:tcW w:w="952"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项目名称</w:t>
            </w:r>
          </w:p>
        </w:tc>
        <w:tc>
          <w:tcPr>
            <w:tcW w:w="1848"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智慧统战建设经费</w:t>
            </w:r>
          </w:p>
        </w:tc>
        <w:tc>
          <w:tcPr>
            <w:tcW w:w="1093"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项目级次</w:t>
            </w:r>
          </w:p>
        </w:tc>
        <w:tc>
          <w:tcPr>
            <w:tcW w:w="847"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本级</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实施主管单位</w:t>
            </w:r>
          </w:p>
        </w:tc>
        <w:tc>
          <w:tcPr>
            <w:tcW w:w="1572"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 xml:space="preserve">213001 - </w:t>
            </w:r>
            <w:r>
              <w:rPr>
                <w:rFonts w:ascii="宋体" w:eastAsia="宋体" w:cs="宋体" w:hint="eastAsia"/>
                <w:i w:val="0"/>
                <w:iCs w:val="0"/>
                <w:color w:val="000000"/>
                <w:kern w:val="0"/>
                <w:sz w:val="16"/>
                <w:szCs w:val="16"/>
                <w:u w:val="none"/>
                <w:lang w:val="en-US" w:eastAsia="zh-CN"/>
              </w:rPr>
              <w:t>中国共产党涞源县委员会统战部</w:t>
            </w:r>
          </w:p>
        </w:tc>
        <w:tc>
          <w:tcPr>
            <w:tcW w:w="780"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金额单位</w:t>
            </w:r>
          </w:p>
        </w:tc>
        <w:tc>
          <w:tcPr>
            <w:tcW w:w="672"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万元</w:t>
            </w:r>
          </w:p>
        </w:tc>
      </w:tr>
      <w:tr>
        <w:trPr>
          <w:trHeight w:val="450"/>
        </w:trPr>
        <w:tc>
          <w:tcPr>
            <w:tcW w:w="1020"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二、预算执行情况</w:t>
            </w:r>
          </w:p>
        </w:tc>
        <w:tc>
          <w:tcPr>
            <w:tcW w:w="1805"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预算安排情况(调整后)</w:t>
            </w:r>
          </w:p>
        </w:tc>
        <w:tc>
          <w:tcPr>
            <w:tcW w:w="2935" w:type="dxa"/>
            <w:gridSpan w:val="3"/>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资金到位情况</w:t>
            </w:r>
          </w:p>
        </w:tc>
        <w:tc>
          <w:tcPr>
            <w:tcW w:w="2928" w:type="dxa"/>
            <w:gridSpan w:val="4"/>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资金执行情况</w:t>
            </w:r>
          </w:p>
        </w:tc>
        <w:tc>
          <w:tcPr>
            <w:tcW w:w="1452"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预算执行进度(%)</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预算数</w:t>
            </w:r>
          </w:p>
        </w:tc>
        <w:tc>
          <w:tcPr>
            <w:tcW w:w="853"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1.68</w:t>
            </w:r>
          </w:p>
        </w:tc>
        <w:tc>
          <w:tcPr>
            <w:tcW w:w="995"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到位数</w:t>
            </w:r>
          </w:p>
        </w:tc>
        <w:tc>
          <w:tcPr>
            <w:tcW w:w="1940"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1.68</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执行数</w:t>
            </w:r>
          </w:p>
        </w:tc>
        <w:tc>
          <w:tcPr>
            <w:tcW w:w="1572"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1.68</w:t>
            </w:r>
          </w:p>
        </w:tc>
        <w:tc>
          <w:tcPr>
            <w:tcW w:w="145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853"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1.68</w:t>
            </w:r>
          </w:p>
        </w:tc>
        <w:tc>
          <w:tcPr>
            <w:tcW w:w="995"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940"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1.68</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572"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1.68</w:t>
            </w:r>
          </w:p>
        </w:tc>
        <w:tc>
          <w:tcPr>
            <w:tcW w:w="1452" w:type="dxa"/>
            <w:gridSpan w:val="2"/>
            <w:vMerge/>
            <w:tcBorders>
              <w:top w:val="single" w:sz="4" w:space="0" w:color="auto"/>
              <w:left w:val="single" w:sz="4" w:space="0" w:color="auto"/>
              <w:bottom w:val="single" w:sz="4" w:space="0" w:color="auto"/>
              <w:right w:val="single" w:sz="4" w:space="0" w:color="auto"/>
            </w:tcBorders>
            <w:shd w:val="clear" w:color="auto" w:fill="auto"/>
          </w:tcP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853"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995"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940"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356"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572"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452" w:type="dxa"/>
            <w:gridSpan w:val="2"/>
            <w:vMerge/>
            <w:tcBorders>
              <w:top w:val="single" w:sz="4" w:space="0" w:color="auto"/>
              <w:left w:val="single" w:sz="4" w:space="0" w:color="auto"/>
              <w:bottom w:val="single" w:sz="4" w:space="0" w:color="auto"/>
              <w:right w:val="single" w:sz="4" w:space="0" w:color="auto"/>
            </w:tcBorders>
            <w:shd w:val="clear" w:color="auto" w:fill="auto"/>
          </w:tcPr>
          <w:p/>
        </w:tc>
      </w:tr>
      <w:tr>
        <w:trPr>
          <w:trHeight w:val="450"/>
        </w:trPr>
        <w:tc>
          <w:tcPr>
            <w:tcW w:w="1020"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三、目标完成情况</w:t>
            </w:r>
          </w:p>
        </w:tc>
        <w:tc>
          <w:tcPr>
            <w:tcW w:w="3893" w:type="dxa"/>
            <w:gridSpan w:val="4"/>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年度预期目标</w:t>
            </w:r>
          </w:p>
        </w:tc>
        <w:tc>
          <w:tcPr>
            <w:tcW w:w="3775" w:type="dxa"/>
            <w:gridSpan w:val="5"/>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具体完成情况</w:t>
            </w:r>
          </w:p>
        </w:tc>
        <w:tc>
          <w:tcPr>
            <w:tcW w:w="1452"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总体完成率(%)</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3893" w:type="dxa"/>
            <w:gridSpan w:val="4"/>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保障统战系统活动正常开展</w:t>
            </w:r>
          </w:p>
        </w:tc>
        <w:tc>
          <w:tcPr>
            <w:tcW w:w="3775" w:type="dxa"/>
            <w:gridSpan w:val="5"/>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1452" w:type="dxa"/>
            <w:gridSpan w:val="2"/>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100.00</w:t>
            </w:r>
          </w:p>
        </w:tc>
      </w:tr>
      <w:tr>
        <w:trPr>
          <w:trHeight w:val="450"/>
        </w:trPr>
        <w:tc>
          <w:tcPr>
            <w:tcW w:w="1020"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四、年度绩效</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指标完成情况</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一级指标</w:t>
            </w:r>
          </w:p>
        </w:tc>
        <w:tc>
          <w:tcPr>
            <w:tcW w:w="853"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二级指标</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三级指标</w:t>
            </w:r>
          </w:p>
        </w:tc>
        <w:tc>
          <w:tcPr>
            <w:tcW w:w="1093"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指标说明</w:t>
            </w:r>
          </w:p>
        </w:tc>
        <w:tc>
          <w:tcPr>
            <w:tcW w:w="847"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指标分值</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预期指标值</w:t>
            </w:r>
          </w:p>
        </w:tc>
        <w:tc>
          <w:tcPr>
            <w:tcW w:w="768"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单项指标实际完成值</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单项指标完成情况</w:t>
            </w:r>
          </w:p>
        </w:tc>
        <w:tc>
          <w:tcPr>
            <w:tcW w:w="672"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自评得分</w:t>
            </w:r>
          </w:p>
        </w:tc>
      </w:tr>
      <w:tr>
        <w:trPr>
          <w:trHeight w:val="708"/>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tcBorders>
              <w:top w:val="single" w:sz="4" w:space="0" w:color="auto"/>
              <w:left w:val="single" w:sz="4" w:space="0" w:color="auto"/>
              <w:bottom w:val="single" w:sz="4" w:space="0" w:color="auto"/>
              <w:right w:val="single" w:sz="4" w:space="0" w:color="auto"/>
            </w:tcBorders>
            <w:shd w:val="clear" w:color="auto" w:fill="auto"/>
          </w:tcPr>
          <w:p/>
        </w:tc>
        <w:tc>
          <w:tcPr>
            <w:tcW w:w="853" w:type="dxa"/>
            <w:vMerge/>
            <w:tcBorders>
              <w:top w:val="single" w:sz="4" w:space="0" w:color="auto"/>
              <w:left w:val="single" w:sz="4" w:space="0" w:color="auto"/>
              <w:bottom w:val="single" w:sz="4" w:space="0" w:color="auto"/>
              <w:right w:val="single" w:sz="4" w:space="0" w:color="auto"/>
            </w:tcBorders>
            <w:shd w:val="clear" w:color="auto" w:fill="auto"/>
          </w:tc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tc>
        <w:tc>
          <w:tcPr>
            <w:tcW w:w="1093" w:type="dxa"/>
            <w:vMerge/>
            <w:tcBorders>
              <w:top w:val="single" w:sz="4" w:space="0" w:color="auto"/>
              <w:left w:val="single" w:sz="4" w:space="0" w:color="auto"/>
              <w:bottom w:val="single" w:sz="4" w:space="0" w:color="auto"/>
              <w:right w:val="single" w:sz="4" w:space="0" w:color="auto"/>
            </w:tcBorders>
            <w:shd w:val="clear" w:color="auto" w:fill="auto"/>
          </w:tcPr>
          <w:p/>
        </w:tc>
        <w:tc>
          <w:tcPr>
            <w:tcW w:w="847" w:type="dxa"/>
            <w:vMerge/>
            <w:tcBorders>
              <w:top w:val="single" w:sz="4" w:space="0" w:color="auto"/>
              <w:left w:val="single" w:sz="4" w:space="0" w:color="auto"/>
              <w:bottom w:val="single" w:sz="4" w:space="0" w:color="auto"/>
              <w:right w:val="single" w:sz="4" w:space="0" w:color="auto"/>
            </w:tcBorders>
            <w:shd w:val="clear" w:color="auto" w:fill="auto"/>
          </w:tcPr>
          <w:p/>
        </w:tc>
        <w:tc>
          <w:tcPr>
            <w:tcW w:w="636"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符号</w:t>
            </w:r>
          </w:p>
        </w:tc>
        <w:tc>
          <w:tcPr>
            <w:tcW w:w="720"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值</w:t>
            </w:r>
          </w:p>
        </w:tc>
        <w:tc>
          <w:tcPr>
            <w:tcW w:w="804"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单位(文字描述)</w:t>
            </w:r>
          </w:p>
        </w:tc>
        <w:tc>
          <w:tcPr>
            <w:tcW w:w="768" w:type="dxa"/>
            <w:vMerge/>
            <w:tcBorders>
              <w:top w:val="single" w:sz="4" w:space="0" w:color="auto"/>
              <w:left w:val="single" w:sz="4" w:space="0" w:color="auto"/>
              <w:bottom w:val="single" w:sz="4" w:space="0" w:color="auto"/>
              <w:right w:val="single" w:sz="4" w:space="0" w:color="auto"/>
            </w:tcBorders>
            <w:shd w:val="clear" w:color="auto" w:fill="auto"/>
          </w:tcPr>
          <w:p/>
        </w:tc>
        <w:tc>
          <w:tcPr>
            <w:tcW w:w="780" w:type="dxa"/>
            <w:vMerge/>
            <w:tcBorders>
              <w:top w:val="single" w:sz="4" w:space="0" w:color="auto"/>
              <w:left w:val="single" w:sz="4" w:space="0" w:color="auto"/>
              <w:bottom w:val="single" w:sz="4" w:space="0" w:color="auto"/>
              <w:right w:val="single" w:sz="4" w:space="0" w:color="auto"/>
            </w:tcBorders>
            <w:shd w:val="clear" w:color="auto" w:fill="auto"/>
          </w:tcPr>
          <w:p/>
        </w:tc>
        <w:tc>
          <w:tcPr>
            <w:tcW w:w="672" w:type="dxa"/>
            <w:vMerge/>
            <w:tcBorders>
              <w:top w:val="single" w:sz="4" w:space="0" w:color="auto"/>
              <w:left w:val="single" w:sz="4" w:space="0" w:color="auto"/>
              <w:bottom w:val="single" w:sz="4" w:space="0" w:color="auto"/>
              <w:right w:val="single" w:sz="4" w:space="0" w:color="auto"/>
            </w:tcBorders>
            <w:shd w:val="clear" w:color="auto" w:fill="auto"/>
          </w:tcP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产出指标</w:t>
            </w: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数量指标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举办活动场次</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开展会议次数</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w:t>
            </w: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次</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3</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tcBorders>
              <w:top w:val="single" w:sz="4" w:space="0" w:color="auto"/>
              <w:left w:val="single" w:sz="4" w:space="0" w:color="auto"/>
              <w:bottom w:val="single" w:sz="4" w:space="0" w:color="auto"/>
              <w:right w:val="single" w:sz="4" w:space="0" w:color="auto"/>
            </w:tcBorders>
            <w:shd w:val="clear" w:color="FFFFFF" w:fill="auto"/>
          </w:tcP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质量指标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成功举办</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参与活动人数与预计人数的比例</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tcBorders>
              <w:top w:val="single" w:sz="4" w:space="0" w:color="auto"/>
              <w:left w:val="single" w:sz="4" w:space="0" w:color="auto"/>
              <w:bottom w:val="single" w:sz="4" w:space="0" w:color="auto"/>
              <w:right w:val="single" w:sz="4" w:space="0" w:color="auto"/>
            </w:tcBorders>
            <w:shd w:val="clear" w:color="FFFFFF" w:fill="auto"/>
          </w:tcP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时效指标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活动完成时限</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举办活动及时率</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tcBorders>
              <w:top w:val="single" w:sz="4" w:space="0" w:color="auto"/>
              <w:left w:val="single" w:sz="4" w:space="0" w:color="auto"/>
              <w:bottom w:val="single" w:sz="4" w:space="0" w:color="auto"/>
              <w:right w:val="single" w:sz="4" w:space="0" w:color="auto"/>
            </w:tcBorders>
            <w:shd w:val="clear" w:color="FFFFFF" w:fill="auto"/>
          </w:tcP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成本指标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效益指标</w:t>
            </w: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tcBorders>
              <w:top w:val="single" w:sz="4" w:space="0" w:color="auto"/>
              <w:left w:val="single" w:sz="4" w:space="0" w:color="auto"/>
              <w:bottom w:val="single" w:sz="4" w:space="0" w:color="auto"/>
              <w:right w:val="single" w:sz="4" w:space="0" w:color="auto"/>
            </w:tcBorders>
            <w:shd w:val="clear" w:color="FFFFFF" w:fill="auto"/>
          </w:tcP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社会效益指标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影响较好</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较好</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tcBorders>
              <w:top w:val="single" w:sz="4" w:space="0" w:color="auto"/>
              <w:left w:val="single" w:sz="4" w:space="0" w:color="auto"/>
              <w:bottom w:val="single" w:sz="4" w:space="0" w:color="auto"/>
              <w:right w:val="single" w:sz="4" w:space="0" w:color="auto"/>
            </w:tcBorders>
            <w:shd w:val="clear" w:color="FFFFFF" w:fill="auto"/>
          </w:tcP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生态效益指标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促进生态文明建设，推动绿色发展和绿色生活方式</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有效推进</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推进</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vMerge/>
            <w:tcBorders>
              <w:top w:val="single" w:sz="4" w:space="0" w:color="auto"/>
              <w:left w:val="single" w:sz="4" w:space="0" w:color="auto"/>
              <w:bottom w:val="single" w:sz="4" w:space="0" w:color="auto"/>
              <w:right w:val="single" w:sz="4" w:space="0" w:color="auto"/>
            </w:tcBorders>
            <w:shd w:val="clear" w:color="FFFFFF" w:fill="auto"/>
          </w:tcP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可持续影响指标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满意度指标</w:t>
            </w: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服务对象满意度指标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Fonts w:ascii="宋体" w:eastAsia="宋体" w:cs="宋体" w:hint="eastAsia"/>
                <w:i w:val="0"/>
                <w:iCs w:val="0"/>
                <w:color w:val="000000"/>
                <w:kern w:val="0"/>
                <w:sz w:val="16"/>
                <w:szCs w:val="16"/>
                <w:u w:val="none"/>
                <w:lang w:val="en-US" w:eastAsia="zh-CN"/>
              </w:rPr>
              <w:t>）</w:t>
            </w: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Fonts w:ascii="宋体" w:eastAsia="宋体" w:cs="宋体" w:hint="eastAsia"/>
                <w:i w:val="0"/>
                <w:iCs w:val="0"/>
                <w:color w:val="000000"/>
                <w:kern w:val="0"/>
                <w:sz w:val="16"/>
                <w:szCs w:val="16"/>
                <w:u w:val="none"/>
                <w:lang w:val="en-US" w:eastAsia="zh-CN"/>
              </w:rPr>
              <w:t>）</w:t>
            </w: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预算执行率</w:t>
            </w:r>
          </w:p>
        </w:tc>
        <w:tc>
          <w:tcPr>
            <w:tcW w:w="853"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99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1093"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4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c>
          <w:tcPr>
            <w:tcW w:w="63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20"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04"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68"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780"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5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自评总分</w:t>
            </w:r>
          </w:p>
        </w:tc>
        <w:tc>
          <w:tcPr>
            <w:tcW w:w="8168" w:type="dxa"/>
            <w:gridSpan w:val="10"/>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r>
      <w:tr>
        <w:trPr>
          <w:trHeight w:val="450"/>
        </w:trPr>
        <w:tc>
          <w:tcPr>
            <w:tcW w:w="1020" w:type="dxa"/>
            <w:vMerge w:val="restart"/>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五、存在问题</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原因及整改措施</w:t>
            </w:r>
          </w:p>
        </w:tc>
        <w:tc>
          <w:tcPr>
            <w:tcW w:w="9120" w:type="dxa"/>
            <w:gridSpan w:val="11"/>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无</w:t>
            </w:r>
          </w:p>
        </w:tc>
      </w:tr>
      <w:tr>
        <w:trPr>
          <w:trHeight w:val="450"/>
        </w:trPr>
        <w:tc>
          <w:tcPr>
            <w:tcW w:w="1020" w:type="dxa"/>
            <w:vMerge/>
            <w:tcBorders>
              <w:top w:val="single" w:sz="4" w:space="0" w:color="auto"/>
              <w:left w:val="single" w:sz="4" w:space="0" w:color="auto"/>
              <w:bottom w:val="single" w:sz="4" w:space="0" w:color="auto"/>
              <w:right w:val="single" w:sz="4" w:space="0" w:color="auto"/>
            </w:tcBorders>
            <w:shd w:val="clear" w:color="auto" w:fill="auto"/>
          </w:tcPr>
          <w:p/>
        </w:tc>
        <w:tc>
          <w:tcPr>
            <w:tcW w:w="9120" w:type="dxa"/>
            <w:gridSpan w:val="11"/>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1020"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填报人:</w:t>
            </w:r>
          </w:p>
        </w:tc>
        <w:tc>
          <w:tcPr>
            <w:tcW w:w="2800" w:type="dxa"/>
            <w:gridSpan w:val="3"/>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谢小娟</w:t>
            </w:r>
          </w:p>
        </w:tc>
        <w:tc>
          <w:tcPr>
            <w:tcW w:w="1093" w:type="dxa"/>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联系电话:</w:t>
            </w:r>
          </w:p>
        </w:tc>
        <w:tc>
          <w:tcPr>
            <w:tcW w:w="5227" w:type="dxa"/>
            <w:gridSpan w:val="7"/>
            <w:tcBorders>
              <w:top w:val="single" w:sz="4" w:space="0" w:color="auto"/>
              <w:left w:val="single" w:sz="4" w:space="0" w:color="auto"/>
              <w:bottom w:val="single" w:sz="4" w:space="0" w:color="auto"/>
              <w:right w:val="single" w:sz="4" w:space="0" w:color="auto"/>
            </w:tcBorders>
            <w:shd w:val="clear" w:color="auto"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7313648</w:t>
            </w:r>
          </w:p>
        </w:tc>
      </w:tr>
    </w:tbl>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r>
        <w:rPr>
          <w:rFonts w:ascii="Times New Roman" w:eastAsia="仿宋_GB2312" w:hAnsi="Times New Roman" w:hint="eastAsia"/>
          <w:b w:val="0"/>
          <w:sz w:val="32"/>
          <w:szCs w:val="32"/>
          <w:lang w:eastAsia="zh-CN"/>
        </w:rPr>
        <w:t>项目五、“</w:t>
      </w:r>
      <w:r>
        <w:rPr>
          <w:rFonts w:ascii="仿宋_GB2312" w:eastAsia="仿宋_GB2312" w:cs="仿宋_GB2312" w:hint="eastAsia"/>
          <w:i w:val="0"/>
          <w:iCs w:val="0"/>
          <w:color w:val="000000"/>
          <w:kern w:val="0"/>
          <w:sz w:val="32"/>
          <w:szCs w:val="32"/>
          <w:u w:val="none"/>
          <w:lang w:val="en-US" w:eastAsia="zh-CN"/>
        </w:rPr>
        <w:t>民族宗教专项经费</w:t>
      </w:r>
      <w:r>
        <w:rPr>
          <w:rFonts w:ascii="Times New Roman" w:eastAsia="仿宋_GB2312" w:hAnsi="Times New Roman" w:hint="eastAsia"/>
          <w:b w:val="0"/>
          <w:sz w:val="32"/>
          <w:szCs w:val="32"/>
          <w:lang w:eastAsia="zh-CN"/>
        </w:rPr>
        <w:t>”</w:t>
      </w:r>
      <w:r>
        <w:rPr>
          <w:rFonts w:ascii="Times New Roman" w:eastAsia="仿宋_GB2312" w:hAnsi="Times New Roman"/>
          <w:b w:val="0"/>
          <w:sz w:val="32"/>
          <w:szCs w:val="32"/>
        </w:rPr>
        <w:t>绩效自评情况：根据年初设定的绩效目标，项目绩效自评得分</w:t>
      </w:r>
      <w:r>
        <w:rPr>
          <w:rFonts w:ascii="Times New Roman" w:eastAsia="仿宋_GB2312" w:hAnsi="Times New Roman" w:hint="eastAsia"/>
          <w:b w:val="0"/>
          <w:sz w:val="32"/>
          <w:szCs w:val="32"/>
          <w:lang w:val="en-US" w:eastAsia="zh-CN"/>
        </w:rPr>
        <w:t>99分</w:t>
      </w:r>
      <w:r>
        <w:rPr>
          <w:rFonts w:ascii="Times New Roman" w:eastAsia="仿宋_GB2312" w:hAnsi="Times New Roman"/>
          <w:b w:val="0"/>
          <w:sz w:val="32"/>
          <w:szCs w:val="32"/>
        </w:rPr>
        <w:t>（绩效自评表附后）。全年预算数为</w:t>
      </w:r>
      <w:r>
        <w:rPr>
          <w:rFonts w:ascii="Times New Roman" w:eastAsia="仿宋_GB2312" w:hAnsi="Times New Roman" w:hint="eastAsia"/>
          <w:b w:val="0"/>
          <w:sz w:val="32"/>
          <w:szCs w:val="32"/>
          <w:lang w:val="en-US" w:eastAsia="zh-CN"/>
        </w:rPr>
        <w:t>5</w:t>
      </w:r>
      <w:r>
        <w:rPr>
          <w:rFonts w:ascii="Times New Roman" w:eastAsia="仿宋_GB2312" w:hAnsi="Times New Roman"/>
          <w:b w:val="0"/>
          <w:sz w:val="32"/>
          <w:szCs w:val="32"/>
        </w:rPr>
        <w:t>万元，执行数为</w:t>
      </w:r>
      <w:r>
        <w:rPr>
          <w:rFonts w:ascii="Times New Roman" w:eastAsia="仿宋_GB2312" w:hAnsi="Times New Roman" w:hint="eastAsia"/>
          <w:b w:val="0"/>
          <w:sz w:val="32"/>
          <w:szCs w:val="32"/>
          <w:lang w:val="en-US" w:eastAsia="zh-CN"/>
        </w:rPr>
        <w:t>5</w:t>
      </w:r>
      <w:r>
        <w:rPr>
          <w:rFonts w:ascii="Times New Roman" w:eastAsia="仿宋_GB2312" w:hAnsi="Times New Roman"/>
          <w:b w:val="0"/>
          <w:sz w:val="32"/>
          <w:szCs w:val="32"/>
        </w:rPr>
        <w:t>万元，完成预算的</w:t>
      </w:r>
      <w:r>
        <w:rPr>
          <w:rFonts w:ascii="Times New Roman" w:eastAsia="仿宋_GB2312" w:hAnsi="Times New Roman" w:hint="eastAsia"/>
          <w:b w:val="0"/>
          <w:sz w:val="32"/>
          <w:szCs w:val="32"/>
          <w:lang w:val="en-US" w:eastAsia="zh-CN"/>
        </w:rPr>
        <w:t>100</w:t>
      </w:r>
      <w:r>
        <w:rPr>
          <w:rFonts w:ascii="Times New Roman" w:eastAsia="仿宋_GB2312" w:hAnsi="Times New Roman"/>
          <w:b w:val="0"/>
          <w:sz w:val="32"/>
          <w:szCs w:val="32"/>
        </w:rPr>
        <w:t>%。项目绩效目标</w:t>
      </w:r>
      <w:r>
        <w:rPr>
          <w:rFonts w:ascii="Times New Roman" w:eastAsia="仿宋_GB2312" w:hAnsi="Times New Roman" w:hint="eastAsia"/>
          <w:b w:val="0"/>
          <w:sz w:val="32"/>
          <w:szCs w:val="32"/>
          <w:lang w:eastAsia="zh-CN"/>
        </w:rPr>
        <w:t>均已完成</w:t>
      </w:r>
      <w:r>
        <w:rPr>
          <w:rFonts w:ascii="Times New Roman" w:eastAsia="仿宋_GB2312" w:hAnsi="Times New Roman"/>
          <w:b w:val="0"/>
          <w:sz w:val="32"/>
          <w:szCs w:val="32"/>
        </w:rPr>
        <w:t>。</w:t>
      </w:r>
      <w:r>
        <w:rPr>
          <w:rFonts w:ascii="Times New Roman" w:eastAsia="仿宋_GB2312" w:hAnsi="Times New Roman" w:hint="eastAsia"/>
          <w:b w:val="0"/>
          <w:sz w:val="32"/>
          <w:szCs w:val="32"/>
          <w:lang w:eastAsia="zh-CN"/>
        </w:rPr>
        <w:t>未</w:t>
      </w:r>
      <w:r>
        <w:rPr>
          <w:rFonts w:ascii="Times New Roman" w:eastAsia="仿宋_GB2312" w:hAnsi="Times New Roman"/>
          <w:b w:val="0"/>
          <w:sz w:val="32"/>
          <w:szCs w:val="32"/>
        </w:rPr>
        <w:t>发现</w:t>
      </w:r>
      <w:r>
        <w:rPr>
          <w:rFonts w:ascii="Times New Roman" w:eastAsia="仿宋_GB2312" w:hAnsi="Times New Roman" w:hint="eastAsia"/>
          <w:b w:val="0"/>
          <w:sz w:val="32"/>
          <w:szCs w:val="32"/>
          <w:lang w:eastAsia="zh-CN"/>
        </w:rPr>
        <w:t>其他</w:t>
      </w:r>
      <w:r>
        <w:rPr>
          <w:rFonts w:ascii="Times New Roman" w:eastAsia="仿宋_GB2312" w:hAnsi="Times New Roman"/>
          <w:b w:val="0"/>
          <w:sz w:val="32"/>
          <w:szCs w:val="32"/>
        </w:rPr>
        <w:t>问题</w:t>
      </w:r>
      <w:r>
        <w:rPr>
          <w:rFonts w:ascii="Times New Roman" w:eastAsia="仿宋_GB2312" w:hAnsi="Times New Roman" w:hint="eastAsia"/>
          <w:b w:val="0"/>
          <w:sz w:val="32"/>
          <w:szCs w:val="32"/>
          <w:lang w:eastAsia="zh-CN"/>
        </w:rPr>
        <w:t>。</w:t>
      </w:r>
    </w:p>
    <w:p>
      <w:pPr>
        <w:widowControl/>
        <w:spacing w:before="0" w:beforeAutospacing="0" w:after="0" w:afterAutospacing="0" w:line="360" w:lineRule="auto"/>
        <w:jc w:val="left"/>
        <w:rPr>
          <w:rFonts w:ascii="Times New Roman" w:eastAsia="仿宋_GB2312" w:hAnsi="Times New Roman" w:hint="eastAsia"/>
          <w:b w:val="0"/>
          <w:sz w:val="32"/>
          <w:szCs w:val="32"/>
          <w:lang w:eastAsia="zh-CN"/>
        </w:rPr>
      </w:pPr>
    </w:p>
    <w:tbl>
      <w:tblPr>
        <w:jc w:val="left"/>
        <w:tblInd w:w="-617" w:type="dxa"/>
        <w:tblW w:w="10176" w:type="dxa"/>
        <w:tblBorders>
          <w:top w:val="none" w:sz="0" w:space="0" w:color="auto"/>
          <w:left w:val="none" w:sz="0" w:space="0" w:color="auto"/>
          <w:bottom w:val="none" w:sz="0" w:space="0" w:color="auto"/>
          <w:right w:val="none" w:sz="0" w:space="0" w:color="auto"/>
        </w:tblBorders>
        <w:shd w:val="clear" w:color="auto" w:fill="auto"/>
        <w:tblCellMar>
          <w:top w:w="0" w:type="dxa"/>
          <w:left w:w="108" w:type="dxa"/>
          <w:bottom w:w="0" w:type="dxa"/>
          <w:right w:w="108" w:type="dxa"/>
        </w:tblCellMar>
      </w:tblPr>
      <w:tblGrid>
        <w:gridCol w:w="972"/>
        <w:gridCol w:w="900"/>
        <w:gridCol w:w="1092"/>
        <w:gridCol w:w="960"/>
        <w:gridCol w:w="1204"/>
        <w:gridCol w:w="684"/>
        <w:gridCol w:w="587"/>
        <w:gridCol w:w="585"/>
        <w:gridCol w:w="876"/>
        <w:gridCol w:w="828"/>
        <w:gridCol w:w="816"/>
        <w:gridCol w:w="672"/>
      </w:tblGrid>
      <w:tr>
        <w:trPr>
          <w:trHeight w:val="450"/>
        </w:trPr>
        <w:tc>
          <w:tcPr>
            <w:tcW w:w="10176" w:type="dxa"/>
            <w:gridSpan w:val="12"/>
            <w:vMerge w:val="restart"/>
            <w:tcBorders>
              <w:top w:val="single" w:sz="4" w:space="0" w:color="auto"/>
              <w:left w:val="single" w:sz="4" w:space="0" w:color="auto"/>
              <w:bottom w:val="single" w:sz="4" w:space="0" w:color="auto"/>
              <w:right w:val="single" w:sz="4" w:space="0" w:color="auto"/>
            </w:tcBorders>
            <w:shd w:val="clear" w:color="FFFFFF" w:fill="auto"/>
            <w:vAlign w:val="center"/>
          </w:tcPr>
          <w:p>
            <w:pPr>
              <w:keepNext w:val="0"/>
              <w:keepLines w:val="0"/>
              <w:widowControl/>
              <w:suppressLineNumbers w:val="0"/>
              <w:jc w:val="center"/>
              <w:textAlignment w:val="center"/>
              <w:rPr>
                <w:rFonts w:ascii="宋体" w:eastAsia="宋体" w:cs="宋体"/>
                <w:b/>
                <w:bCs/>
                <w:i w:val="0"/>
                <w:iCs w:val="0"/>
                <w:color w:val="000000"/>
                <w:sz w:val="36"/>
                <w:szCs w:val="36"/>
                <w:u w:val="none"/>
              </w:rPr>
            </w:pPr>
            <w:r>
              <w:rPr>
                <w:rFonts w:ascii="宋体" w:eastAsia="宋体" w:cs="宋体"/>
                <w:b/>
                <w:bCs/>
                <w:i w:val="0"/>
                <w:iCs w:val="0"/>
                <w:color w:val="000000"/>
                <w:kern w:val="0"/>
                <w:sz w:val="36"/>
                <w:szCs w:val="36"/>
                <w:u w:val="none"/>
                <w:lang w:val="en-US" w:eastAsia="zh-CN"/>
              </w:rPr>
              <w:t>2024年度预算项目绩效自评表</w:t>
            </w:r>
          </w:p>
        </w:tc>
      </w:tr>
      <w:tr>
        <w:trPr>
          <w:trHeight w:val="450"/>
        </w:trPr>
        <w:tc>
          <w:tcPr>
            <w:tcW w:w="10176" w:type="dxa"/>
            <w:gridSpan w:val="12"/>
            <w:vMerge/>
            <w:tcBorders>
              <w:top w:val="single" w:sz="4" w:space="0" w:color="auto"/>
              <w:left w:val="single" w:sz="4" w:space="0" w:color="auto"/>
              <w:bottom w:val="single" w:sz="4" w:space="0" w:color="auto"/>
              <w:right w:val="single" w:sz="4" w:space="0" w:color="auto"/>
            </w:tcBorders>
            <w:shd w:val="clear" w:color="FFFFFF" w:fill="auto"/>
            <w:vAlign w:val="center"/>
          </w:tcPr>
          <w:p/>
        </w:tc>
      </w:tr>
      <w:tr>
        <w:trPr>
          <w:trHeight w:val="640"/>
        </w:trPr>
        <w:tc>
          <w:tcPr>
            <w:tcW w:w="9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一、基本情况</w:t>
            </w:r>
          </w:p>
        </w:tc>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项目名称</w:t>
            </w:r>
          </w:p>
        </w:tc>
        <w:tc>
          <w:tcPr>
            <w:tcW w:w="205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民族宗教专项经费</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项目级次</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本级</w:t>
            </w:r>
          </w:p>
        </w:tc>
        <w:tc>
          <w:tcPr>
            <w:tcW w:w="117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实施主管单位</w:t>
            </w:r>
          </w:p>
        </w:tc>
        <w:tc>
          <w:tcPr>
            <w:tcW w:w="1704"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 xml:space="preserve">213001 - </w:t>
            </w:r>
            <w:r>
              <w:rPr>
                <w:rFonts w:ascii="宋体" w:eastAsia="宋体" w:cs="宋体" w:hint="eastAsia"/>
                <w:i w:val="0"/>
                <w:iCs w:val="0"/>
                <w:color w:val="000000"/>
                <w:kern w:val="0"/>
                <w:sz w:val="16"/>
                <w:szCs w:val="16"/>
                <w:u w:val="none"/>
                <w:lang w:val="en-US" w:eastAsia="zh-CN"/>
              </w:rPr>
              <w:t>中国共产党涞源县委员会统战部</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金额单位</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万元</w:t>
            </w:r>
          </w:p>
        </w:tc>
      </w:tr>
      <w:tr>
        <w:trPr>
          <w:trHeight w:val="740"/>
        </w:trPr>
        <w:tc>
          <w:tcPr>
            <w:tcW w:w="97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二、预算执行情况</w:t>
            </w:r>
          </w:p>
        </w:tc>
        <w:tc>
          <w:tcPr>
            <w:tcW w:w="199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预算安排情况(调整后)</w:t>
            </w:r>
          </w:p>
        </w:tc>
        <w:tc>
          <w:tcPr>
            <w:tcW w:w="2848"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资金到位情况</w:t>
            </w:r>
          </w:p>
        </w:tc>
        <w:tc>
          <w:tcPr>
            <w:tcW w:w="2876"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资金执行情况</w:t>
            </w:r>
          </w:p>
        </w:tc>
        <w:tc>
          <w:tcPr>
            <w:tcW w:w="1488"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预算执行进度(%)</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预算数</w:t>
            </w: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w:t>
            </w:r>
            <w:r>
              <w:rPr>
                <w:rFonts w:cs="Calibri" w:hint="eastAsia"/>
                <w:i w:val="0"/>
                <w:iCs w:val="0"/>
                <w:color w:val="000000"/>
                <w:kern w:val="0"/>
                <w:sz w:val="16"/>
                <w:szCs w:val="16"/>
                <w:u w:val="none"/>
                <w:lang w:val="en-US" w:eastAsia="zh-CN"/>
              </w:rPr>
              <w:t>0</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到位数</w:t>
            </w:r>
          </w:p>
        </w:tc>
        <w:tc>
          <w:tcPr>
            <w:tcW w:w="1888"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117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执行数</w:t>
            </w:r>
          </w:p>
        </w:tc>
        <w:tc>
          <w:tcPr>
            <w:tcW w:w="1704"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4.9999</w:t>
            </w:r>
          </w:p>
        </w:tc>
        <w:tc>
          <w:tcPr>
            <w:tcW w:w="1488" w:type="dxa"/>
            <w:gridSpan w:val="2"/>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r>
      <w:tr>
        <w:trPr>
          <w:trHeight w:val="60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w:t>
            </w:r>
            <w:r>
              <w:rPr>
                <w:rFonts w:cs="Calibri" w:hint="eastAsia"/>
                <w:i w:val="0"/>
                <w:iCs w:val="0"/>
                <w:color w:val="000000"/>
                <w:kern w:val="0"/>
                <w:sz w:val="16"/>
                <w:szCs w:val="16"/>
                <w:u w:val="none"/>
                <w:lang w:val="en-US" w:eastAsia="zh-CN"/>
              </w:rPr>
              <w:t>0</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888"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lang w:val="en-US"/>
              </w:rPr>
            </w:pPr>
            <w:r>
              <w:rPr>
                <w:rFonts w:ascii="Calibri" w:eastAsia="宋体" w:cs="Calibri" w:hAnsi="Calibri"/>
                <w:i w:val="0"/>
                <w:iCs w:val="0"/>
                <w:color w:val="000000"/>
                <w:kern w:val="0"/>
                <w:sz w:val="16"/>
                <w:szCs w:val="16"/>
                <w:u w:val="none"/>
                <w:lang w:val="en-US" w:eastAsia="zh-CN"/>
              </w:rPr>
              <w:t>5.0</w:t>
            </w:r>
            <w:r>
              <w:rPr>
                <w:rFonts w:cs="Calibri" w:hint="eastAsia"/>
                <w:i w:val="0"/>
                <w:iCs w:val="0"/>
                <w:color w:val="000000"/>
                <w:kern w:val="0"/>
                <w:sz w:val="16"/>
                <w:szCs w:val="16"/>
                <w:u w:val="none"/>
                <w:lang w:val="en-US" w:eastAsia="zh-CN"/>
              </w:rPr>
              <w:t>0</w:t>
            </w:r>
          </w:p>
        </w:tc>
        <w:tc>
          <w:tcPr>
            <w:tcW w:w="117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其中:财政资金</w:t>
            </w:r>
          </w:p>
        </w:tc>
        <w:tc>
          <w:tcPr>
            <w:tcW w:w="1704"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4.999</w:t>
            </w:r>
            <w:r>
              <w:rPr>
                <w:rFonts w:cs="Calibri" w:hint="eastAsia"/>
                <w:i w:val="0"/>
                <w:iCs w:val="0"/>
                <w:color w:val="000000"/>
                <w:kern w:val="0"/>
                <w:sz w:val="16"/>
                <w:szCs w:val="16"/>
                <w:u w:val="none"/>
                <w:lang w:val="en-US" w:eastAsia="zh-CN"/>
              </w:rPr>
              <w:t>9</w:t>
            </w:r>
          </w:p>
        </w:tc>
        <w:tc>
          <w:tcPr>
            <w:tcW w:w="1488" w:type="dxa"/>
            <w:gridSpan w:val="2"/>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888"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172"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其他</w:t>
            </w:r>
          </w:p>
        </w:tc>
        <w:tc>
          <w:tcPr>
            <w:tcW w:w="1704"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w:t>
            </w:r>
          </w:p>
        </w:tc>
        <w:tc>
          <w:tcPr>
            <w:tcW w:w="1488" w:type="dxa"/>
            <w:gridSpan w:val="2"/>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7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三、目标完成情况</w:t>
            </w:r>
          </w:p>
        </w:tc>
        <w:tc>
          <w:tcPr>
            <w:tcW w:w="4156"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年度预期目标</w:t>
            </w:r>
          </w:p>
        </w:tc>
        <w:tc>
          <w:tcPr>
            <w:tcW w:w="3560"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具体完成情况</w:t>
            </w:r>
          </w:p>
        </w:tc>
        <w:tc>
          <w:tcPr>
            <w:tcW w:w="1488"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总体完成率(%)</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4156" w:type="dxa"/>
            <w:gridSpan w:val="4"/>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民族宗教领域安全稳定</w:t>
            </w:r>
          </w:p>
        </w:tc>
        <w:tc>
          <w:tcPr>
            <w:tcW w:w="3560" w:type="dxa"/>
            <w:gridSpan w:val="5"/>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已完成</w:t>
            </w:r>
          </w:p>
        </w:tc>
        <w:tc>
          <w:tcPr>
            <w:tcW w:w="1488" w:type="dxa"/>
            <w:gridSpan w:val="2"/>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100.00</w:t>
            </w:r>
          </w:p>
        </w:tc>
      </w:tr>
      <w:tr>
        <w:trPr>
          <w:trHeight w:val="450"/>
        </w:trPr>
        <w:tc>
          <w:tcPr>
            <w:tcW w:w="97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四、年度绩效</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指标完成情况</w:t>
            </w:r>
          </w:p>
        </w:tc>
        <w:tc>
          <w:tcPr>
            <w:tcW w:w="90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一级指标</w:t>
            </w:r>
          </w:p>
        </w:tc>
        <w:tc>
          <w:tcPr>
            <w:tcW w:w="109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二级指标</w:t>
            </w:r>
          </w:p>
        </w:tc>
        <w:tc>
          <w:tcPr>
            <w:tcW w:w="96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三级指标</w:t>
            </w:r>
          </w:p>
        </w:tc>
        <w:tc>
          <w:tcPr>
            <w:tcW w:w="1204"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指标说明</w:t>
            </w:r>
          </w:p>
        </w:tc>
        <w:tc>
          <w:tcPr>
            <w:tcW w:w="684"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指标分值</w:t>
            </w:r>
          </w:p>
        </w:tc>
        <w:tc>
          <w:tcPr>
            <w:tcW w:w="2048"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预期指标值</w:t>
            </w:r>
          </w:p>
        </w:tc>
        <w:tc>
          <w:tcPr>
            <w:tcW w:w="828"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单项指标实际完成值</w:t>
            </w:r>
          </w:p>
        </w:tc>
        <w:tc>
          <w:tcPr>
            <w:tcW w:w="816"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单项指标完成情况</w:t>
            </w:r>
          </w:p>
        </w:tc>
        <w:tc>
          <w:tcPr>
            <w:tcW w:w="67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自评得分</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1092" w:type="dxa"/>
            <w:vMerge/>
            <w:tcBorders>
              <w:top w:val="single" w:sz="4" w:space="0" w:color="auto"/>
              <w:left w:val="single" w:sz="4" w:space="0" w:color="auto"/>
              <w:bottom w:val="single" w:sz="4" w:space="0" w:color="auto"/>
              <w:right w:val="single" w:sz="4" w:space="0" w:color="auto"/>
            </w:tcBorders>
            <w:shd w:val="clear" w:color="FFFFFF" w:fill="auto"/>
          </w:tcPr>
          <w:p/>
        </w:tc>
        <w:tc>
          <w:tcPr>
            <w:tcW w:w="960" w:type="dxa"/>
            <w:vMerge/>
            <w:tcBorders>
              <w:top w:val="single" w:sz="4" w:space="0" w:color="auto"/>
              <w:left w:val="single" w:sz="4" w:space="0" w:color="auto"/>
              <w:bottom w:val="single" w:sz="4" w:space="0" w:color="auto"/>
              <w:right w:val="single" w:sz="4" w:space="0" w:color="auto"/>
            </w:tcBorders>
            <w:shd w:val="clear" w:color="FFFFFF" w:fill="auto"/>
          </w:tcPr>
          <w:p/>
        </w:tc>
        <w:tc>
          <w:tcPr>
            <w:tcW w:w="1204" w:type="dxa"/>
            <w:vMerge/>
            <w:tcBorders>
              <w:top w:val="single" w:sz="4" w:space="0" w:color="auto"/>
              <w:left w:val="single" w:sz="4" w:space="0" w:color="auto"/>
              <w:bottom w:val="single" w:sz="4" w:space="0" w:color="auto"/>
              <w:right w:val="single" w:sz="4" w:space="0" w:color="auto"/>
            </w:tcBorders>
            <w:shd w:val="clear" w:color="FFFFFF" w:fill="auto"/>
          </w:tcPr>
          <w:p/>
        </w:tc>
        <w:tc>
          <w:tcPr>
            <w:tcW w:w="684" w:type="dxa"/>
            <w:vMerge/>
            <w:tcBorders>
              <w:top w:val="single" w:sz="4" w:space="0" w:color="auto"/>
              <w:left w:val="single" w:sz="4" w:space="0" w:color="auto"/>
              <w:bottom w:val="single" w:sz="4" w:space="0" w:color="auto"/>
              <w:right w:val="single" w:sz="4" w:space="0" w:color="auto"/>
            </w:tcBorders>
            <w:shd w:val="clear" w:color="FFFFFF" w:fill="auto"/>
          </w:tcP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符号</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值</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单位(文字描述)</w:t>
            </w:r>
          </w:p>
        </w:tc>
        <w:tc>
          <w:tcPr>
            <w:tcW w:w="828" w:type="dxa"/>
            <w:vMerge/>
            <w:tcBorders>
              <w:top w:val="single" w:sz="4" w:space="0" w:color="auto"/>
              <w:left w:val="single" w:sz="4" w:space="0" w:color="auto"/>
              <w:bottom w:val="single" w:sz="4" w:space="0" w:color="auto"/>
              <w:right w:val="single" w:sz="4" w:space="0" w:color="auto"/>
            </w:tcBorders>
            <w:shd w:val="clear" w:color="FFFFFF" w:fill="auto"/>
          </w:tcPr>
          <w:p/>
        </w:tc>
        <w:tc>
          <w:tcPr>
            <w:tcW w:w="816" w:type="dxa"/>
            <w:vMerge/>
            <w:tcBorders>
              <w:top w:val="single" w:sz="4" w:space="0" w:color="auto"/>
              <w:left w:val="single" w:sz="4" w:space="0" w:color="auto"/>
              <w:bottom w:val="single" w:sz="4" w:space="0" w:color="auto"/>
              <w:right w:val="single" w:sz="4" w:space="0" w:color="auto"/>
            </w:tcBorders>
            <w:shd w:val="clear" w:color="FFFFFF" w:fill="auto"/>
          </w:tcPr>
          <w:p/>
        </w:tc>
        <w:tc>
          <w:tcPr>
            <w:tcW w:w="672" w:type="dxa"/>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产出指标</w:t>
            </w: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数量指标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信息业务培训次数</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信息业务培训次数</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次</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20</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质量指标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成功举办</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参与活动人数与预计人数的比例</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123</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时效指标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培训及时性</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培训按计划及时开展</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成本指标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效益指标</w:t>
            </w: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经济效益提升值</w:t>
            </w:r>
            <w:r>
              <w:rPr>
                <w:rFonts w:ascii="Calibri" w:eastAsia="宋体" w:cs="Calibri" w:hAnsi="Calibri"/>
                <w:i w:val="0"/>
                <w:iCs w:val="0"/>
                <w:color w:val="000000"/>
                <w:kern w:val="0"/>
                <w:sz w:val="16"/>
                <w:szCs w:val="16"/>
                <w:u w:val="none"/>
                <w:lang w:val="en-US" w:eastAsia="zh-CN"/>
              </w:rPr>
              <w:t>%</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社会效益指标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社会影响力</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影响较好</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较好</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生态效益指标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促进生态文明建设，推动绿色发展和绿色生活方式</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文字描述</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有效推进</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推动</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5</w:t>
            </w:r>
          </w:p>
        </w:tc>
      </w:tr>
      <w:tr>
        <w:trPr>
          <w:trHeight w:val="45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vMerge/>
            <w:tcBorders>
              <w:top w:val="single" w:sz="4" w:space="0" w:color="auto"/>
              <w:left w:val="single" w:sz="4" w:space="0" w:color="auto"/>
              <w:bottom w:val="single" w:sz="4" w:space="0" w:color="auto"/>
              <w:right w:val="single" w:sz="4" w:space="0" w:color="auto"/>
            </w:tcBorders>
            <w:shd w:val="clear" w:color="FFFFFF" w:fill="auto"/>
          </w:tcP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可持续影响指标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持续服务率</w:t>
            </w:r>
            <w:r>
              <w:rPr>
                <w:rFonts w:ascii="Calibri" w:eastAsia="宋体" w:cs="Calibri" w:hAnsi="Calibri"/>
                <w:i w:val="0"/>
                <w:iCs w:val="0"/>
                <w:color w:val="000000"/>
                <w:kern w:val="0"/>
                <w:sz w:val="16"/>
                <w:szCs w:val="16"/>
                <w:u w:val="none"/>
                <w:lang w:val="en-US" w:eastAsia="zh-CN"/>
              </w:rPr>
              <w:t>(%)</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60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满意度指标</w:t>
            </w: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服务对象满意度指标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Fonts w:ascii="宋体" w:eastAsia="宋体" w:cs="宋体" w:hint="eastAsia"/>
                <w:i w:val="0"/>
                <w:iCs w:val="0"/>
                <w:color w:val="000000"/>
                <w:kern w:val="0"/>
                <w:sz w:val="16"/>
                <w:szCs w:val="16"/>
                <w:u w:val="none"/>
                <w:lang w:val="en-US" w:eastAsia="zh-CN"/>
              </w:rPr>
              <w:t>）</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服务对象满意度（</w:t>
            </w:r>
            <w:r>
              <w:rPr>
                <w:rFonts w:ascii="Calibri" w:eastAsia="宋体" w:cs="Calibri" w:hAnsi="Calibri"/>
                <w:i w:val="0"/>
                <w:iCs w:val="0"/>
                <w:color w:val="000000"/>
                <w:kern w:val="0"/>
                <w:sz w:val="16"/>
                <w:szCs w:val="16"/>
                <w:u w:val="none"/>
                <w:lang w:val="en-US" w:eastAsia="zh-CN"/>
              </w:rPr>
              <w:t>%</w:t>
            </w:r>
            <w:r>
              <w:rPr>
                <w:rFonts w:ascii="宋体" w:eastAsia="宋体" w:cs="宋体" w:hint="eastAsia"/>
                <w:i w:val="0"/>
                <w:iCs w:val="0"/>
                <w:color w:val="000000"/>
                <w:kern w:val="0"/>
                <w:sz w:val="16"/>
                <w:szCs w:val="16"/>
                <w:u w:val="none"/>
                <w:lang w:val="en-US" w:eastAsia="zh-CN"/>
              </w:rPr>
              <w:t>）</w:t>
            </w: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10.00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w:t>
            </w: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98</w:t>
            </w: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百分比</w:t>
            </w: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完成</w:t>
            </w: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62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预算执行率</w:t>
            </w:r>
          </w:p>
        </w:tc>
        <w:tc>
          <w:tcPr>
            <w:tcW w:w="109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预算执行率</w:t>
            </w:r>
          </w:p>
        </w:tc>
        <w:tc>
          <w:tcPr>
            <w:tcW w:w="960"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68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c>
          <w:tcPr>
            <w:tcW w:w="587"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585"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7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28"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816" w:type="dxa"/>
            <w:tcBorders>
              <w:top w:val="single" w:sz="4" w:space="0" w:color="auto"/>
              <w:left w:val="single" w:sz="4" w:space="0" w:color="auto"/>
              <w:bottom w:val="single" w:sz="4" w:space="0" w:color="auto"/>
              <w:right w:val="single" w:sz="4" w:space="0" w:color="auto"/>
            </w:tcBorders>
            <w:shd w:val="clear" w:color="FFFFFF" w:fill="auto"/>
          </w:tcPr>
          <w:p>
            <w:pPr>
              <w:rPr>
                <w:rFonts w:ascii="Calibri" w:eastAsia="宋体" w:cs="Calibri" w:hAnsi="Calibri"/>
                <w:i w:val="0"/>
                <w:iCs w:val="0"/>
                <w:color w:val="000000"/>
                <w:sz w:val="16"/>
                <w:szCs w:val="16"/>
                <w:u w:val="none"/>
              </w:rPr>
            </w:pPr>
          </w:p>
        </w:tc>
        <w:tc>
          <w:tcPr>
            <w:tcW w:w="6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10</w:t>
            </w:r>
          </w:p>
        </w:tc>
      </w:tr>
      <w:tr>
        <w:trPr>
          <w:trHeight w:val="60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00"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自评总分</w:t>
            </w:r>
          </w:p>
        </w:tc>
        <w:tc>
          <w:tcPr>
            <w:tcW w:w="8304" w:type="dxa"/>
            <w:gridSpan w:val="10"/>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righ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99</w:t>
            </w:r>
          </w:p>
        </w:tc>
      </w:tr>
      <w:tr>
        <w:trPr>
          <w:trHeight w:val="450"/>
        </w:trPr>
        <w:tc>
          <w:tcPr>
            <w:tcW w:w="972" w:type="dxa"/>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kern w:val="0"/>
                <w:sz w:val="16"/>
                <w:szCs w:val="16"/>
                <w:u w:val="none"/>
                <w:lang w:val="en-US" w:eastAsia="zh-CN"/>
              </w:rPr>
            </w:pPr>
            <w:r>
              <w:rPr>
                <w:rFonts w:ascii="宋体" w:eastAsia="宋体" w:cs="宋体"/>
                <w:b/>
                <w:bCs/>
                <w:i w:val="0"/>
                <w:iCs w:val="0"/>
                <w:color w:val="000000"/>
                <w:kern w:val="0"/>
                <w:sz w:val="16"/>
                <w:szCs w:val="16"/>
                <w:u w:val="none"/>
                <w:lang w:val="en-US" w:eastAsia="zh-CN"/>
              </w:rPr>
              <w:t>五、存在问题</w:t>
            </w:r>
          </w:p>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原因及整改措施</w:t>
            </w:r>
          </w:p>
        </w:tc>
        <w:tc>
          <w:tcPr>
            <w:tcW w:w="9204" w:type="dxa"/>
            <w:gridSpan w:val="11"/>
            <w:vMerge w:val="restart"/>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无</w:t>
            </w:r>
          </w:p>
        </w:tc>
      </w:tr>
      <w:tr>
        <w:trPr>
          <w:trHeight w:val="220"/>
        </w:trPr>
        <w:tc>
          <w:tcPr>
            <w:tcW w:w="972" w:type="dxa"/>
            <w:vMerge/>
            <w:tcBorders>
              <w:top w:val="single" w:sz="4" w:space="0" w:color="auto"/>
              <w:left w:val="single" w:sz="4" w:space="0" w:color="auto"/>
              <w:bottom w:val="single" w:sz="4" w:space="0" w:color="auto"/>
              <w:right w:val="single" w:sz="4" w:space="0" w:color="auto"/>
            </w:tcBorders>
            <w:shd w:val="clear" w:color="FFFFFF" w:fill="auto"/>
          </w:tcPr>
          <w:p/>
        </w:tc>
        <w:tc>
          <w:tcPr>
            <w:tcW w:w="9204" w:type="dxa"/>
            <w:gridSpan w:val="11"/>
            <w:vMerge/>
            <w:tcBorders>
              <w:top w:val="single" w:sz="4" w:space="0" w:color="auto"/>
              <w:left w:val="single" w:sz="4" w:space="0" w:color="auto"/>
              <w:bottom w:val="single" w:sz="4" w:space="0" w:color="auto"/>
              <w:right w:val="single" w:sz="4" w:space="0" w:color="auto"/>
            </w:tcBorders>
            <w:shd w:val="clear" w:color="FFFFFF" w:fill="auto"/>
          </w:tcPr>
          <w:p/>
        </w:tc>
      </w:tr>
      <w:tr>
        <w:trPr>
          <w:trHeight w:val="450"/>
        </w:trPr>
        <w:tc>
          <w:tcPr>
            <w:tcW w:w="972"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填报人:</w:t>
            </w:r>
          </w:p>
        </w:tc>
        <w:tc>
          <w:tcPr>
            <w:tcW w:w="2952" w:type="dxa"/>
            <w:gridSpan w:val="3"/>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谢小娟</w:t>
            </w:r>
          </w:p>
        </w:tc>
        <w:tc>
          <w:tcPr>
            <w:tcW w:w="1204" w:type="dxa"/>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center"/>
              <w:textAlignment w:val="top"/>
              <w:rPr>
                <w:rFonts w:ascii="宋体" w:eastAsia="宋体" w:cs="宋体"/>
                <w:b/>
                <w:bCs/>
                <w:i w:val="0"/>
                <w:iCs w:val="0"/>
                <w:color w:val="000000"/>
                <w:sz w:val="16"/>
                <w:szCs w:val="16"/>
                <w:u w:val="none"/>
              </w:rPr>
            </w:pPr>
            <w:r>
              <w:rPr>
                <w:rFonts w:ascii="宋体" w:eastAsia="宋体" w:cs="宋体"/>
                <w:b/>
                <w:bCs/>
                <w:i w:val="0"/>
                <w:iCs w:val="0"/>
                <w:color w:val="000000"/>
                <w:kern w:val="0"/>
                <w:sz w:val="16"/>
                <w:szCs w:val="16"/>
                <w:u w:val="none"/>
                <w:lang w:val="en-US" w:eastAsia="zh-CN"/>
              </w:rPr>
              <w:t>联系电话:</w:t>
            </w:r>
          </w:p>
        </w:tc>
        <w:tc>
          <w:tcPr>
            <w:tcW w:w="5048" w:type="dxa"/>
            <w:gridSpan w:val="7"/>
            <w:tcBorders>
              <w:top w:val="single" w:sz="4" w:space="0" w:color="auto"/>
              <w:left w:val="single" w:sz="4" w:space="0" w:color="auto"/>
              <w:bottom w:val="single" w:sz="4" w:space="0" w:color="auto"/>
              <w:right w:val="single" w:sz="4" w:space="0" w:color="auto"/>
            </w:tcBorders>
            <w:shd w:val="clear" w:color="FFFFFF" w:fill="auto"/>
          </w:tcPr>
          <w:p>
            <w:pPr>
              <w:keepNext w:val="0"/>
              <w:keepLines w:val="0"/>
              <w:widowControl/>
              <w:suppressLineNumbers w:val="0"/>
              <w:jc w:val="left"/>
              <w:textAlignment w:val="top"/>
              <w:rPr>
                <w:rFonts w:ascii="Calibri" w:eastAsia="宋体" w:cs="Calibri" w:hAnsi="Calibri"/>
                <w:i w:val="0"/>
                <w:iCs w:val="0"/>
                <w:color w:val="000000"/>
                <w:sz w:val="16"/>
                <w:szCs w:val="16"/>
                <w:u w:val="none"/>
              </w:rPr>
            </w:pPr>
            <w:r>
              <w:rPr>
                <w:rFonts w:ascii="Calibri" w:eastAsia="宋体" w:cs="Calibri" w:hAnsi="Calibri"/>
                <w:i w:val="0"/>
                <w:iCs w:val="0"/>
                <w:color w:val="000000"/>
                <w:kern w:val="0"/>
                <w:sz w:val="16"/>
                <w:szCs w:val="16"/>
                <w:u w:val="none"/>
                <w:lang w:val="en-US" w:eastAsia="zh-CN"/>
              </w:rPr>
              <w:t>03127313648</w:t>
            </w:r>
          </w:p>
        </w:tc>
      </w:tr>
    </w:tbl>
    <w:p>
      <w:pPr>
        <w:widowControl/>
        <w:spacing w:before="0" w:beforeAutospacing="0" w:after="0" w:afterAutospacing="0" w:line="360" w:lineRule="auto"/>
        <w:ind w:left="0" w:firstLineChars="200" w:firstLine="640"/>
        <w:jc w:val="left"/>
        <w:rPr>
          <w:rFonts w:ascii="Times New Roman" w:eastAsia="仿宋_GB2312" w:hAnsi="Times New Roman" w:hint="eastAsia"/>
          <w:b w:val="0"/>
          <w:sz w:val="32"/>
          <w:szCs w:val="32"/>
          <w:lang w:eastAsia="zh-CN"/>
        </w:rPr>
      </w:pP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（三）部门评价项目绩效评价结果</w:t>
      </w:r>
    </w:p>
    <w:p>
      <w:pPr>
        <w:widowControl/>
        <w:spacing w:before="0" w:beforeAutospacing="0" w:after="0" w:afterAutospacing="0" w:line="360" w:lineRule="auto"/>
        <w:ind w:firstLineChars="200" w:firstLine="640"/>
        <w:jc w:val="left"/>
        <w:rPr>
          <w:rFonts w:ascii="Times New Roman" w:eastAsia="仿宋_GB2312" w:hAnsi="Times New Roman" w:hint="eastAsia"/>
          <w:sz w:val="32"/>
          <w:szCs w:val="32"/>
          <w:lang w:eastAsia="zh-CN"/>
        </w:rPr>
      </w:pPr>
      <w:r>
        <w:rPr>
          <w:rFonts w:ascii="Times New Roman" w:eastAsia="仿宋_GB2312" w:hAnsi="Times New Roman" w:hint="eastAsia"/>
          <w:sz w:val="32"/>
          <w:szCs w:val="32"/>
          <w:lang w:eastAsia="zh-CN"/>
        </w:rPr>
        <w:t>本部门本年度无部门评价项目绩效评价</w:t>
      </w:r>
      <w:r>
        <w:rPr>
          <w:rFonts w:ascii="Times New Roman" w:eastAsia="仿宋_GB2312" w:hAnsi="Times New Roman" w:hint="eastAsia"/>
          <w:sz w:val="32"/>
          <w:szCs w:val="32"/>
          <w:lang w:val="en-US" w:eastAsia="zh-CN"/>
        </w:rPr>
        <w:t>事项</w:t>
      </w:r>
      <w:r>
        <w:rPr>
          <w:rFonts w:ascii="Times New Roman" w:eastAsia="仿宋_GB2312" w:hAnsi="Times New Roman" w:hint="eastAsia"/>
          <w:sz w:val="32"/>
          <w:szCs w:val="32"/>
          <w:lang w:eastAsia="zh-CN"/>
        </w:rPr>
        <w:t>。</w:t>
      </w:r>
    </w:p>
    <w:p>
      <w:pPr>
        <w:widowControl/>
        <w:spacing w:before="0" w:beforeAutospacing="0" w:after="0" w:afterAutospacing="0" w:line="360" w:lineRule="auto"/>
        <w:ind w:firstLineChars="200" w:firstLine="640"/>
        <w:jc w:val="left"/>
        <w:rPr>
          <w:rFonts w:ascii="Times New Roman" w:eastAsia="黑体" w:hAnsi="Times New Roman"/>
          <w:sz w:val="32"/>
          <w:szCs w:val="32"/>
        </w:rPr>
      </w:pPr>
      <w:r>
        <w:rPr>
          <w:rFonts w:ascii="Times New Roman" w:eastAsia="黑体" w:hAnsi="Times New Roman"/>
          <w:b w:val="0"/>
          <w:sz w:val="32"/>
          <w:szCs w:val="32"/>
        </w:rPr>
        <w:t>十、其他需要说明的情况</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1.本部门2024年度政府性基金预算财政拨款收入支出决算表（公开07表）、国有资本经营预算财政拨款支出决算表（公开08表）无相应收支，故空表列示。</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val="0"/>
          <w:sz w:val="32"/>
          <w:szCs w:val="32"/>
        </w:rPr>
        <w:t>2. 由于决算公开表格中金额数值应当保留两位小数，公开数据为四舍五入计算结果，个别数据合计项与分项之和存在小数点后差额，特此说明。</w:t>
      </w:r>
    </w:p>
    <w:p>
      <w:pPr>
        <w:rPr>
          <w:rFonts w:ascii="Times New Roman" w:eastAsia="仿宋_GB2312" w:cs="Times New Roman" w:hAnsi="Times New Roman"/>
          <w:sz w:val="32"/>
          <w:szCs w:val="32"/>
        </w:rPr>
      </w:pPr>
      <w:r>
        <w:rPr>
          <w:rFonts w:ascii="Times New Roman" w:eastAsia="仿宋_GB2312" w:cs="Times New Roman" w:hAnsi="Times New Roman"/>
          <w:sz w:val="32"/>
          <w:szCs w:val="32"/>
        </w:rPr>
        <w:br w:type="page"/>
      </w:r>
    </w:p>
    <w:p>
      <w:pPr>
        <w:widowControl/>
        <w:spacing w:before="0" w:beforeAutospacing="0" w:after="0" w:afterAutospacing="0" w:line="360" w:lineRule="auto"/>
        <w:jc w:val="center"/>
        <w:outlineLvl w:val="0"/>
        <w:rPr>
          <w:rFonts w:ascii="Times New Roman" w:eastAsia="黑体" w:hAnsi="Times New Roman"/>
          <w:sz w:val="44"/>
          <w:szCs w:val="44"/>
        </w:rPr>
      </w:pPr>
      <w:r>
        <w:rPr>
          <w:rFonts w:ascii="Times New Roman" w:eastAsia="黑体" w:hAnsi="Times New Roman"/>
          <w:b w:val="0"/>
          <w:sz w:val="44"/>
          <w:szCs w:val="44"/>
        </w:rPr>
        <w:t>第四部分 名词解释</w:t>
      </w:r>
    </w:p>
    <w:p>
      <w:pPr>
        <w:widowControl/>
        <w:spacing w:before="0" w:beforeAutospacing="0" w:after="0" w:afterAutospacing="0" w:line="360" w:lineRule="auto"/>
        <w:ind w:firstLineChars="200" w:firstLine="640"/>
        <w:jc w:val="left"/>
        <w:rPr>
          <w:rFonts w:ascii="Times New Roman" w:eastAsia="仿宋_GB2312" w:hAnsi="Times New Roman"/>
          <w:b/>
          <w:sz w:val="32"/>
          <w:szCs w:val="32"/>
        </w:rPr>
      </w:pP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一、财政拨款收入：</w:t>
      </w:r>
      <w:r>
        <w:rPr>
          <w:rFonts w:ascii="Times New Roman" w:eastAsia="仿宋_GB2312" w:hAnsi="Times New Roman"/>
          <w:b w:val="0"/>
          <w:sz w:val="32"/>
          <w:szCs w:val="32"/>
        </w:rPr>
        <w:t>指单位从同级财政部门取得的财政预算资金。</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二、事业收入：</w:t>
      </w:r>
      <w:r>
        <w:rPr>
          <w:rFonts w:ascii="Times New Roman" w:eastAsia="仿宋_GB2312" w:hAnsi="Times New Roman"/>
          <w:b w:val="0"/>
          <w:sz w:val="32"/>
          <w:szCs w:val="32"/>
        </w:rPr>
        <w:t>指事业单位开展专业业务活动及辅助活动取得的收入。</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三、经营收入：</w:t>
      </w:r>
      <w:r>
        <w:rPr>
          <w:rFonts w:ascii="Times New Roman" w:eastAsia="仿宋_GB2312" w:hAnsi="Times New Roman"/>
          <w:b w:val="0"/>
          <w:sz w:val="32"/>
          <w:szCs w:val="32"/>
        </w:rPr>
        <w:t>指事业单位在专业业务活动及其辅助活动之外开展非独立核算经营活动取得的收入。</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四、其他收入：</w:t>
      </w:r>
      <w:r>
        <w:rPr>
          <w:rFonts w:ascii="Times New Roman" w:eastAsia="仿宋_GB2312" w:hAnsi="Times New Roman"/>
          <w:b w:val="0"/>
          <w:sz w:val="32"/>
          <w:szCs w:val="32"/>
        </w:rPr>
        <w:t>指单位取得的除上述收入以外的各项收入。主要是事业单位固定资产出租收入、存款利息收入等。</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五、使用非财政拨款结余（含专用结余）：</w:t>
      </w:r>
      <w:r>
        <w:rPr>
          <w:rFonts w:ascii="Times New Roman" w:eastAsia="仿宋_GB2312" w:hAnsi="Times New Roman"/>
          <w:b w:val="0"/>
          <w:sz w:val="32"/>
          <w:szCs w:val="32"/>
        </w:rPr>
        <w:t>指事业单位按照预算管理要求使用非财政拨款结余弥补收支差额的金额，以及使用专用结余安排支出的金额。</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六、年初结转和结余：</w:t>
      </w:r>
      <w:r>
        <w:rPr>
          <w:rFonts w:ascii="Times New Roman" w:eastAsia="仿宋_GB2312" w:hAnsi="Times New Roman"/>
          <w:b w:val="0"/>
          <w:sz w:val="32"/>
          <w:szCs w:val="32"/>
        </w:rPr>
        <w:t>指单位以前年度尚未完成、结转到本年仍按原规定用途继续使用的资金，或项目已完成等产生的结余资金。</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七、结余分配：</w:t>
      </w:r>
      <w:r>
        <w:rPr>
          <w:rFonts w:ascii="Times New Roman" w:eastAsia="仿宋_GB2312" w:hAnsi="Times New Roman"/>
          <w:b w:val="0"/>
          <w:sz w:val="32"/>
          <w:szCs w:val="32"/>
        </w:rPr>
        <w:t>指事业单位按照会计制度规定缴纳的所得税、提取的专用结余以及转入非财政拨款结余的金额等。</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八、年末结转和结余：</w:t>
      </w:r>
      <w:r>
        <w:rPr>
          <w:rFonts w:ascii="Times New Roman" w:eastAsia="仿宋_GB2312" w:hAnsi="Times New Roman"/>
          <w:b w:val="0"/>
          <w:sz w:val="32"/>
          <w:szCs w:val="32"/>
        </w:rPr>
        <w:t>指单位按有关规定结转到下年或以后年度继续使用的资金，或项目已完成等产生的结余资金。</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九、基本支出：</w:t>
      </w:r>
      <w:r>
        <w:rPr>
          <w:rFonts w:ascii="Times New Roman" w:eastAsia="仿宋_GB2312" w:hAnsi="Times New Roman"/>
          <w:b w:val="0"/>
          <w:sz w:val="32"/>
          <w:szCs w:val="32"/>
        </w:rPr>
        <w:t>指为保障机构正常运转、完成日常工作任务而发生的人员支出和公用支出。</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十、项目支出：</w:t>
      </w:r>
      <w:r>
        <w:rPr>
          <w:rFonts w:ascii="Times New Roman" w:eastAsia="仿宋_GB2312" w:hAnsi="Times New Roman"/>
          <w:b w:val="0"/>
          <w:sz w:val="32"/>
          <w:szCs w:val="32"/>
        </w:rPr>
        <w:t>指在基本支出之外为完成特定行政任务和事业发展目标所发生的支出。</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十一、经营支出 ：</w:t>
      </w:r>
      <w:r>
        <w:rPr>
          <w:rFonts w:ascii="Times New Roman" w:eastAsia="仿宋_GB2312" w:hAnsi="Times New Roman"/>
          <w:b w:val="0"/>
          <w:sz w:val="32"/>
          <w:szCs w:val="32"/>
        </w:rPr>
        <w:t>指事业单位在专业业务活动及其辅助活动之外开展非独立核算经营活动发生的支出。</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十二、基本建设支出：</w:t>
      </w:r>
      <w:r>
        <w:rPr>
          <w:rFonts w:ascii="Times New Roman" w:eastAsia="仿宋_GB2312" w:hAnsi="Times New Roman"/>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十三、其他资本性支出：</w:t>
      </w:r>
      <w:r>
        <w:rPr>
          <w:rFonts w:ascii="Times New Roman" w:eastAsia="仿宋_GB2312" w:hAnsi="Times New Roman"/>
          <w:b w:val="0"/>
          <w:sz w:val="32"/>
          <w:szCs w:val="32"/>
        </w:rPr>
        <w:t>填列由各级非发展与改革部门集中安排的用于购置固定资产、战备性和应急性储备、土地和无形资产，以及购建基础设施、大型修缮和财政支持企业更新改造所发生的支出。</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十四、“三公”经费：</w:t>
      </w:r>
      <w:r>
        <w:rPr>
          <w:rFonts w:ascii="Times New Roman" w:eastAsia="仿宋_GB2312" w:hAnsi="Times New Roman"/>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十五、其他交通费用：</w:t>
      </w:r>
      <w:r>
        <w:rPr>
          <w:rFonts w:ascii="Times New Roman" w:eastAsia="仿宋_GB2312" w:hAnsi="Times New Roman"/>
          <w:b w:val="0"/>
          <w:sz w:val="32"/>
          <w:szCs w:val="32"/>
        </w:rPr>
        <w:t>填列单位除公务用车运行维护费以外的其他交通费用。如公务交通补贴、租车费用、出租车费用，飞机、船舶等燃料费、维修费、保险费等。</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十六、公务用车购置：</w:t>
      </w:r>
      <w:r>
        <w:rPr>
          <w:rFonts w:ascii="Times New Roman" w:eastAsia="仿宋_GB2312" w:hAnsi="Times New Roman"/>
          <w:b w:val="0"/>
          <w:sz w:val="32"/>
          <w:szCs w:val="32"/>
        </w:rPr>
        <w:t>填列单位公务用车车辆购置支出（含车辆购置税、牌照费）。</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十七、其他交通工具购置：</w:t>
      </w:r>
      <w:r>
        <w:rPr>
          <w:rFonts w:ascii="Times New Roman" w:eastAsia="仿宋_GB2312" w:hAnsi="Times New Roman"/>
          <w:b w:val="0"/>
          <w:sz w:val="32"/>
          <w:szCs w:val="32"/>
        </w:rPr>
        <w:t>填列单位除公务用车外的其他各类交通工具（如船舶、飞机等）购置支出（含车辆购置税、牌照费）。</w:t>
      </w:r>
    </w:p>
    <w:p>
      <w:pPr>
        <w:widowControl/>
        <w:spacing w:before="0" w:beforeAutospacing="0" w:after="0" w:afterAutospacing="0" w:line="360" w:lineRule="auto"/>
        <w:ind w:firstLineChars="200" w:firstLine="640"/>
        <w:jc w:val="left"/>
        <w:rPr>
          <w:rFonts w:ascii="Times New Roman" w:eastAsia="仿宋_GB2312" w:hAnsi="Times New Roman"/>
          <w:sz w:val="32"/>
          <w:szCs w:val="32"/>
        </w:rPr>
      </w:pPr>
      <w:r>
        <w:rPr>
          <w:rFonts w:ascii="Times New Roman" w:eastAsia="仿宋_GB2312" w:hAnsi="Times New Roman"/>
          <w:b/>
          <w:sz w:val="32"/>
          <w:szCs w:val="32"/>
        </w:rPr>
        <w:t>十八、机关运行经费：</w:t>
      </w:r>
      <w:r>
        <w:rPr>
          <w:rFonts w:ascii="Times New Roman" w:eastAsia="仿宋_GB2312" w:hAnsi="Times New Roman"/>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w:type="default" r:id="rId11"/>
      <w:pgSz w:w="11906" w:h="16838"/>
      <w:pgMar w:top="1440" w:right="1466" w:bottom="1440" w:left="1560" w:header="851" w:footer="992" w:gutter="0"/>
      <w:pgNumType w:start="1"/>
      <w:rtlGutter/>
      <w:docGrid w:type="lines" w:linePitch="329" w:charSpace="0"/>
    </w:sectPr>
  </w:body>
</w:document>
</file>

<file path=word/fontTable.xml><?xml version="1.0" encoding="utf-8"?>
<w:fonts xmlns:w="http://schemas.openxmlformats.org/wordprocessingml/2006/main" xmlns:r="http://schemas.openxmlformats.org/officeDocument/2006/relationships">
  <w:font w:name="方正小标宋_GBK">
    <w:altName w:val="微软雅黑"/>
    <w:panose1 w:val="02000000000000000000"/>
    <w:charset w:val="86"/>
    <w:family w:val="script"/>
    <w:pitch w:val="variable"/>
    <w:sig w:usb0="A00002BF" w:usb1="38CF7CFA" w:usb2="00082016" w:usb3="00000000" w:csb0="00040001" w:csb1="00000000"/>
  </w:font>
  <w:font w:name="楷体_GB2312">
    <w:panose1 w:val="02010609030101010101"/>
    <w:charset w:val="86"/>
    <w:family w:val="auto"/>
    <w:pitch w:val="variable"/>
    <w:sig w:usb0="00000001" w:usb1="080E0000" w:usb2="00000000" w:usb3="00000000" w:csb0="00040000" w:csb1="00000000"/>
  </w:font>
  <w:font w:name="黑体">
    <w:panose1 w:val="02010609060101010101"/>
    <w:charset w:val="86"/>
    <w:family w:val="auto"/>
    <w:pitch w:val="variable"/>
    <w:sig w:usb0="800002BF" w:usb1="38CF7CFA" w:usb2="00000016" w:usb3="00000000" w:csb0="00040001" w:csb1="00000000"/>
  </w:font>
  <w:font w:name="Times New Roman">
    <w:panose1 w:val="02020603050405020304"/>
    <w:charset w:val="01"/>
    <w:family w:val="auto"/>
    <w:pitch w:val="variable"/>
    <w:sig w:usb0="E0002EFF" w:usb1="C000785B" w:usb2="00000009" w:usb3="00000000" w:csb0="400001FF" w:csb1="FFFF0000"/>
  </w:font>
  <w:font w:name="仿宋_GB2312">
    <w:panose1 w:val="02010609030101010101"/>
    <w:charset w:val="86"/>
    <w:family w:val="auto"/>
    <w:pitch w:val="variable"/>
    <w:sig w:usb0="00000001" w:usb1="080E0000" w:usb2="00000000" w:usb3="00000000" w:csb0="00040000" w:csb1="00000000"/>
  </w:font>
  <w:font w:name="ArialUnicodeMS">
    <w:altName w:val="Malgun Gothic"/>
    <w:panose1 w:val="00000000000000000000"/>
    <w:charset w:val="81"/>
    <w:family w:val="auto"/>
    <w:pitch w:val="variable"/>
    <w:sig w:usb0="00000000" w:usb1="00000000" w:usb2="00000010" w:usb3="00000000" w:csb0="00080001" w:csb1="00000000"/>
  </w:font>
  <w:font w:name="宋体">
    <w:panose1 w:val="02010600030101010101"/>
    <w:charset w:val="7A"/>
    <w:family w:val="auto"/>
    <w:pitch w:val="variable"/>
    <w:sig w:usb0="00000203" w:usb1="288F0000" w:usb2="00000006" w:usb3="00000000" w:csb0="00040001" w:csb1="00000000"/>
  </w:font>
  <w:font w:name="方正仿宋_GB2312">
    <w:altName w:val="微软雅黑"/>
    <w:panose1 w:val="02000000000000000000"/>
    <w:charset w:val="86"/>
    <w:family w:val="auto"/>
    <w:pitch w:val="variable"/>
    <w:sig w:usb0="A00002BF" w:usb1="184F6CFA" w:usb2="00000012" w:usb3="00000000" w:csb0="00040001" w:csb1="00000000"/>
  </w:font>
  <w:font w:name="仿宋">
    <w:panose1 w:val="02010609060101010101"/>
    <w:charset w:val="86"/>
    <w:family w:val="auto"/>
    <w:pitch w:val="variable"/>
    <w:sig w:usb0="800002BF" w:usb1="38CF7CFA" w:usb2="00000016" w:usb3="00000000" w:csb0="00040001" w:csb1="00000000"/>
  </w:font>
  <w:font w:name="Arial">
    <w:panose1 w:val="020B0604020202020204"/>
    <w:charset w:val="01"/>
    <w:family w:val="swiss"/>
    <w:pitch w:val="variable"/>
    <w:sig w:usb0="E0002EFF" w:usb1="C000785B" w:usb2="00000009" w:usb3="00000000" w:csb0="400001FF" w:csb1="FFFF0000"/>
  </w:font>
  <w:font w:name="Calibri">
    <w:panose1 w:val="020F0502020204030204"/>
    <w:charset w:val="00"/>
    <w:family w:val="swiss"/>
    <w:pitch w:val="variable"/>
    <w:sig w:usb0="E4002EFF" w:usb1="C200247B" w:usb2="00000009" w:usb3="00000000" w:csb0="200001FF" w:csb1="00000000"/>
  </w:font>
  <w:font w:name="Calibri Light">
    <w:panose1 w:val="020F0302020204030204"/>
    <w:charset w:val="00"/>
    <w:family w:val="auto"/>
    <w:pitch w:val="variable"/>
    <w:sig w:usb0="E4002EFF" w:usb1="C200247B" w:usb2="00000009" w:usb3="00000000" w:csb0="200001FF" w:csb1="00000000"/>
  </w:font>
  <w:font w:name="华文中宋">
    <w:altName w:val="微软雅黑"/>
    <w:panose1 w:val="02010600040101010101"/>
    <w:charset w:val="86"/>
    <w:family w:val="auto"/>
    <w:pitch w:val="variable"/>
    <w:sig w:usb0="00000287" w:usb1="080F0000" w:usb2="00000000" w:usb3="00000000" w:csb0="0004009F" w:csb1="DFD7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center"/>
    </w:pPr>
    <w:r>
      <w:fldChar w:fldCharType="begin"/>
    </w:r>
    <w:r>
      <w:instrText>PAGE</w:instrText>
    </w:r>
    <w:r>
      <w:fldChar w:fldCharType="separate"/>
    </w:r>
    <w:r>
      <w:t>1</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center"/>
    </w:pPr>
    <w:r>
      <w:fldChar w:fldCharType="begin"/>
    </w:r>
    <w:r>
      <w:instrText>PAGE</w:instrText>
    </w:r>
    <w:r>
      <w:fldChar w:fldCharType="separate"/>
    </w:r>
    <w:r>
      <w:t>1</w:t>
    </w:r>
    <w:r>
      <w:fldChar w:fldCharType="end"/>
    </w: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center"/>
    </w:pPr>
    <w:r>
      <w:fldChar w:fldCharType="begin"/>
    </w:r>
    <w:r>
      <w:instrText>PAGE</w:instrText>
    </w:r>
    <w:r>
      <w:fldChar w:fldCharType="separate"/>
    </w:r>
    <w:r>
      <w:t>1</w:t>
    </w:r>
    <w:r>
      <w:fldChar w:fldCharType="end"/>
    </w:r>
  </w:p>
</w:ftr>
</file>

<file path=word/footer4.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p>
</w:ftr>
</file>

<file path=word/footer5.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center"/>
    </w:pPr>
    <w:r>
      <w:fldChar w:fldCharType="begin"/>
    </w:r>
    <w:r>
      <w:instrText>PAGE</w:instrText>
    </w:r>
    <w:r>
      <w:fldChar w:fldCharType="separate"/>
    </w:r>
    <w:r>
      <w:t>1</w:t>
    </w:r>
    <w:r>
      <w:fldChar w:fldCharType="end"/>
    </w:r>
  </w:p>
</w:ftr>
</file>

<file path=word/footer6.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center"/>
    </w:pPr>
    <w:r>
      <w:fldChar w:fldCharType="begin"/>
    </w:r>
    <w:r>
      <w:instrText>PAGE</w:instrText>
    </w:r>
    <w:r>
      <w:fldChar w:fldCharType="separate"/>
    </w:r>
    <w:r>
      <w:t>1</w:t>
    </w:r>
    <w:r>
      <w:fldChar w:fldCharType="end"/>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8"/>
      <w:tabs>
        <w:tab w:val="center" w:pos="4153"/>
        <w:tab w:val="right" w:pos="8306"/>
      </w:tabs>
    </w:pP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8"/>
      <w:tabs>
        <w:tab w:val="center" w:pos="4153"/>
        <w:tab w:val="right" w:pos="8306"/>
      </w:tabs>
    </w:pPr>
  </w:p>
</w:hdr>
</file>

<file path=word/header3.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8"/>
      <w:tabs>
        <w:tab w:val="center" w:pos="4153"/>
        <w:tab w:val="right" w:pos="8306"/>
      </w:tabs>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A0B1A65E"/>
    <w:multiLevelType w:val="singleLevel"/>
    <w:tmpl w:val="A0B1A65E"/>
    <w:lvl w:ilvl="0">
      <w:start w:val="2"/>
      <w:numFmt w:val="chineseCounting"/>
      <w:lvlRestart w:val="0"/>
      <w:suff w:val="nothing"/>
      <w:lvlText w:val="（%1）"/>
      <w:lvlJc w:val="left"/>
      <w:pPr>
        <w:ind w:left="0" w:hanging="0"/>
      </w:pPr>
      <w:rPr>
        <w:rFonts w:hint="eastAsia"/>
      </w:rPr>
    </w:lvl>
  </w:abstractNum>
  <w:abstractNum w:abstractNumId="1">
    <w:nsid w:val="6BA9993E"/>
    <w:multiLevelType w:val="multilevel"/>
    <w:tmpl w:val="A5381B61"/>
    <w:lvl w:ilvl="0">
      <w:start w:val="1"/>
      <w:numFmt w:val="decimal"/>
      <w:lvlRestart w:val="0"/>
      <w:pStyle w:val="1"/>
      <w:lvlText w:val="%1."/>
      <w:lvlJc w:val="left"/>
      <w:pPr>
        <w:ind w:left="425" w:hanging="425"/>
      </w:pPr>
      <w:rPr>
        <w:rFonts w:hint="default"/>
      </w:rPr>
    </w:lvl>
    <w:lvl w:ilvl="1">
      <w:start w:val="1"/>
      <w:numFmt w:val="decimal"/>
      <w:pStyle w:val="2"/>
      <w:lvlText w:val="%1.%2."/>
      <w:lvlJc w:val="left"/>
      <w:pPr>
        <w:ind w:left="567" w:hanging="567"/>
      </w:pPr>
      <w:rPr>
        <w:rFonts w:hint="default"/>
      </w:rPr>
    </w:lvl>
    <w:lvl w:ilvl="2">
      <w:start w:val="1"/>
      <w:numFmt w:val="decimal"/>
      <w:pStyle w:val="3"/>
      <w:lvlText w:val="%1.%2.%3."/>
      <w:lvlJc w:val="left"/>
      <w:pPr>
        <w:ind w:left="709" w:hanging="709"/>
      </w:pPr>
      <w:rPr>
        <w:rFonts w:hint="default"/>
      </w:rPr>
    </w:lvl>
    <w:lvl w:ilvl="3">
      <w:start w:val="1"/>
      <w:numFmt w:val="decimal"/>
      <w:pStyle w:val="4"/>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val="0"/>
  <w:bordersDoNotSurroundFooter w:val="0"/>
  <w:documentProtection w:edit="readOnly" w:enforcement="0"/>
  <w:defaultTabStop w:val="420"/>
  <w:drawingGridHorizontalSpacing w:val="120"/>
  <w:drawingGridVerticalSpacing w:val="165"/>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useAltKinsokuLineBreakRules/>
    <w:compatSetting w:name="compatibilityMode" w:uri="http://schemas.microsoft.com/office/word" w:val="14"/>
  </w:compat>
  <w:docVars>
    <w:docVar w:name="commondata" w:val="eyJjb3VudCI6NzgsImhkaWQiOiIzYjkyMmM1ODE1ZmFkOTY0NWZlOTYwNWMwNTg0OTAzNCIsInVzZXJDb3VudCI6OX0="/>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宋体" w:hAnsi="Calibri"/>
      <w:color w:val="auto"/>
      <w:kern w:val="0"/>
      <w:sz w:val="24"/>
      <w:szCs w:val="24"/>
      <w:lang w:val="en-US" w:eastAsia="zh-CN" w:bidi="ar-SA"/>
    </w:rPr>
  </w:style>
  <w:style w:type="paragraph" w:styleId="1">
    <w:name w:val="heading 1"/>
    <w:basedOn w:val="0"/>
    <w:next w:val="0"/>
    <w:pPr>
      <w:keepNext/>
      <w:keepLines/>
      <w:widowControl w:val="0"/>
      <w:numPr>
        <w:ilvl w:val="0"/>
        <w:numId w:val="2"/>
      </w:numPr>
      <w:adjustRightInd w:val="0"/>
      <w:snapToGrid w:val="0"/>
      <w:spacing w:before="340" w:afterLines="50" w:after="50" w:line="578" w:lineRule="auto"/>
      <w:ind w:left="425" w:hanging="425"/>
      <w:jc w:val="left"/>
      <w:outlineLvl w:val="0"/>
    </w:pPr>
    <w:rPr>
      <w:rFonts w:ascii="Times New Roman" w:eastAsia="仿宋" w:cs="Times New Roman" w:hAnsi="Times New Roman"/>
      <w:b/>
      <w:bCs/>
      <w:kern w:val="44"/>
      <w:sz w:val="36"/>
      <w:szCs w:val="44"/>
    </w:rPr>
  </w:style>
  <w:style w:type="paragraph" w:styleId="2">
    <w:name w:val="heading 2"/>
    <w:basedOn w:val="0"/>
    <w:next w:val="0"/>
    <w:pPr>
      <w:widowControl w:val="0"/>
      <w:numPr>
        <w:ilvl w:val="1"/>
        <w:numId w:val="2"/>
      </w:numPr>
      <w:spacing w:line="415" w:lineRule="auto"/>
      <w:ind w:left="567" w:hanging="567"/>
      <w:outlineLvl w:val="1"/>
    </w:pPr>
    <w:rPr>
      <w:rFonts w:ascii="Calibri Light" w:eastAsia="宋体" w:cs="Times New Roman" w:hAnsi="Calibri Light"/>
      <w:b/>
      <w:bCs/>
      <w:sz w:val="28"/>
      <w:szCs w:val="32"/>
    </w:rPr>
  </w:style>
  <w:style w:type="paragraph" w:styleId="3">
    <w:name w:val="heading 3"/>
    <w:basedOn w:val="0"/>
    <w:next w:val="0"/>
    <w:pPr>
      <w:keepNext/>
      <w:keepLines/>
      <w:widowControl w:val="0"/>
      <w:numPr>
        <w:ilvl w:val="2"/>
        <w:numId w:val="2"/>
      </w:numPr>
      <w:spacing w:beforeLines="50" w:before="50" w:afterLines="50" w:after="50" w:line="415" w:lineRule="auto"/>
      <w:outlineLvl w:val="2"/>
    </w:pPr>
    <w:rPr>
      <w:rFonts w:ascii="宋体" w:eastAsia="宋体" w:cs="宋体"/>
      <w:b/>
      <w:bCs/>
      <w:sz w:val="32"/>
    </w:rPr>
  </w:style>
  <w:style w:type="paragraph" w:styleId="4">
    <w:name w:val="heading 4"/>
    <w:basedOn w:val="0"/>
    <w:next w:val="0"/>
    <w:pPr>
      <w:keepNext/>
      <w:keepLines/>
      <w:widowControl w:val="0"/>
      <w:numPr>
        <w:ilvl w:val="3"/>
        <w:numId w:val="2"/>
      </w:numPr>
      <w:spacing w:before="120" w:after="120"/>
      <w:outlineLvl w:val="3"/>
    </w:pPr>
    <w:rPr>
      <w:rFonts w:ascii="Calibri Light" w:eastAsia="宋体" w:cs="Times New Roman" w:hAnsi="Calibri Light"/>
      <w:b/>
      <w:bCs/>
      <w:sz w:val="28"/>
      <w:szCs w:val="28"/>
    </w:rPr>
  </w:style>
  <w:style w:type="character" w:default="1" w:styleId="10">
    <w:name w:val="Default Paragraph Font"/>
  </w:style>
  <w:style w:type="paragraph" w:styleId="15">
    <w:name w:val="annotation text"/>
    <w:basedOn w:val="0"/>
    <w:pPr>
      <w:jc w:val="left"/>
    </w:pPr>
  </w:style>
  <w:style w:type="paragraph" w:styleId="16">
    <w:name w:val="Balloon Text"/>
    <w:basedOn w:val="0"/>
    <w:rPr>
      <w:rFonts w:cs="Arial"/>
      <w:kern w:val="2"/>
      <w:sz w:val="18"/>
      <w:szCs w:val="18"/>
    </w:rPr>
  </w:style>
  <w:style w:type="paragraph" w:styleId="17">
    <w:name w:val="footer"/>
    <w:basedOn w:val="0"/>
    <w:pPr>
      <w:tabs>
        <w:tab w:val="center" w:pos="4153"/>
        <w:tab w:val="right" w:pos="8306"/>
      </w:tabs>
      <w:snapToGrid w:val="0"/>
      <w:jc w:val="left"/>
    </w:pPr>
    <w:rPr>
      <w:rFonts w:cs="Arial"/>
      <w:kern w:val="2"/>
      <w:sz w:val="18"/>
      <w:szCs w:val="18"/>
    </w:rPr>
  </w:style>
  <w:style w:type="paragraph" w:styleId="18">
    <w:name w:val="header"/>
    <w:basedOn w:val="0"/>
    <w:pPr>
      <w:pBdr>
        <w:top w:val="none" w:sz="0" w:space="0" w:color="auto"/>
        <w:left w:val="none" w:sz="0" w:space="0" w:color="auto"/>
        <w:bottom w:val="none" w:sz="0" w:space="0" w:color="auto"/>
        <w:right w:val="none" w:sz="0" w:space="0" w:color="auto"/>
      </w:pBdr>
      <w:tabs>
        <w:tab w:val="center" w:pos="4153"/>
        <w:tab w:val="right" w:pos="8306"/>
      </w:tabs>
      <w:snapToGrid w:val="0"/>
      <w:jc w:val="center"/>
    </w:pPr>
    <w:rPr>
      <w:rFonts w:cs="Arial"/>
      <w:kern w:val="2"/>
      <w:sz w:val="18"/>
      <w:szCs w:val="18"/>
    </w:rPr>
  </w:style>
  <w:style w:type="paragraph" w:styleId="19">
    <w:name w:val="Normal (Web)"/>
    <w:basedOn w:val="0"/>
    <w:pPr>
      <w:spacing w:before="0" w:beforeAutospacing="1" w:after="0" w:afterAutospacing="1"/>
      <w:ind w:left="0" w:right="0"/>
      <w:jc w:val="left"/>
    </w:pPr>
    <w:rPr>
      <w:kern w:val="0"/>
      <w:sz w:val="24"/>
      <w:lang w:val="en-US" w:eastAsia="zh-CN"/>
    </w:rPr>
  </w:style>
  <w:style w:type="character" w:styleId="20">
    <w:name w:val="Strong"/>
    <w:basedOn w:val="10"/>
    <w:rPr>
      <w:b/>
    </w:rPr>
  </w:style>
  <w:style w:type="character" w:customStyle="1" w:styleId="21">
    <w:name w:val="font11"/>
    <w:basedOn w:val="10"/>
    <w:rPr>
      <w:rFonts w:ascii="宋体" w:eastAsia="宋体" w:cs="宋体"/>
      <w:color w:val="000000"/>
      <w:sz w:val="20"/>
      <w:szCs w:val="20"/>
      <w:u w:val="none"/>
      <w:lang w:val="en-US" w:eastAsia="zh-CN" w:bidi="ar-SA"/>
    </w:rPr>
  </w:style>
  <w:style w:type="character" w:customStyle="1" w:styleId="22">
    <w:name w:val="font01"/>
    <w:basedOn w:val="10"/>
    <w:rPr>
      <w:rFonts w:ascii="宋体" w:eastAsia="宋体" w:cs="宋体"/>
      <w:color w:val="000000"/>
      <w:sz w:val="22"/>
      <w:szCs w:val="22"/>
      <w:u w:val="none"/>
      <w:lang w:val="en-US" w:eastAsia="zh-CN" w:bidi="ar-SA"/>
    </w:rPr>
  </w:style>
  <w:style w:type="character" w:customStyle="1" w:styleId="23">
    <w:name w:val="font41"/>
    <w:basedOn w:val="10"/>
    <w:rPr>
      <w:rFonts w:ascii="宋体" w:eastAsia="宋体" w:cs="宋体"/>
      <w:color w:val="000000"/>
      <w:sz w:val="24"/>
      <w:szCs w:val="24"/>
      <w:u w:val="none"/>
      <w:lang w:val="en-US" w:eastAsia="zh-CN" w:bidi="ar-SA"/>
    </w:rPr>
  </w:style>
  <w:style w:type="character" w:customStyle="1" w:styleId="24">
    <w:name w:val="font31"/>
    <w:basedOn w:val="10"/>
    <w:rPr>
      <w:rFonts w:ascii="华文中宋" w:eastAsia="华文中宋" w:cs="华文中宋"/>
      <w:color w:val="000000"/>
      <w:sz w:val="32"/>
      <w:szCs w:val="32"/>
      <w:u w:val="none"/>
      <w:lang w:val="en-US" w:eastAsia="zh-CN" w:bidi="ar-SA"/>
    </w:rPr>
  </w:style>
  <w:style w:type="character" w:customStyle="1" w:styleId="25">
    <w:name w:val="font91"/>
    <w:basedOn w:val="10"/>
    <w:rPr>
      <w:rFonts w:ascii="华文中宋" w:eastAsia="华文中宋" w:cs="华文中宋"/>
      <w:color w:val="000000"/>
      <w:sz w:val="32"/>
      <w:szCs w:val="32"/>
      <w:u w:val="none"/>
      <w:lang w:val="en-US" w:eastAsia="zh-CN" w:bidi="ar-SA"/>
    </w:rPr>
  </w:style>
  <w:style w:type="character" w:customStyle="1" w:styleId="26">
    <w:name w:val="font51"/>
    <w:basedOn w:val="10"/>
    <w:rPr>
      <w:rFonts w:ascii="宋体" w:eastAsia="宋体" w:cs="宋体"/>
      <w:color w:val="000000"/>
      <w:sz w:val="24"/>
      <w:szCs w:val="24"/>
      <w:u w:val="none"/>
      <w:lang w:val="en-US" w:eastAsia="zh-CN" w:bidi="ar-SA"/>
    </w:rPr>
  </w:style>
  <w:style w:type="character" w:customStyle="1" w:styleId="27">
    <w:name w:val="font81"/>
    <w:basedOn w:val="10"/>
    <w:rPr>
      <w:rFonts w:ascii="Calibri" w:cs="Calibri" w:hAnsi="Calibri"/>
      <w:color w:val="000000"/>
      <w:sz w:val="16"/>
      <w:szCs w:val="16"/>
      <w:u w:val="none"/>
    </w:rPr>
  </w:style>
  <w:style w:type="character" w:customStyle="1" w:styleId="28">
    <w:name w:val="font61"/>
    <w:basedOn w:val="10"/>
    <w:rPr>
      <w:rFonts w:ascii="宋体" w:eastAsia="宋体" w:cs="宋体"/>
      <w:color w:val="000000"/>
      <w:sz w:val="16"/>
      <w:szCs w:val="16"/>
      <w:u w:val="none"/>
    </w:rPr>
  </w:style>
  <w:style w:type="character" w:customStyle="1" w:styleId="29">
    <w:name w:val="font71"/>
    <w:basedOn w:val="10"/>
    <w:rPr>
      <w:rFonts w:ascii="宋体" w:eastAsia="宋体" w:cs="宋体"/>
      <w:color w:val="000000"/>
      <w:sz w:val="16"/>
      <w:szCs w:val="16"/>
      <w:u w:val="non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eg"/><Relationship Id="rId4" Type="http://schemas.openxmlformats.org/officeDocument/2006/relationships/footer" Target="footer2.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header" Target="header3.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chart" Target="charts/chart1.xml"/><Relationship Id="rId13" Type="http://schemas.openxmlformats.org/officeDocument/2006/relationships/chart" Target="charts/chart2.xml"/><Relationship Id="rId14" Type="http://schemas.openxmlformats.org/officeDocument/2006/relationships/chart" Target="charts/chart3.xml"/><Relationship Id="rId15" Type="http://schemas.openxmlformats.org/officeDocument/2006/relationships/chart" Target="charts/chart4.xml"/><Relationship Id="rId16" Type="http://schemas.openxmlformats.org/officeDocument/2006/relationships/chart" Target="charts/chart5.xml"/><Relationship Id="rId17" Type="http://schemas.openxmlformats.org/officeDocument/2006/relationships/chart" Target="charts/chart6.xml"/><Relationship Id="rId18" Type="http://schemas.openxmlformats.org/officeDocument/2006/relationships/styles" Target="styles.xml"/><Relationship Id="rId19" Type="http://schemas.openxmlformats.org/officeDocument/2006/relationships/numbering" Target="numbering.xml"/><Relationship Id="rId2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char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char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char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char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char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char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图 1 ： 2023-2024年收支总计对比图（万元）</a:t>
            </a:r>
          </a:p>
        </c:rich>
      </c:tx>
      <c:layout/>
      <c:overlay val="0"/>
      <c:spPr>
        <a:noFill/>
        <a:ln>
          <a:noFill/>
        </a:ln>
      </c:spPr>
    </c:title>
    <c:autoTitleDeleted val="1"/>
    <c:plotArea>
      <c:layout/>
      <c:barChart>
        <c:barDir val="col"/>
        <c:grouping val="clustered"/>
        <c:varyColors val="0"/>
        <c:ser>
          <c:idx val="0"/>
          <c:order val="0"/>
          <c:tx>
            <c:strRef>
              <c:f>'Sheet1'!$B$1</c:f>
              <c:strCache>
                <c:ptCount val="1"/>
                <c:pt idx="0">
                  <c:v>收支总计</c:v>
                </c:pt>
              </c:strCache>
            </c:strRef>
          </c:tx>
          <c:spPr>
            <a:solidFill>
              <a:srgbClr val="4874CB"/>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'Sheet1'!$A$2:$A$3</c:f>
              <c:strCache>
                <c:ptCount val="2"/>
                <c:pt idx="0">
                  <c:v>2023年</c:v>
                </c:pt>
                <c:pt idx="1">
                  <c:v>2024年</c:v>
                </c:pt>
              </c:strCache>
            </c:strRef>
          </c:cat>
          <c:val>
            <c:numRef>
              <c:f>'Sheet1'!$B$2:$B$3</c:f>
              <c:numCache>
                <c:formatCode>General</c:formatCode>
                <c:ptCount val="2"/>
                <c:pt idx="0">
                  <c:v>158.23</c:v>
                </c:pt>
                <c:pt idx="1">
                  <c:v>143.81</c:v>
                </c:pt>
              </c:numCache>
            </c:numRef>
          </c:val>
        </c:ser>
        <c:overlap val="-28"/>
        <c:gapWidth val="246"/>
        <c:axId val="0"/>
        <c:axId val="1"/>
      </c:barChart>
      <c:catAx>
        <c:axId val="0"/>
        <c:scaling>
          <c:orientation val="minMax"/>
        </c:scaling>
        <c:delete val="0"/>
        <c:axPos val="b"/>
        <c:numFmt formatCode="General" sourceLinked="0"/>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spPr>
        <a:noFill/>
        <a:ln>
          <a:noFill/>
        </a:ln>
      </c:spPr>
    </c:plotArea>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图 2 ：收入决算构成情况图</a:t>
            </a:r>
          </a:p>
        </c:rich>
      </c:tx>
      <c:layout/>
      <c:overlay val="0"/>
      <c:spPr>
        <a:noFill/>
        <a:ln>
          <a:noFill/>
        </a:ln>
      </c:spPr>
    </c:title>
    <c:autoTitleDeleted val="1"/>
    <c:plotArea>
      <c:layout/>
      <c:pieChart>
        <c:varyColors val="1"/>
        <c:ser>
          <c:idx val="0"/>
          <c:order val="0"/>
          <c:tx>
            <c:strRef>
              <c:f>'Sheet1 (2)'!$B$1</c:f>
              <c:strCache>
                <c:ptCount val="1"/>
                <c:pt idx="0">
                  <c:v>金额</c:v>
                </c:pt>
              </c:strCache>
            </c:strRef>
          </c:tx>
          <c:spPr>
            <a:solidFill>
              <a:srgbClr val="4F81BD"/>
            </a:solidFill>
            <a:ln>
              <a:noFill/>
            </a:ln>
          </c:spPr>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Pt>
            <c:idx val="5"/>
            <c:bubble3D val="0"/>
            <c:spPr>
              <a:solidFill>
                <a:srgbClr val="E54C5E"/>
              </a:solidFill>
              <a:ln w="6350">
                <a:solidFill>
                  <a:srgbClr val="FFFFFF"/>
                </a:solidFill>
                <a:prstDash val="solid"/>
              </a:ln>
            </c:spPr>
          </c:dPt>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 sourceLinked="0"/>
            <c:dLbl>
              <c:idx val="0"/>
              <c:layout>
                <c:manualLayout>
                  <c:x val="0.058347344"/>
                  <c:y val="-0.17339566"/>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dLblPos val="bestFit"/>
              <c:showLegendKey val="1"/>
              <c:showVal val="0"/>
              <c:showCatName val="1"/>
              <c:showSerName val="0"/>
              <c:showPercent val="1"/>
              <c:showBubbleSize val="0"/>
              <c:separator> </c:separator>
            </c:dLbl>
            <c:dLbl>
              <c:idx val="1"/>
              <c:layout>
                <c:manualLayout>
                  <c:x val="-0.3080455"/>
                  <c:y val="0.6391468"/>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dLblPos val="bestFit"/>
              <c:tx>
                <c:rich>
                  <a:bodyPr vert="horz"/>
                  <a:lstStyle/>
                  <a:p>
                    <a:pPr>
                      <a:defRPr sz="1000" b="0" i="0" u="none" strike="noStrike" baseline="0">
                        <a:solidFill>
                          <a:srgbClr val="404040"/>
                        </a:solidFill>
                        <a:latin typeface="Times New Roman"/>
                        <a:ea typeface="宋体"/>
                        <a:cs typeface="Arial"/>
                      </a:defRPr>
                    </a:pPr>
                    <a:r>
                      <a:rPr lang="zh-CN"/>
                      <a:t>上级补助收入 0%</a:t>
                    </a:r>
                  </a:p>
                </c:rich>
              </c:tx>
              <c:showLegendKey val="1"/>
              <c:showVal val="0"/>
              <c:showCatName val="1"/>
              <c:showSerName val="0"/>
              <c:showPercent val="1"/>
              <c:showBubbleSize val="0"/>
              <c:separator> </c:separator>
            </c:dLbl>
            <c:dLbl>
              <c:idx val="2"/>
              <c:layout>
                <c:manualLayout>
                  <c:x val="0.40541184"/>
                  <c:y val="0.17185508"/>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dLblPos val="bestFit"/>
              <c:tx>
                <c:rich>
                  <a:bodyPr vert="horz"/>
                  <a:lstStyle/>
                  <a:p>
                    <a:pPr>
                      <a:defRPr sz="1000" b="0" i="0" u="none" strike="noStrike" baseline="0">
                        <a:solidFill>
                          <a:srgbClr val="404040"/>
                        </a:solidFill>
                        <a:latin typeface="Times New Roman"/>
                        <a:ea typeface="宋体"/>
                        <a:cs typeface="Arial"/>
                      </a:defRPr>
                    </a:pPr>
                    <a:r>
                      <a:rPr lang="zh-CN"/>
                      <a:t>事业收入 0%</a:t>
                    </a:r>
                  </a:p>
                </c:rich>
              </c:tx>
              <c:showLegendKey val="1"/>
              <c:showVal val="0"/>
              <c:showCatName val="1"/>
              <c:showSerName val="0"/>
              <c:showPercent val="1"/>
              <c:showBubbleSize val="0"/>
              <c:separator> </c:separator>
            </c:dLbl>
            <c:dLbl>
              <c:idx val="3"/>
              <c:layout>
                <c:manualLayout>
                  <c:x val="-0.28690514"/>
                  <c:y val="0.27025074"/>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dLblPos val="bestFit"/>
              <c:tx>
                <c:rich>
                  <a:bodyPr vert="horz"/>
                  <a:lstStyle/>
                  <a:p>
                    <a:pPr>
                      <a:defRPr sz="1000" b="0" i="0" u="none" strike="noStrike" baseline="0">
                        <a:solidFill>
                          <a:srgbClr val="404040"/>
                        </a:solidFill>
                        <a:latin typeface="Times New Roman"/>
                        <a:ea typeface="宋体"/>
                        <a:cs typeface="Arial"/>
                      </a:defRPr>
                    </a:pPr>
                    <a:r>
                      <a:rPr lang="zh-CN"/>
                      <a:t>经营收入 0%</a:t>
                    </a:r>
                  </a:p>
                </c:rich>
              </c:tx>
              <c:showLegendKey val="1"/>
              <c:showVal val="0"/>
              <c:showCatName val="1"/>
              <c:showSerName val="0"/>
              <c:showPercent val="1"/>
              <c:showBubbleSize val="0"/>
              <c:separator> </c:separator>
            </c:dLbl>
            <c:dLbl>
              <c:idx val="4"/>
              <c:layout>
                <c:manualLayout>
                  <c:x val="-0.29898536"/>
                  <c:y val="0.44916064"/>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dLblPos val="bestFit"/>
              <c:tx>
                <c:rich>
                  <a:bodyPr vert="horz"/>
                  <a:lstStyle/>
                  <a:p>
                    <a:pPr>
                      <a:defRPr sz="1000" b="0" i="0" u="none" strike="noStrike" baseline="0">
                        <a:solidFill>
                          <a:srgbClr val="404040"/>
                        </a:solidFill>
                        <a:latin typeface="Times New Roman"/>
                        <a:ea typeface="宋体"/>
                        <a:cs typeface="Arial"/>
                      </a:defRPr>
                    </a:pPr>
                    <a:r>
                      <a:rPr lang="zh-CN"/>
                      <a:t>附属单位上缴收入 0%</a:t>
                    </a:r>
                  </a:p>
                </c:rich>
              </c:tx>
              <c:showLegendKey val="1"/>
              <c:showVal val="0"/>
              <c:showCatName val="1"/>
              <c:showSerName val="0"/>
              <c:showPercent val="1"/>
              <c:showBubbleSize val="0"/>
              <c:separator> </c:separator>
            </c:dLbl>
            <c:dLbl>
              <c:idx val="5"/>
              <c:layout>
                <c:manualLayout>
                  <c:x val="-0.28847557"/>
                  <c:y val="0.12416596"/>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dLblPos val="bestFit"/>
              <c:showLegendKey val="1"/>
              <c:showVal val="0"/>
              <c:showCatName val="1"/>
              <c:showSerName val="0"/>
              <c:showPercent val="1"/>
              <c:showBubbleSize val="0"/>
              <c:separator> </c:separator>
            </c:dLbl>
            <c:dLblPos val="ctr"/>
            <c:showLegendKey val="1"/>
            <c:showVal val="0"/>
            <c:showCatName val="1"/>
            <c:showSerName val="0"/>
            <c:showPercent val="1"/>
            <c:showBubbleSize val="0"/>
            <c:separator> </c:separator>
            <c:showLeaderLines val="1"/>
          </c:dLbls>
          <c:cat>
            <c:strRef>
              <c:f>'Sheet1 (2)'!$A$2:$A$7</c:f>
              <c:strCache>
                <c:ptCount val="6"/>
                <c:pt idx="0">
                  <c:v>财政拨款收入</c:v>
                </c:pt>
                <c:pt idx="1">
                  <c:v>上级补助收入</c:v>
                </c:pt>
                <c:pt idx="2">
                  <c:v>事业收入</c:v>
                </c:pt>
                <c:pt idx="3">
                  <c:v>经营收入</c:v>
                </c:pt>
                <c:pt idx="4">
                  <c:v>附属单位上缴收入</c:v>
                </c:pt>
                <c:pt idx="5">
                  <c:v>其他收入</c:v>
                </c:pt>
              </c:strCache>
            </c:strRef>
          </c:cat>
          <c:val>
            <c:numRef>
              <c:f>'Sheet1 (2)'!$B$2:$B$7</c:f>
              <c:numCache>
                <c:formatCode>0.00_);[Red](0.00)</c:formatCode>
                <c:ptCount val="6"/>
                <c:pt idx="0">
                  <c:v>1436092.82</c:v>
                </c:pt>
                <c:pt idx="1">
                  <c:v>0.0</c:v>
                </c:pt>
                <c:pt idx="2">
                  <c:v>0.0</c:v>
                </c:pt>
                <c:pt idx="3">
                  <c:v>0.0</c:v>
                </c:pt>
                <c:pt idx="4">
                  <c:v>0.0</c:v>
                </c:pt>
                <c:pt idx="5">
                  <c:v>1637.17</c:v>
                </c:pt>
              </c:numCache>
            </c:numRef>
          </c:val>
        </c:ser>
        <c:firstSliceAng val="0"/>
      </c:pieChart>
      <c:spPr>
        <a:noFill/>
        <a:ln>
          <a:noFill/>
        </a:ln>
      </c:spPr>
    </c:plotArea>
    <c:legend>
      <c:legendPos val="r"/>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图 3 ：支出决算构成情况图</a:t>
            </a:r>
          </a:p>
        </c:rich>
      </c:tx>
      <c:layout/>
      <c:overlay val="0"/>
      <c:spPr>
        <a:noFill/>
        <a:ln>
          <a:noFill/>
        </a:ln>
      </c:spPr>
    </c:title>
    <c:autoTitleDeleted val="1"/>
    <c:plotArea>
      <c:layout/>
      <c:pieChart>
        <c:varyColors val="1"/>
        <c:ser>
          <c:idx val="0"/>
          <c:order val="0"/>
          <c:tx>
            <c:strRef>
              <c:f>'Sheet1 (3)'!$B$1</c:f>
              <c:strCache>
                <c:ptCount val="1"/>
                <c:pt idx="0">
                  <c:v>金额</c:v>
                </c:pt>
              </c:strCache>
            </c:strRef>
          </c:tx>
          <c:spPr>
            <a:solidFill>
              <a:srgbClr val="4F81BD"/>
            </a:solidFill>
            <a:ln>
              <a:noFill/>
            </a:ln>
          </c:spPr>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0.0%" sourceLinked="0"/>
            <c:dLbl>
              <c:idx val="0"/>
              <c:layout>
                <c:manualLayout>
                  <c:x val="0.34621888"/>
                  <c:y val="0.7154696"/>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showLegendKey val="1"/>
              <c:showVal val="0"/>
              <c:showCatName val="1"/>
              <c:showSerName val="0"/>
              <c:showPercent val="1"/>
              <c:showBubbleSize val="0"/>
              <c:separator>
</c:separator>
            </c:dLbl>
            <c:dLbl>
              <c:idx val="1"/>
              <c:layout>
                <c:manualLayout>
                  <c:x val="0.35709593"/>
                  <c:y val="0.09793837"/>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showLegendKey val="1"/>
              <c:showVal val="0"/>
              <c:showCatName val="1"/>
              <c:showSerName val="0"/>
              <c:showPercent val="1"/>
              <c:showBubbleSize val="0"/>
              <c:separator>
</c:separator>
            </c:dLbl>
            <c:dLbl>
              <c:idx val="2"/>
              <c:layout>
                <c:manualLayout>
                  <c:x val="-0.29270354"/>
                  <c:y val="0.26689333"/>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tx>
                <c:rich>
                  <a:bodyPr vert="horz"/>
                  <a:lstStyle/>
                  <a:p>
                    <a:pPr>
                      <a:defRPr sz="1000" b="0" i="0" u="none" strike="noStrike" baseline="0">
                        <a:solidFill>
                          <a:srgbClr val="404040"/>
                        </a:solidFill>
                        <a:latin typeface="Times New Roman"/>
                        <a:ea typeface="宋体"/>
                        <a:cs typeface="Arial"/>
                      </a:defRPr>
                    </a:pPr>
                    <a:r>
                      <a:rPr lang="zh-CN"/>
                      <a:t>上缴上级支出0%</a:t>
                    </a:r>
                  </a:p>
                </c:rich>
              </c:tx>
              <c:showLegendKey val="1"/>
              <c:showVal val="0"/>
              <c:showCatName val="1"/>
              <c:showSerName val="0"/>
              <c:showPercent val="1"/>
              <c:showBubbleSize val="0"/>
              <c:separator>
</c:separator>
            </c:dLbl>
            <c:dLbl>
              <c:idx val="3"/>
              <c:layout>
                <c:manualLayout>
                  <c:x val="-0.31523567"/>
                  <c:y val="0.4683166"/>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tx>
                <c:rich>
                  <a:bodyPr vert="horz"/>
                  <a:lstStyle/>
                  <a:p>
                    <a:pPr>
                      <a:defRPr sz="1000" b="0" i="0" u="none" strike="noStrike" baseline="0">
                        <a:solidFill>
                          <a:srgbClr val="404040"/>
                        </a:solidFill>
                        <a:latin typeface="Times New Roman"/>
                        <a:ea typeface="宋体"/>
                        <a:cs typeface="Arial"/>
                      </a:defRPr>
                    </a:pPr>
                    <a:r>
                      <a:rPr lang="zh-CN"/>
                      <a:t>经营支出0%</a:t>
                    </a:r>
                  </a:p>
                </c:rich>
              </c:tx>
              <c:showLegendKey val="1"/>
              <c:showVal val="0"/>
              <c:showCatName val="1"/>
              <c:showSerName val="0"/>
              <c:showPercent val="1"/>
              <c:showBubbleSize val="0"/>
              <c:separator>
</c:separator>
            </c:dLbl>
            <c:dLbl>
              <c:idx val="4"/>
              <c:layout>
                <c:manualLayout>
                  <c:x val="-0.27355897"/>
                  <c:y val="0.7182104"/>
                </c:manualLayout>
              </c:layout>
              <c:numFmt formatCode="0.0%" sourceLinked="0"/>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tx>
                <c:rich>
                  <a:bodyPr vert="horz"/>
                  <a:lstStyle/>
                  <a:p>
                    <a:pPr>
                      <a:defRPr sz="1000" b="0" i="0" u="none" strike="noStrike" baseline="0">
                        <a:solidFill>
                          <a:srgbClr val="404040"/>
                        </a:solidFill>
                        <a:latin typeface="Times New Roman"/>
                        <a:ea typeface="宋体"/>
                        <a:cs typeface="Arial"/>
                      </a:defRPr>
                    </a:pPr>
                    <a:r>
                      <a:rPr lang="zh-CN"/>
                      <a:t>对附属单位补助支出0%</a:t>
                    </a:r>
                  </a:p>
                </c:rich>
              </c:tx>
              <c:showLegendKey val="1"/>
              <c:showVal val="0"/>
              <c:showCatName val="1"/>
              <c:showSerName val="0"/>
              <c:showPercent val="1"/>
              <c:showBubbleSize val="0"/>
              <c:separator>
</c:separator>
            </c:dLbl>
            <c:showLegendKey val="1"/>
            <c:showVal val="0"/>
            <c:showCatName val="1"/>
            <c:showSerName val="0"/>
            <c:showPercent val="1"/>
            <c:showBubbleSize val="0"/>
            <c:showLeaderLines val="1"/>
          </c:dLbls>
          <c:cat>
            <c:strRef>
              <c:f>'Sheet1 (3)'!$A$2:$A$6</c:f>
              <c:strCache>
                <c:ptCount val="5"/>
                <c:pt idx="0">
                  <c:v>基本支出</c:v>
                </c:pt>
                <c:pt idx="1">
                  <c:v>项目支出</c:v>
                </c:pt>
                <c:pt idx="2">
                  <c:v>上缴上级支出</c:v>
                </c:pt>
                <c:pt idx="3">
                  <c:v>经营支出</c:v>
                </c:pt>
                <c:pt idx="4">
                  <c:v>对附属单位补助支出</c:v>
                </c:pt>
              </c:strCache>
            </c:strRef>
          </c:cat>
          <c:val>
            <c:numRef>
              <c:f>'Sheet1 (3)'!$B$2:$B$6</c:f>
              <c:numCache>
                <c:formatCode>General</c:formatCode>
                <c:ptCount val="5"/>
                <c:pt idx="0">
                  <c:v>1313483.12</c:v>
                </c:pt>
                <c:pt idx="1">
                  <c:v>124299.0</c:v>
                </c:pt>
                <c:pt idx="2">
                  <c:v>0.0</c:v>
                </c:pt>
                <c:pt idx="3">
                  <c:v>0.0</c:v>
                </c:pt>
                <c:pt idx="4">
                  <c:v>0.0</c:v>
                </c:pt>
              </c:numCache>
            </c:numRef>
          </c:val>
        </c:ser>
        <c:firstSliceAng val="0"/>
      </c:pieChart>
      <c:spPr>
        <a:noFill/>
        <a:ln>
          <a:noFill/>
        </a:ln>
      </c:spPr>
    </c:plotArea>
    <c:legend>
      <c:legendPos val="r"/>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图 4 ：2023-2024年财政拨款收支对比图（万元）</a:t>
            </a:r>
          </a:p>
        </c:rich>
      </c:tx>
      <c:layout/>
      <c:overlay val="0"/>
      <c:spPr>
        <a:noFill/>
        <a:ln>
          <a:noFill/>
        </a:ln>
      </c:spPr>
    </c:title>
    <c:autoTitleDeleted val="1"/>
    <c:plotArea>
      <c:layout/>
      <c:barChart>
        <c:barDir val="col"/>
        <c:grouping val="clustered"/>
        <c:varyColors val="0"/>
        <c:ser>
          <c:idx val="0"/>
          <c:order val="0"/>
          <c:tx>
            <c:strRef>
              <c:f>'Sheet1 (4)'!$B$1</c:f>
              <c:strCache>
                <c:ptCount val="1"/>
                <c:pt idx="0">
                  <c:v>2023年</c:v>
                </c:pt>
              </c:strCache>
            </c:strRef>
          </c:tx>
          <c:spPr>
            <a:solidFill>
              <a:srgbClr val="4874CB"/>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(4)'!$B$2:$B$9</c:f>
              <c:numCache>
                <c:formatCode>General</c:formatCode>
                <c:ptCount val="8"/>
                <c:pt idx="0">
                  <c:v>157.44</c:v>
                </c:pt>
                <c:pt idx="1">
                  <c:v>157.41</c:v>
                </c:pt>
                <c:pt idx="2">
                  <c:v>157.44</c:v>
                </c:pt>
                <c:pt idx="3">
                  <c:v>157.41</c:v>
                </c:pt>
                <c:pt idx="4">
                  <c:v>0.0</c:v>
                </c:pt>
                <c:pt idx="5">
                  <c:v>0.0</c:v>
                </c:pt>
                <c:pt idx="6">
                  <c:v>0.0</c:v>
                </c:pt>
                <c:pt idx="7">
                  <c:v>0.0</c:v>
                </c:pt>
              </c:numCache>
            </c:numRef>
          </c:val>
        </c:ser>
        <c:ser>
          <c:idx val="1"/>
          <c:order val="1"/>
          <c:tx>
            <c:strRef>
              <c:f>'Sheet1 (4)'!$C$1</c:f>
              <c:strCache>
                <c:ptCount val="1"/>
                <c:pt idx="0">
                  <c:v>2024年</c:v>
                </c:pt>
              </c:strCache>
            </c:strRef>
          </c:tx>
          <c:spPr>
            <a:solidFill>
              <a:srgbClr val="EE822F"/>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(4)'!$A$2:$A$9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(4)'!$C$2:$C$9</c:f>
              <c:numCache>
                <c:formatCode>General</c:formatCode>
                <c:ptCount val="8"/>
                <c:pt idx="0">
                  <c:v>143.61</c:v>
                </c:pt>
                <c:pt idx="1">
                  <c:v>143.62</c:v>
                </c:pt>
                <c:pt idx="2">
                  <c:v>143.61</c:v>
                </c:pt>
                <c:pt idx="3">
                  <c:v>143.62</c:v>
                </c:pt>
                <c:pt idx="4">
                  <c:v>0.0</c:v>
                </c:pt>
                <c:pt idx="5">
                  <c:v>0.0</c:v>
                </c:pt>
                <c:pt idx="6">
                  <c:v>0.0</c:v>
                </c:pt>
                <c:pt idx="7">
                  <c:v>0.0</c:v>
                </c:pt>
              </c:numCache>
            </c:numRef>
          </c:val>
        </c:ser>
        <c:overlap val="-28"/>
        <c:gapWidth val="246"/>
        <c:axId val="0"/>
        <c:axId val="1"/>
      </c:barChart>
      <c:catAx>
        <c:axId val="0"/>
        <c:scaling>
          <c:orientation val="minMax"/>
        </c:scaling>
        <c:delete val="0"/>
        <c:axPos val="b"/>
        <c:numFmt formatCode="General" sourceLinked="0"/>
        <c:majorTickMark val="out"/>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General" sourceLinked="1"/>
        <c:majorTickMark val="out"/>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dTable>
        <c:showHorzBorder val="1"/>
        <c:showVertBorder val="1"/>
        <c:showOutline val="1"/>
        <c:showKeys val="1"/>
        <c:spPr>
          <a:ln w="6350">
            <a:solidFill>
              <a:srgbClr val="D9D9D9"/>
            </a:solidFill>
            <a:prstDash val="solid"/>
          </a:ln>
        </c:spPr>
        <c:txPr>
          <a:bodyPr/>
          <a:lstStyle/>
          <a:p>
            <a:pPr rtl="0">
              <a:defRPr sz="900" b="0" i="0" u="none" strike="noStrike" baseline="0">
                <a:solidFill>
                  <a:srgbClr val="595959"/>
                </a:solidFill>
                <a:latin typeface="Times New Roman"/>
                <a:ea typeface="宋体"/>
                <a:cs typeface="Arial"/>
              </a:defRPr>
            </a:pPr>
            <a:endParaRPr lang="zh-CN"/>
          </a:p>
        </c:txPr>
      </c:dTable>
      <c:spPr>
        <a:noFill/>
        <a:ln>
          <a:noFill/>
        </a:ln>
      </c:spPr>
    </c:plotArea>
    <c:legend>
      <c:legendPos val="b"/>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图 5 :财政拨款收支预算对比图（万元）</a:t>
            </a:r>
          </a:p>
        </c:rich>
      </c:tx>
      <c:layout/>
      <c:overlay val="0"/>
      <c:spPr>
        <a:noFill/>
        <a:ln>
          <a:noFill/>
        </a:ln>
      </c:spPr>
    </c:title>
    <c:autoTitleDeleted val="1"/>
    <c:plotArea>
      <c:layout>
        <c:manualLayout>
          <c:layoutTarget val="inner"/>
          <c:xMode val="edge"/>
          <c:yMode val="edge"/>
          <c:x val="0.17641942"/>
          <c:y val="0.16043349"/>
          <c:w val="0.7957961"/>
          <c:h val="0.47433063"/>
        </c:manualLayout>
      </c:layout>
      <c:barChart>
        <c:barDir val="col"/>
        <c:grouping val="clustered"/>
        <c:varyColors val="0"/>
        <c:ser>
          <c:idx val="0"/>
          <c:order val="0"/>
          <c:tx>
            <c:strRef>
              <c:f>'Sheet1 (5)'!$B$1</c:f>
              <c:strCache>
                <c:ptCount val="1"/>
                <c:pt idx="0">
                  <c:v>年初预算数</c:v>
                </c:pt>
              </c:strCache>
            </c:strRef>
          </c:tx>
          <c:spPr>
            <a:solidFill>
              <a:srgbClr val="4874CB"/>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(5)'!$B$2:$B$9</c:f>
              <c:numCache>
                <c:formatCode>General</c:formatCode>
                <c:ptCount val="8"/>
                <c:pt idx="0">
                  <c:v>162.2</c:v>
                </c:pt>
                <c:pt idx="1">
                  <c:v>162.2</c:v>
                </c:pt>
                <c:pt idx="2">
                  <c:v>162.2</c:v>
                </c:pt>
                <c:pt idx="3">
                  <c:v>162.2</c:v>
                </c:pt>
                <c:pt idx="4">
                  <c:v>0.0</c:v>
                </c:pt>
                <c:pt idx="5">
                  <c:v>0.0</c:v>
                </c:pt>
                <c:pt idx="6">
                  <c:v>0.0</c:v>
                </c:pt>
                <c:pt idx="7">
                  <c:v>0.0</c:v>
                </c:pt>
              </c:numCache>
            </c:numRef>
          </c:val>
        </c:ser>
        <c:ser>
          <c:idx val="1"/>
          <c:order val="1"/>
          <c:tx>
            <c:strRef>
              <c:f>'Sheet1 (5)'!$C$1</c:f>
              <c:strCache>
                <c:ptCount val="1"/>
                <c:pt idx="0">
                  <c:v>决算数</c:v>
                </c:pt>
              </c:strCache>
            </c:strRef>
          </c:tx>
          <c:spPr>
            <a:solidFill>
              <a:srgbClr val="EE822F"/>
            </a:solidFill>
            <a:ln>
              <a:noFill/>
            </a:ln>
          </c:spPr>
          <c:invertIfNegative val="0"/>
          <c:dLbls>
            <c:spPr>
              <a:noFill/>
              <a:ln>
                <a:noFill/>
              </a:ln>
            </c:spPr>
            <c:txPr>
              <a:bodyPr vert="horz"/>
              <a:lstStyle/>
              <a:p>
                <a:pPr>
                  <a:defRPr sz="1000" b="0" i="0" u="none" strike="noStrike" baseline="0">
                    <a:solidFill>
                      <a:srgbClr val="404040"/>
                    </a:solidFill>
                    <a:latin typeface="Times New Roman"/>
                    <a:ea typeface="宋体"/>
                    <a:cs typeface="Arial"/>
                  </a:defRPr>
                </a:pPr>
                <a:endParaRPr lang="zh-CN"/>
              </a:p>
            </c:txPr>
            <c:numFmt formatCode="General" sourceLinked="1"/>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'Sheet1 (5)'!$A$2:$A$9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 (5)'!$C$2:$C$9</c:f>
              <c:numCache>
                <c:formatCode>General</c:formatCode>
                <c:ptCount val="8"/>
                <c:pt idx="0">
                  <c:v>143.61</c:v>
                </c:pt>
                <c:pt idx="1">
                  <c:v>143.62</c:v>
                </c:pt>
                <c:pt idx="2">
                  <c:v>143.61</c:v>
                </c:pt>
                <c:pt idx="3">
                  <c:v>143.62</c:v>
                </c:pt>
                <c:pt idx="4">
                  <c:v>0.0</c:v>
                </c:pt>
                <c:pt idx="5">
                  <c:v>0.0</c:v>
                </c:pt>
                <c:pt idx="6">
                  <c:v>0.0</c:v>
                </c:pt>
                <c:pt idx="7">
                  <c:v>0.0</c:v>
                </c:pt>
              </c:numCache>
            </c:numRef>
          </c:val>
        </c:ser>
        <c:gapWidth val="150"/>
        <c:axId val="0"/>
        <c:axId val="1"/>
      </c:barChart>
      <c:catAx>
        <c:axId val="0"/>
        <c:scaling>
          <c:orientation val="minMax"/>
        </c:scaling>
        <c:delete val="0"/>
        <c:axPos val="b"/>
        <c:numFmt formatCode="General" sourceLinked="0"/>
        <c:majorTickMark val="none"/>
        <c:minorTickMark val="none"/>
        <c:tickLblPos val="nextTo"/>
        <c:spPr>
          <a:ln w="6350">
            <a:solidFill>
              <a:srgbClr val="D9D9D9"/>
            </a:solidFill>
            <a:prstDash val="solid"/>
          </a:ln>
        </c:spPr>
        <c:txPr>
          <a:bodyPr/>
          <a:lstStyle/>
          <a:p>
            <a:pPr>
              <a:defRPr sz="900" b="0" i="0" u="none" strike="noStrike" baseline="0">
                <a:solidFill>
                  <a:srgbClr val="595959"/>
                </a:solidFill>
                <a:latin typeface="Times New Roman"/>
                <a:ea typeface="宋体"/>
                <a:cs typeface="Arial"/>
              </a:defRPr>
            </a:pPr>
            <a:endParaRPr lang="zh-CN"/>
          </a:p>
        </c:txPr>
        <c:crosses val="autoZero"/>
        <c:auto val="1"/>
        <c:lblOffset val="100"/>
        <c:lblAlgn val="ctr"/>
        <c:noMultiLvlLbl val="0"/>
        <c:crossAx val="1"/>
      </c:catAx>
      <c:valAx>
        <c:axId val="1"/>
        <c:scaling>
          <c:orientation val="minMax"/>
        </c:scaling>
        <c:delete val="0"/>
        <c:axPos val="l"/>
        <c:majorGridlines>
          <c:spPr>
            <a:ln w="6350">
              <a:solidFill>
                <a:srgbClr val="E6E6E6"/>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Times New Roman"/>
                <a:ea typeface="宋体"/>
                <a:cs typeface="Arial"/>
              </a:defRPr>
            </a:pPr>
            <a:endParaRPr lang="zh-CN"/>
          </a:p>
        </c:txPr>
        <c:crossesAt val="1.0"/>
        <c:crossBetween val="between"/>
        <c:crossAx val="0"/>
      </c:valAx>
      <c:dTable>
        <c:showHorzBorder val="1"/>
        <c:showVertBorder val="1"/>
        <c:showOutline val="1"/>
        <c:showKeys val="1"/>
        <c:spPr>
          <a:ln w="6350">
            <a:solidFill>
              <a:srgbClr val="D9D9D9"/>
            </a:solidFill>
            <a:prstDash val="solid"/>
          </a:ln>
        </c:spPr>
        <c:txPr>
          <a:bodyPr/>
          <a:lstStyle/>
          <a:p>
            <a:pPr rtl="0">
              <a:defRPr sz="900" b="0" i="0" u="none" strike="noStrike" baseline="0">
                <a:solidFill>
                  <a:srgbClr val="595959"/>
                </a:solidFill>
                <a:latin typeface="Times New Roman"/>
                <a:ea typeface="宋体"/>
                <a:cs typeface="Arial"/>
              </a:defRPr>
            </a:pPr>
            <a:endParaRPr lang="zh-CN"/>
          </a:p>
        </c:txPr>
      </c:dTable>
      <c:spPr>
        <a:noFill/>
        <a:ln>
          <a:noFill/>
        </a:ln>
      </c:spPr>
    </c:plotArea>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404040"/>
                </a:solidFill>
                <a:latin typeface="Times New Roman"/>
                <a:ea typeface="宋体"/>
                <a:cs typeface="Arial"/>
              </a:defRPr>
            </a:pPr>
            <a:r>
              <a:rPr lang="zh-CN"/>
              <a:t>图6  : 财政拨款支出决算构成情况图</a:t>
            </a:r>
          </a:p>
        </c:rich>
      </c:tx>
      <c:layout/>
      <c:overlay val="0"/>
      <c:spPr>
        <a:noFill/>
        <a:ln>
          <a:noFill/>
        </a:ln>
      </c:spPr>
    </c:title>
    <c:autoTitleDeleted val="1"/>
    <c:plotArea>
      <c:layout/>
      <c:pieChart>
        <c:varyColors val="1"/>
        <c:ser>
          <c:idx val="0"/>
          <c:order val="0"/>
          <c:tx>
            <c:strRef>
              <c:f>'Sheet1 (6)'!$B$1</c:f>
              <c:strCache>
                <c:ptCount val="1"/>
                <c:pt idx="0">
                  <c:v>金额</c:v>
                </c:pt>
              </c:strCache>
            </c:strRef>
          </c:tx>
          <c:spPr>
            <a:solidFill>
              <a:srgbClr val="4F81BD"/>
            </a:solidFill>
            <a:ln>
              <a:noFill/>
            </a:ln>
          </c:spPr>
          <c:dPt>
            <c:idx val="0"/>
            <c:bubble3D val="0"/>
            <c:spPr>
              <a:solidFill>
                <a:srgbClr val="4874CB"/>
              </a:solidFill>
              <a:ln w="6350">
                <a:solidFill>
                  <a:srgbClr val="FFFFFF"/>
                </a:solidFill>
                <a:prstDash val="solid"/>
              </a:ln>
            </c:spPr>
          </c:dPt>
          <c:dPt>
            <c:idx val="1"/>
            <c:bubble3D val="0"/>
            <c:spPr>
              <a:solidFill>
                <a:srgbClr val="EE822F"/>
              </a:solidFill>
              <a:ln w="6350">
                <a:solidFill>
                  <a:srgbClr val="FFFFFF"/>
                </a:solidFill>
                <a:prstDash val="solid"/>
              </a:ln>
            </c:spPr>
          </c:dPt>
          <c:dPt>
            <c:idx val="2"/>
            <c:bubble3D val="0"/>
            <c:spPr>
              <a:solidFill>
                <a:srgbClr val="F2BA02"/>
              </a:solidFill>
              <a:ln w="6350">
                <a:solidFill>
                  <a:srgbClr val="FFFFFF"/>
                </a:solidFill>
                <a:prstDash val="solid"/>
              </a:ln>
            </c:spPr>
          </c:dPt>
          <c:dPt>
            <c:idx val="3"/>
            <c:bubble3D val="0"/>
            <c:spPr>
              <a:solidFill>
                <a:srgbClr val="75BD42"/>
              </a:solidFill>
              <a:ln w="6350">
                <a:solidFill>
                  <a:srgbClr val="FFFFFF"/>
                </a:solidFill>
                <a:prstDash val="solid"/>
              </a:ln>
            </c:spPr>
          </c:dPt>
          <c:dPt>
            <c:idx val="4"/>
            <c:bubble3D val="0"/>
            <c:spPr>
              <a:solidFill>
                <a:srgbClr val="30C0B4"/>
              </a:solidFill>
              <a:ln w="6350">
                <a:solidFill>
                  <a:srgbClr val="FFFFFF"/>
                </a:solidFill>
                <a:prstDash val="solid"/>
              </a:ln>
            </c:spPr>
          </c:dPt>
          <c:dPt>
            <c:idx val="5"/>
            <c:bubble3D val="0"/>
            <c:spPr>
              <a:solidFill>
                <a:srgbClr val="E54C5E"/>
              </a:solidFill>
              <a:ln w="6350">
                <a:solidFill>
                  <a:srgbClr val="FFFFFF"/>
                </a:solidFill>
                <a:prstDash val="solid"/>
              </a:ln>
            </c:spPr>
          </c:dPt>
          <c:dPt>
            <c:idx val="6"/>
            <c:bubble3D val="0"/>
            <c:spPr>
              <a:solidFill>
                <a:srgbClr val="254380"/>
              </a:solidFill>
              <a:ln w="6350">
                <a:solidFill>
                  <a:srgbClr val="FFFFFF"/>
                </a:solidFill>
                <a:prstDash val="solid"/>
              </a:ln>
            </c:spPr>
          </c:dPt>
          <c:dPt>
            <c:idx val="7"/>
            <c:bubble3D val="0"/>
            <c:spPr>
              <a:solidFill>
                <a:srgbClr val="9E4C0D"/>
              </a:solidFill>
              <a:ln w="6350">
                <a:solidFill>
                  <a:srgbClr val="FFFFFF"/>
                </a:solidFill>
                <a:prstDash val="solid"/>
              </a:ln>
            </c:spPr>
          </c:dPt>
          <c:dPt>
            <c:idx val="8"/>
            <c:bubble3D val="0"/>
            <c:spPr>
              <a:solidFill>
                <a:srgbClr val="917001"/>
              </a:solidFill>
              <a:ln w="6350">
                <a:solidFill>
                  <a:srgbClr val="FFFFFF"/>
                </a:solidFill>
                <a:prstDash val="solid"/>
              </a:ln>
            </c:spPr>
          </c:dPt>
          <c:dPt>
            <c:idx val="9"/>
            <c:bubble3D val="0"/>
            <c:spPr>
              <a:solidFill>
                <a:srgbClr val="467128"/>
              </a:solidFill>
              <a:ln w="6350">
                <a:solidFill>
                  <a:srgbClr val="FFFFFF"/>
                </a:solidFill>
                <a:prstDash val="solid"/>
              </a:ln>
            </c:spPr>
          </c:dPt>
          <c:dPt>
            <c:idx val="10"/>
            <c:bubble3D val="0"/>
            <c:spPr>
              <a:solidFill>
                <a:srgbClr val="1D736C"/>
              </a:solidFill>
              <a:ln w="6350">
                <a:solidFill>
                  <a:srgbClr val="FFFFFF"/>
                </a:solidFill>
                <a:prstDash val="solid"/>
              </a:ln>
            </c:spPr>
          </c:dPt>
          <c:dPt>
            <c:idx val="11"/>
            <c:bubble3D val="0"/>
            <c:spPr>
              <a:solidFill>
                <a:srgbClr val="A01727"/>
              </a:solidFill>
              <a:ln w="6350">
                <a:solidFill>
                  <a:srgbClr val="FFFFFF"/>
                </a:solidFill>
                <a:prstDash val="solid"/>
              </a:ln>
            </c:spPr>
          </c:dPt>
          <c:dPt>
            <c:idx val="12"/>
            <c:bubble3D val="0"/>
            <c:spPr>
              <a:solidFill>
                <a:srgbClr val="6D90D5"/>
              </a:solidFill>
              <a:ln w="6350">
                <a:solidFill>
                  <a:srgbClr val="FFFFFF"/>
                </a:solidFill>
                <a:prstDash val="solid"/>
              </a:ln>
            </c:spPr>
          </c:dPt>
          <c:dPt>
            <c:idx val="13"/>
            <c:bubble3D val="0"/>
            <c:spPr>
              <a:solidFill>
                <a:srgbClr val="F19B59"/>
              </a:solidFill>
              <a:ln w="6350">
                <a:solidFill>
                  <a:srgbClr val="FFFFFF"/>
                </a:solidFill>
                <a:prstDash val="solid"/>
              </a:ln>
            </c:spPr>
          </c:dPt>
          <c:dPt>
            <c:idx val="14"/>
            <c:bubble3D val="0"/>
            <c:spPr>
              <a:solidFill>
                <a:srgbClr val="FDCC2C"/>
              </a:solidFill>
              <a:ln w="6350">
                <a:solidFill>
                  <a:srgbClr val="FFFFFF"/>
                </a:solidFill>
                <a:prstDash val="solid"/>
              </a:ln>
            </c:spPr>
          </c:dPt>
          <c:dPt>
            <c:idx val="15"/>
            <c:bubble3D val="0"/>
            <c:spPr>
              <a:solidFill>
                <a:srgbClr val="91CA68"/>
              </a:solidFill>
              <a:ln w="6350">
                <a:solidFill>
                  <a:srgbClr val="FFFFFF"/>
                </a:solidFill>
                <a:prstDash val="solid"/>
              </a:ln>
            </c:spPr>
          </c:dPt>
          <c:dPt>
            <c:idx val="16"/>
            <c:bubble3D val="0"/>
            <c:spPr>
              <a:solidFill>
                <a:srgbClr val="52D4C9"/>
              </a:solidFill>
              <a:ln w="6350">
                <a:solidFill>
                  <a:srgbClr val="FFFFFF"/>
                </a:solidFill>
                <a:prstDash val="solid"/>
              </a:ln>
            </c:spPr>
          </c:dPt>
          <c:dPt>
            <c:idx val="17"/>
            <c:bubble3D val="0"/>
            <c:spPr>
              <a:solidFill>
                <a:srgbClr val="EA707E"/>
              </a:solidFill>
              <a:ln w="6350">
                <a:solidFill>
                  <a:srgbClr val="FFFFFF"/>
                </a:solidFill>
                <a:prstDash val="solid"/>
              </a:ln>
            </c:spPr>
          </c:dPt>
          <c:dPt>
            <c:idx val="18"/>
            <c:bubble3D val="0"/>
            <c:spPr>
              <a:solidFill>
                <a:srgbClr val="315AAB"/>
              </a:solidFill>
              <a:ln w="6350">
                <a:solidFill>
                  <a:srgbClr val="FFFFFF"/>
                </a:solidFill>
                <a:prstDash val="solid"/>
              </a:ln>
            </c:spPr>
          </c:dPt>
          <c:dPt>
            <c:idx val="19"/>
            <c:bubble3D val="0"/>
            <c:spPr>
              <a:solidFill>
                <a:srgbClr val="D36511"/>
              </a:solidFill>
              <a:ln w="6350">
                <a:solidFill>
                  <a:srgbClr val="FFFFFF"/>
                </a:solidFill>
                <a:prstDash val="solid"/>
              </a:ln>
            </c:spPr>
          </c:dPt>
          <c:dPt>
            <c:idx val="20"/>
            <c:bubble3D val="0"/>
            <c:spPr>
              <a:solidFill>
                <a:srgbClr val="C29502"/>
              </a:solidFill>
              <a:ln w="6350">
                <a:solidFill>
                  <a:srgbClr val="FFFFFF"/>
                </a:solidFill>
                <a:prstDash val="solid"/>
              </a:ln>
            </c:spPr>
          </c:dPt>
          <c:dPt>
            <c:idx val="21"/>
            <c:bubble3D val="0"/>
            <c:spPr>
              <a:solidFill>
                <a:srgbClr val="5E9735"/>
              </a:solidFill>
              <a:ln w="6350">
                <a:solidFill>
                  <a:srgbClr val="FFFFFF"/>
                </a:solidFill>
                <a:prstDash val="solid"/>
              </a:ln>
            </c:spPr>
          </c:dPt>
          <c:dPt>
            <c:idx val="22"/>
            <c:bubble3D val="0"/>
            <c:spPr>
              <a:solidFill>
                <a:srgbClr val="269A90"/>
              </a:solidFill>
              <a:ln w="6350">
                <a:solidFill>
                  <a:srgbClr val="FFFFFF"/>
                </a:solidFill>
                <a:prstDash val="solid"/>
              </a:ln>
            </c:spPr>
          </c:dPt>
          <c:dPt>
            <c:idx val="23"/>
            <c:bubble3D val="0"/>
            <c:spPr>
              <a:solidFill>
                <a:srgbClr val="D51F34"/>
              </a:solidFill>
              <a:ln w="6350">
                <a:solidFill>
                  <a:srgbClr val="FFFFFF"/>
                </a:solidFill>
                <a:prstDash val="solid"/>
              </a:ln>
            </c:spPr>
          </c:dPt>
          <c:dPt>
            <c:idx val="24"/>
            <c:bubble3D val="0"/>
            <c:spPr>
              <a:solidFill>
                <a:srgbClr val="91ACE0"/>
              </a:solidFill>
              <a:ln w="6350">
                <a:solidFill>
                  <a:srgbClr val="FFFFFF"/>
                </a:solidFill>
                <a:prstDash val="solid"/>
              </a:ln>
            </c:spPr>
          </c:dPt>
          <c:dPt>
            <c:idx val="25"/>
            <c:bubble3D val="0"/>
            <c:spPr>
              <a:solidFill>
                <a:srgbClr val="F5B482"/>
              </a:solidFill>
              <a:ln w="6350">
                <a:solidFill>
                  <a:srgbClr val="FFFFFF"/>
                </a:solidFill>
                <a:prstDash val="solid"/>
              </a:ln>
            </c:spPr>
          </c:dPt>
          <c:dLbls>
            <c:dLbl>
              <c:idx val="0"/>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2"/>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3"/>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4"/>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5"/>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6"/>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7"/>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8"/>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9"/>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0"/>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1"/>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2"/>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3"/>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4"/>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5"/>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6"/>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7"/>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8"/>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19"/>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20"/>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21"/>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22"/>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23"/>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24"/>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dLbl>
              <c:idx val="25"/>
              <c:spPr>
                <a:noFill/>
                <a:ln>
                  <a:noFill/>
                </a:ln>
              </c:spPr>
              <c:txPr>
                <a:bodyPr vert="horz"/>
                <a:lstStyle/>
                <a:p>
                  <a:pPr>
                    <a:defRPr sz="1000" b="0" i="0" u="none" strike="noStrike" baseline="0">
                      <a:solidFill>
                        <a:srgbClr val="000000"/>
                      </a:solidFill>
                      <a:latin typeface="Times New Roman"/>
                      <a:ea typeface="宋体"/>
                      <a:cs typeface="Arial"/>
                    </a:defRPr>
                  </a:pPr>
                  <a:endParaRPr lang="zh-CN"/>
                </a:p>
              </c:txPr>
              <c:delete val="1"/>
            </c:dLbl>
            <c:showLegendKey val="0"/>
            <c:showVal val="0"/>
            <c:showCatName val="0"/>
            <c:showSerName val="0"/>
            <c:showPercent val="0"/>
            <c:showBubbleSize val="0"/>
            <c:showLeaderLines val="0"/>
          </c:dLbls>
          <c:cat>
            <c:strRef>
              <c:f>'Sheet1 (6)'!$A$2:$A$27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 (6)'!$B$2:$B$27</c:f>
              <c:numCache>
                <c:formatCode>General</c:formatCode>
                <c:ptCount val="26"/>
                <c:pt idx="0">
                  <c:v>125.44</c:v>
                </c:pt>
                <c:pt idx="1">
                  <c:v>0.0</c:v>
                </c:pt>
                <c:pt idx="2">
                  <c:v>0.0</c:v>
                </c:pt>
                <c:pt idx="3">
                  <c:v>0.0</c:v>
                </c:pt>
                <c:pt idx="4">
                  <c:v>0.0</c:v>
                </c:pt>
                <c:pt idx="5">
                  <c:v>0.0</c:v>
                </c:pt>
                <c:pt idx="6">
                  <c:v>0.0</c:v>
                </c:pt>
                <c:pt idx="7">
                  <c:v>12.89</c:v>
                </c:pt>
                <c:pt idx="8">
                  <c:v>0.0</c:v>
                </c:pt>
                <c:pt idx="9">
                  <c:v>0.0</c:v>
                </c:pt>
                <c:pt idx="10">
                  <c:v>0.0</c:v>
                </c:pt>
                <c:pt idx="11">
                  <c:v>0.0</c:v>
                </c:pt>
                <c:pt idx="12">
                  <c:v>0.0</c:v>
                </c:pt>
                <c:pt idx="13">
                  <c:v>0.0</c:v>
                </c:pt>
                <c:pt idx="14">
                  <c:v>0.0</c:v>
                </c:pt>
                <c:pt idx="15">
                  <c:v>0.0</c:v>
                </c:pt>
                <c:pt idx="16">
                  <c:v>0.0</c:v>
                </c:pt>
                <c:pt idx="17">
                  <c:v>0.0</c:v>
                </c:pt>
                <c:pt idx="18">
                  <c:v>5.29</c:v>
                </c:pt>
                <c:pt idx="19">
                  <c:v>0.0</c:v>
                </c:pt>
                <c:pt idx="20">
                  <c:v>0.0</c:v>
                </c:pt>
                <c:pt idx="21">
                  <c:v>0.0</c:v>
                </c:pt>
                <c:pt idx="22">
                  <c:v>0.0</c:v>
                </c:pt>
                <c:pt idx="23">
                  <c:v>0.0</c:v>
                </c:pt>
                <c:pt idx="24">
                  <c:v>0.0</c:v>
                </c:pt>
                <c:pt idx="25">
                  <c:v>0.0</c:v>
                </c:pt>
              </c:numCache>
            </c:numRef>
          </c:val>
        </c:ser>
        <c:firstSliceAng val="0"/>
      </c:pieChart>
      <c:spPr>
        <a:noFill/>
        <a:ln>
          <a:noFill/>
        </a:ln>
      </c:spPr>
    </c:plotArea>
    <c:legend>
      <c:legendPos val="r"/>
      <c:layout>
        <c:manualLayout>
          <c:xMode val="edge"/>
          <c:yMode val="edge"/>
          <c:x val="0.7323074"/>
          <c:y val="0.40947726"/>
        </c:manualLayout>
      </c:layout>
      <c:overlay val="0"/>
      <c:spPr>
        <a:noFill/>
        <a:ln>
          <a:noFill/>
        </a:ln>
      </c:spPr>
      <c:txPr>
        <a:bodyPr/>
        <a:lstStyle/>
        <a:p>
          <a:pPr>
            <a:defRPr sz="900" b="0" i="0" u="none" strike="noStrike" baseline="0">
              <a:solidFill>
                <a:srgbClr val="595959"/>
              </a:solidFill>
              <a:latin typeface="Times New Roman"/>
              <a:ea typeface="宋体"/>
              <a:cs typeface="Arial"/>
            </a:defRPr>
          </a:pPr>
          <a:endParaRPr lang="zh-CN"/>
        </a:p>
      </c:txPr>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egend>
    <c:plotVisOnly val="1"/>
    <c:dispBlanksAs val="gap"/>
    <c:showDLblsOverMax val="0"/>
  </c:chart>
  <c:spPr>
    <a:solidFill>
      <a:srgbClr val="FFFFFF"/>
    </a:solidFill>
    <a:ln w="6350">
      <a:solidFill>
        <a:srgbClr val="D9D9D9"/>
      </a:solidFill>
      <a:prstDash val="solid"/>
    </a:ln>
  </c:spPr>
  <c:txPr>
    <a:bodyPr/>
    <a:lstStyle/>
    <a:p>
      <a:pPr>
        <a:defRPr sz="1000" b="0" i="0" u="none" strike="noStrike" baseline="0">
          <a:solidFill>
            <a:srgbClr val="000000"/>
          </a:solidFill>
          <a:latin typeface="Times New Roman"/>
          <a:ea typeface="宋体"/>
          <a:cs typeface="Arial"/>
        </a:defRPr>
      </a:pPr>
      <a:endParaRPr lang="zh-CN"/>
    </a:p>
  </c:txPr>
  <c:printSettings>
    <c:headerFooter/>
    <c:pageMargins b="0.75" l="0.7" r="0.7" t="0.75" header="0.3" footer="0.3"/>
    <c:pageSetup/>
  </c:printSettings>
  <c:externalData r:id="rId1">
    <c:autoUpdate val="0"/>
  </c:externalData>
</c:chartSpace>
</file>

<file path=docProps/app.xml><?xml version="1.0" encoding="utf-8"?>
<Properties xmlns="http://schemas.openxmlformats.org/officeDocument/2006/extended-properties">
  <Template>Normal.eit</Template>
  <TotalTime>1</TotalTime>
  <Application>Yozo_Office27021597764231179</Application>
  <Pages>45</Pages>
  <Words>12221</Words>
  <Characters>14487</Characters>
  <Lines>2897</Lines>
  <Paragraphs>1757</Paragraphs>
  <CharactersWithSpaces>15009</CharactersWithSpaces>
  <Company>神州网信技术有限公司</Company>
</Properties>
</file>

<file path=docProps/core.xml><?xml version="1.0" encoding="utf-8"?>
<cp:coreProperties xmlns:cp="http://schemas.openxmlformats.org/package/2006/metadata/core-properties" xmlns:dc="http://purl.org/dc/elements/1.1/" xmlns:dcterms="http://purl.org/dc/terms/" xmlns:xsi="http://www.w3.org/2001/XMLSchema-instance">
  <dc:creator>王明新TIAD</dc:creator>
  <cp:lastModifiedBy>Administrator</cp:lastModifiedBy>
  <cp:revision>15</cp:revision>
  <cp:lastPrinted>2023-08-04T01:00:00Z</cp:lastPrinted>
  <dcterms:created xsi:type="dcterms:W3CDTF">2023-08-04T07:55:00Z</dcterms:created>
  <dcterms:modified xsi:type="dcterms:W3CDTF">2025-12-25T06:45:43Z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2052-12.1.0.23125</vt:lpwstr>
  </property>
  <property fmtid="{D5CDD505-2E9C-101B-9397-08002B2CF9AE}" pid="3" name="ICV">
    <vt:lpwstr>B9D4097774744A28A58B1072CF95DB35_13</vt:lpwstr>
  </property>
  <property fmtid="{D5CDD505-2E9C-101B-9397-08002B2CF9AE}" pid="4" name="KSOTemplateUUID">
    <vt:lpwstr>v1.0_mb_S7ajbG3IpAnL1wSthNCxfw==</vt:lpwstr>
  </property>
  <property fmtid="{D5CDD505-2E9C-101B-9397-08002B2CF9AE}" pid="5" name="KSOTemplateDocerSaveRecord">
    <vt:lpwstr>eyJoZGlkIjoiODU3NTYxOWQ5NDY2MjE3ZTQ0NDViYWViNmRmMTg0MDMiLCJ1c2VySWQiOiI1MTA0MzQ3OTMifQ==</vt:lpwstr>
  </property>
</Properties>
</file>