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eastAsia="方正小标宋_GBK"/>
          <w:sz w:val="52"/>
        </w:rPr>
      </w:pPr>
      <w:bookmarkStart w:id="1" w:name="_GoBack"/>
      <w:bookmarkEnd w:id="1"/>
      <w:r>
        <w:rPr>
          <w:rFonts w:ascii="宋体" w:hAnsi="宋体"/>
        </w:rPr>
        <w:t xml:space="preserve"> </w:t>
      </w:r>
      <w:r>
        <w:rPr>
          <w:rFonts w:hint="eastAsia" w:ascii="方正小标宋_GBK" w:eastAsia="方正小标宋_GBK"/>
          <w:sz w:val="52"/>
        </w:rPr>
        <w:t xml:space="preserve">          </w:t>
      </w:r>
      <w:r>
        <w:rPr>
          <w:rFonts w:hint="eastAsia" w:ascii="宋体" w:hAnsi="宋体"/>
          <w:b/>
          <w:sz w:val="44"/>
          <w:szCs w:val="44"/>
        </w:rPr>
        <w:t>涞源县审计局</w:t>
      </w:r>
    </w:p>
    <w:p>
      <w:pPr>
        <w:jc w:val="center"/>
        <w:rPr>
          <w:rFonts w:hint="eastAsia" w:ascii="宋体" w:hAnsi="宋体"/>
          <w:b/>
          <w:sz w:val="44"/>
          <w:szCs w:val="44"/>
        </w:rPr>
      </w:pPr>
      <w:r>
        <w:rPr>
          <w:rFonts w:hint="eastAsia" w:ascii="宋体" w:hAnsi="宋体"/>
          <w:b/>
          <w:sz w:val="44"/>
          <w:szCs w:val="44"/>
        </w:rPr>
        <w:t>2018年部门预算信息公开</w:t>
      </w:r>
    </w:p>
    <w:p>
      <w:pPr>
        <w:ind w:firstLine="640" w:firstLineChars="200"/>
        <w:jc w:val="left"/>
        <w:rPr>
          <w:rFonts w:hint="eastAsia" w:ascii="仿宋" w:hAnsi="仿宋" w:eastAsia="仿宋"/>
          <w:sz w:val="32"/>
          <w:szCs w:val="32"/>
        </w:rPr>
      </w:pPr>
    </w:p>
    <w:p>
      <w:pPr>
        <w:ind w:firstLine="640" w:firstLineChars="200"/>
        <w:jc w:val="left"/>
        <w:rPr>
          <w:rFonts w:hint="eastAsia" w:ascii="仿宋" w:hAnsi="仿宋" w:eastAsia="仿宋"/>
          <w:sz w:val="32"/>
          <w:szCs w:val="32"/>
        </w:rPr>
      </w:pPr>
      <w:r>
        <w:rPr>
          <w:rFonts w:hint="eastAsia" w:ascii="仿宋" w:hAnsi="仿宋" w:eastAsia="仿宋"/>
          <w:sz w:val="32"/>
          <w:szCs w:val="32"/>
        </w:rPr>
        <w:t>按照《</w:t>
      </w:r>
      <w:r>
        <w:rPr>
          <w:rFonts w:hint="eastAsia" w:ascii="仿宋" w:hAnsi="仿宋" w:eastAsia="仿宋"/>
          <w:sz w:val="32"/>
          <w:szCs w:val="32"/>
          <w:lang w:val="en-US" w:eastAsia="zh-CN"/>
        </w:rPr>
        <w:t>中华人民共和国</w:t>
      </w:r>
      <w:r>
        <w:rPr>
          <w:rFonts w:hint="eastAsia" w:ascii="仿宋" w:hAnsi="仿宋" w:eastAsia="仿宋"/>
          <w:sz w:val="32"/>
          <w:szCs w:val="32"/>
        </w:rPr>
        <w:t>预算法》、《地方预决算公开操作规程》和《河北省省级预算公开办法》规定，现将涞源县审计局2018年部门预算信息公开情况如下：</w:t>
      </w:r>
    </w:p>
    <w:p>
      <w:pPr>
        <w:ind w:firstLine="640" w:firstLineChars="200"/>
        <w:jc w:val="center"/>
        <w:rPr>
          <w:rFonts w:hint="eastAsia" w:ascii="黑体" w:hAnsi="黑体" w:eastAsia="黑体"/>
          <w:sz w:val="32"/>
          <w:szCs w:val="32"/>
        </w:rPr>
      </w:pPr>
      <w:r>
        <w:rPr>
          <w:rFonts w:hint="eastAsia" w:ascii="黑体" w:hAnsi="黑体" w:eastAsia="黑体"/>
          <w:sz w:val="32"/>
          <w:szCs w:val="32"/>
        </w:rPr>
        <w:t>第一部分 部门职责及机构设置情况</w:t>
      </w:r>
    </w:p>
    <w:p>
      <w:pPr>
        <w:numPr>
          <w:ilvl w:val="0"/>
          <w:numId w:val="1"/>
        </w:numPr>
        <w:rPr>
          <w:rFonts w:hint="eastAsia" w:ascii="黑体" w:hAnsi="黑体" w:eastAsia="黑体"/>
          <w:sz w:val="32"/>
          <w:szCs w:val="32"/>
        </w:rPr>
      </w:pPr>
      <w:r>
        <w:rPr>
          <w:rFonts w:hint="eastAsia" w:ascii="黑体" w:hAnsi="黑体" w:eastAsia="黑体"/>
          <w:sz w:val="32"/>
          <w:szCs w:val="32"/>
        </w:rPr>
        <w:t>部门职责</w:t>
      </w:r>
    </w:p>
    <w:p>
      <w:pPr>
        <w:ind w:firstLine="560" w:firstLineChars="200"/>
        <w:rPr>
          <w:rFonts w:ascii="仿宋" w:hAnsi="仿宋" w:eastAsia="仿宋"/>
          <w:sz w:val="28"/>
        </w:rPr>
      </w:pPr>
      <w:r>
        <w:rPr>
          <w:rFonts w:hint="eastAsia" w:ascii="仿宋" w:hAnsi="仿宋" w:eastAsia="仿宋"/>
          <w:sz w:val="28"/>
        </w:rPr>
        <w:t>（一）</w:t>
      </w:r>
      <w:r>
        <w:rPr>
          <w:rFonts w:ascii="仿宋" w:hAnsi="仿宋" w:eastAsia="仿宋"/>
          <w:sz w:val="28"/>
        </w:rPr>
        <w:t>通过审计财政财务收支真实、合法和效益，维护国家财政经济秩序、促进廉政建设、保障国民经济的健康发展。</w:t>
      </w:r>
    </w:p>
    <w:p>
      <w:pPr>
        <w:ind w:firstLine="560" w:firstLineChars="200"/>
        <w:rPr>
          <w:rFonts w:ascii="仿宋" w:hAnsi="仿宋" w:eastAsia="仿宋"/>
          <w:sz w:val="28"/>
        </w:rPr>
      </w:pPr>
      <w:r>
        <w:rPr>
          <w:rFonts w:hint="eastAsia" w:ascii="仿宋" w:hAnsi="仿宋" w:eastAsia="仿宋"/>
          <w:sz w:val="28"/>
        </w:rPr>
        <w:t>（二）</w:t>
      </w:r>
      <w:r>
        <w:rPr>
          <w:rFonts w:ascii="仿宋" w:hAnsi="仿宋" w:eastAsia="仿宋"/>
          <w:sz w:val="28"/>
        </w:rPr>
        <w:t>通过专项审计调查，综合分析，向有关部门反映情况，揭露问题、提出解决问题的建议，为政府决策提供依据，为国家宏观调控服务。到现场进行实地调查、核实，为政府节约资金。</w:t>
      </w:r>
    </w:p>
    <w:p>
      <w:pPr>
        <w:ind w:firstLine="560" w:firstLineChars="200"/>
        <w:rPr>
          <w:rFonts w:ascii="仿宋" w:hAnsi="仿宋" w:eastAsia="仿宋"/>
          <w:sz w:val="28"/>
        </w:rPr>
      </w:pPr>
      <w:r>
        <w:rPr>
          <w:rFonts w:hint="eastAsia" w:ascii="仿宋" w:hAnsi="仿宋" w:eastAsia="仿宋"/>
          <w:sz w:val="28"/>
        </w:rPr>
        <w:t>（三）</w:t>
      </w:r>
      <w:r>
        <w:rPr>
          <w:rFonts w:ascii="仿宋" w:hAnsi="仿宋" w:eastAsia="仿宋"/>
          <w:sz w:val="28"/>
        </w:rPr>
        <w:t>把关受理内审业务咨询，提高内部审计质量；协调内部审计和国家审计间工作，保障内部审计工作的顺利进行；</w:t>
      </w:r>
      <w:r>
        <w:rPr>
          <w:rFonts w:hint="eastAsia" w:ascii="仿宋" w:hAnsi="仿宋" w:eastAsia="仿宋"/>
          <w:sz w:val="28"/>
        </w:rPr>
        <w:t>严格</w:t>
      </w:r>
      <w:r>
        <w:rPr>
          <w:rFonts w:ascii="仿宋" w:hAnsi="仿宋" w:eastAsia="仿宋"/>
          <w:sz w:val="28"/>
        </w:rPr>
        <w:t>控制费用标准。</w:t>
      </w:r>
    </w:p>
    <w:p>
      <w:pPr>
        <w:ind w:firstLine="560" w:firstLineChars="200"/>
        <w:rPr>
          <w:rFonts w:hint="eastAsia" w:ascii="仿宋" w:hAnsi="仿宋" w:eastAsia="仿宋"/>
          <w:sz w:val="28"/>
        </w:rPr>
      </w:pPr>
      <w:r>
        <w:rPr>
          <w:rFonts w:hint="eastAsia" w:ascii="仿宋" w:hAnsi="仿宋" w:eastAsia="仿宋"/>
          <w:sz w:val="28"/>
        </w:rPr>
        <w:t>（四）</w:t>
      </w:r>
      <w:r>
        <w:rPr>
          <w:rFonts w:ascii="仿宋" w:hAnsi="仿宋" w:eastAsia="仿宋"/>
          <w:sz w:val="28"/>
        </w:rPr>
        <w:t>信息化建设稳步推进；加强宣传引导</w:t>
      </w:r>
      <w:r>
        <w:rPr>
          <w:rFonts w:hint="eastAsia" w:ascii="仿宋" w:hAnsi="仿宋" w:eastAsia="仿宋"/>
          <w:sz w:val="28"/>
        </w:rPr>
        <w:t>，</w:t>
      </w:r>
      <w:r>
        <w:rPr>
          <w:rFonts w:ascii="仿宋" w:hAnsi="仿宋" w:eastAsia="仿宋"/>
          <w:sz w:val="28"/>
        </w:rPr>
        <w:t>提高人员业务水平；促进审计文化研究</w:t>
      </w:r>
      <w:r>
        <w:rPr>
          <w:rFonts w:hint="eastAsia" w:ascii="仿宋" w:hAnsi="仿宋" w:eastAsia="仿宋"/>
          <w:sz w:val="28"/>
        </w:rPr>
        <w:t>，</w:t>
      </w:r>
      <w:r>
        <w:rPr>
          <w:rFonts w:ascii="仿宋" w:hAnsi="仿宋" w:eastAsia="仿宋"/>
          <w:sz w:val="28"/>
        </w:rPr>
        <w:t>推动审计事业发展。</w:t>
      </w:r>
    </w:p>
    <w:p>
      <w:pPr>
        <w:ind w:firstLine="640" w:firstLineChars="200"/>
        <w:rPr>
          <w:rFonts w:ascii="黑体" w:hAnsi="黑体" w:eastAsia="黑体"/>
          <w:sz w:val="32"/>
          <w:szCs w:val="32"/>
        </w:rPr>
      </w:pPr>
      <w:r>
        <w:rPr>
          <w:rFonts w:hint="eastAsia" w:ascii="黑体" w:hAnsi="黑体" w:eastAsia="黑体"/>
          <w:sz w:val="32"/>
          <w:szCs w:val="32"/>
        </w:rPr>
        <w:t>二、机构设置</w:t>
      </w:r>
    </w:p>
    <w:p>
      <w:pPr>
        <w:jc w:val="center"/>
        <w:outlineLvl w:val="0"/>
        <w:rPr>
          <w:rFonts w:hint="eastAsia" w:ascii="方正小标宋_GBK" w:eastAsia="方正小标宋_GBK"/>
          <w:sz w:val="32"/>
        </w:rPr>
      </w:pPr>
      <w:bookmarkStart w:id="0" w:name="_Toc477876074"/>
      <w:r>
        <w:rPr>
          <w:rFonts w:hint="eastAsia" w:ascii="方正小标宋_GBK" w:eastAsia="方正小标宋_GBK"/>
          <w:sz w:val="32"/>
        </w:rPr>
        <w:t>部门基本情况表</w:t>
      </w:r>
      <w:bookmarkEnd w:id="0"/>
    </w:p>
    <w:tbl>
      <w:tblPr>
        <w:tblStyle w:val="5"/>
        <w:tblW w:w="7220" w:type="dxa"/>
        <w:tblInd w:w="94" w:type="dxa"/>
        <w:tblLayout w:type="autofit"/>
        <w:tblCellMar>
          <w:top w:w="0" w:type="dxa"/>
          <w:left w:w="108" w:type="dxa"/>
          <w:bottom w:w="0" w:type="dxa"/>
          <w:right w:w="108" w:type="dxa"/>
        </w:tblCellMar>
      </w:tblPr>
      <w:tblGrid>
        <w:gridCol w:w="1840"/>
        <w:gridCol w:w="1840"/>
        <w:gridCol w:w="1840"/>
        <w:gridCol w:w="1700"/>
      </w:tblGrid>
      <w:tr>
        <w:tblPrEx>
          <w:tblCellMar>
            <w:top w:w="0" w:type="dxa"/>
            <w:left w:w="108" w:type="dxa"/>
            <w:bottom w:w="0" w:type="dxa"/>
            <w:right w:w="108" w:type="dxa"/>
          </w:tblCellMar>
        </w:tblPrEx>
        <w:trPr>
          <w:wBefore w:w="0" w:type="dxa"/>
          <w:wAfter w:w="0" w:type="dxa"/>
          <w:trHeight w:val="495" w:hRule="atLeast"/>
        </w:trPr>
        <w:tc>
          <w:tcPr>
            <w:tcW w:w="1840" w:type="dxa"/>
            <w:tcBorders>
              <w:top w:val="single" w:color="auto" w:sz="4" w:space="0"/>
              <w:left w:val="single" w:color="auto" w:sz="4" w:space="0"/>
              <w:bottom w:val="single" w:color="auto" w:sz="4" w:space="0"/>
              <w:right w:val="single" w:color="auto" w:sz="4" w:space="0"/>
            </w:tcBorders>
            <w:noWrap/>
            <w:vAlign w:val="bottom"/>
          </w:tcPr>
          <w:p>
            <w:pPr>
              <w:widowControl/>
              <w:jc w:val="left"/>
              <w:rPr>
                <w:rFonts w:ascii="宋体" w:hAnsi="宋体" w:cs="宋体"/>
                <w:kern w:val="0"/>
                <w:sz w:val="24"/>
              </w:rPr>
            </w:pPr>
            <w:r>
              <w:rPr>
                <w:rFonts w:hint="eastAsia" w:ascii="宋体" w:hAnsi="宋体" w:cs="宋体"/>
                <w:kern w:val="0"/>
                <w:sz w:val="24"/>
              </w:rPr>
              <w:t>单位名称</w:t>
            </w:r>
          </w:p>
        </w:tc>
        <w:tc>
          <w:tcPr>
            <w:tcW w:w="1840" w:type="dxa"/>
            <w:tcBorders>
              <w:top w:val="single" w:color="auto" w:sz="4" w:space="0"/>
              <w:left w:val="nil"/>
              <w:bottom w:val="single" w:color="auto" w:sz="4" w:space="0"/>
              <w:right w:val="single" w:color="auto" w:sz="4" w:space="0"/>
            </w:tcBorders>
            <w:noWrap/>
            <w:vAlign w:val="bottom"/>
          </w:tcPr>
          <w:p>
            <w:pPr>
              <w:widowControl/>
              <w:jc w:val="left"/>
              <w:rPr>
                <w:rFonts w:ascii="宋体" w:hAnsi="宋体" w:cs="宋体"/>
                <w:kern w:val="0"/>
                <w:sz w:val="24"/>
              </w:rPr>
            </w:pPr>
            <w:r>
              <w:rPr>
                <w:rFonts w:hint="eastAsia" w:ascii="宋体" w:hAnsi="宋体" w:cs="宋体"/>
                <w:kern w:val="0"/>
                <w:sz w:val="24"/>
              </w:rPr>
              <w:t>单位性质</w:t>
            </w:r>
          </w:p>
        </w:tc>
        <w:tc>
          <w:tcPr>
            <w:tcW w:w="1840" w:type="dxa"/>
            <w:tcBorders>
              <w:top w:val="single" w:color="auto" w:sz="4" w:space="0"/>
              <w:left w:val="nil"/>
              <w:bottom w:val="single" w:color="auto" w:sz="4" w:space="0"/>
              <w:right w:val="single" w:color="auto" w:sz="4" w:space="0"/>
            </w:tcBorders>
            <w:noWrap/>
            <w:vAlign w:val="bottom"/>
          </w:tcPr>
          <w:p>
            <w:pPr>
              <w:widowControl/>
              <w:jc w:val="left"/>
              <w:rPr>
                <w:rFonts w:ascii="宋体" w:hAnsi="宋体" w:cs="宋体"/>
                <w:kern w:val="0"/>
                <w:sz w:val="24"/>
              </w:rPr>
            </w:pPr>
            <w:r>
              <w:rPr>
                <w:rFonts w:hint="eastAsia" w:ascii="宋体" w:hAnsi="宋体" w:cs="宋体"/>
                <w:kern w:val="0"/>
                <w:sz w:val="24"/>
              </w:rPr>
              <w:t>单位规格</w:t>
            </w:r>
          </w:p>
        </w:tc>
        <w:tc>
          <w:tcPr>
            <w:tcW w:w="1700" w:type="dxa"/>
            <w:tcBorders>
              <w:top w:val="single" w:color="auto" w:sz="4" w:space="0"/>
              <w:left w:val="nil"/>
              <w:bottom w:val="single" w:color="auto" w:sz="4" w:space="0"/>
              <w:right w:val="single" w:color="auto" w:sz="4" w:space="0"/>
            </w:tcBorders>
            <w:noWrap/>
            <w:vAlign w:val="bottom"/>
          </w:tcPr>
          <w:p>
            <w:pPr>
              <w:widowControl/>
              <w:jc w:val="left"/>
              <w:rPr>
                <w:rFonts w:ascii="宋体" w:hAnsi="宋体" w:cs="宋体"/>
                <w:kern w:val="0"/>
                <w:sz w:val="24"/>
              </w:rPr>
            </w:pPr>
            <w:r>
              <w:rPr>
                <w:rFonts w:hint="eastAsia" w:ascii="宋体" w:hAnsi="宋体" w:cs="宋体"/>
                <w:kern w:val="0"/>
                <w:sz w:val="24"/>
              </w:rPr>
              <w:t>经费保障形式</w:t>
            </w:r>
          </w:p>
        </w:tc>
      </w:tr>
      <w:tr>
        <w:tblPrEx>
          <w:tblCellMar>
            <w:top w:w="0" w:type="dxa"/>
            <w:left w:w="108" w:type="dxa"/>
            <w:bottom w:w="0" w:type="dxa"/>
            <w:right w:w="108" w:type="dxa"/>
          </w:tblCellMar>
        </w:tblPrEx>
        <w:trPr>
          <w:wBefore w:w="0" w:type="dxa"/>
          <w:wAfter w:w="0" w:type="dxa"/>
          <w:trHeight w:val="435" w:hRule="atLeast"/>
        </w:trPr>
        <w:tc>
          <w:tcPr>
            <w:tcW w:w="1840" w:type="dxa"/>
            <w:tcBorders>
              <w:top w:val="nil"/>
              <w:left w:val="single" w:color="auto" w:sz="4" w:space="0"/>
              <w:bottom w:val="single" w:color="auto" w:sz="4" w:space="0"/>
              <w:right w:val="single" w:color="auto" w:sz="4" w:space="0"/>
            </w:tcBorders>
            <w:noWrap/>
            <w:vAlign w:val="bottom"/>
          </w:tcPr>
          <w:p>
            <w:pPr>
              <w:widowControl/>
              <w:jc w:val="left"/>
              <w:rPr>
                <w:rFonts w:ascii="宋体" w:hAnsi="宋体" w:cs="宋体"/>
                <w:kern w:val="0"/>
                <w:sz w:val="24"/>
              </w:rPr>
            </w:pPr>
            <w:r>
              <w:rPr>
                <w:rFonts w:hint="eastAsia" w:ascii="宋体" w:hAnsi="宋体" w:cs="宋体"/>
                <w:kern w:val="0"/>
                <w:sz w:val="24"/>
              </w:rPr>
              <w:t>涞源县审计局</w:t>
            </w:r>
          </w:p>
        </w:tc>
        <w:tc>
          <w:tcPr>
            <w:tcW w:w="1840" w:type="dxa"/>
            <w:tcBorders>
              <w:top w:val="nil"/>
              <w:left w:val="nil"/>
              <w:bottom w:val="single" w:color="auto" w:sz="4" w:space="0"/>
              <w:right w:val="single" w:color="auto" w:sz="4" w:space="0"/>
            </w:tcBorders>
            <w:noWrap/>
            <w:vAlign w:val="bottom"/>
          </w:tcPr>
          <w:p>
            <w:pPr>
              <w:widowControl/>
              <w:jc w:val="left"/>
              <w:rPr>
                <w:rFonts w:ascii="宋体" w:hAnsi="宋体" w:cs="宋体"/>
                <w:kern w:val="0"/>
                <w:sz w:val="24"/>
              </w:rPr>
            </w:pPr>
            <w:r>
              <w:rPr>
                <w:rFonts w:hint="eastAsia" w:ascii="宋体" w:hAnsi="宋体" w:cs="宋体"/>
                <w:kern w:val="0"/>
                <w:sz w:val="24"/>
              </w:rPr>
              <w:t>行政</w:t>
            </w:r>
          </w:p>
        </w:tc>
        <w:tc>
          <w:tcPr>
            <w:tcW w:w="1840" w:type="dxa"/>
            <w:tcBorders>
              <w:top w:val="nil"/>
              <w:left w:val="nil"/>
              <w:bottom w:val="single" w:color="auto" w:sz="4" w:space="0"/>
              <w:right w:val="single" w:color="auto" w:sz="4" w:space="0"/>
            </w:tcBorders>
            <w:noWrap/>
            <w:vAlign w:val="bottom"/>
          </w:tcPr>
          <w:p>
            <w:pPr>
              <w:widowControl/>
              <w:jc w:val="left"/>
              <w:rPr>
                <w:rFonts w:ascii="宋体" w:hAnsi="宋体" w:cs="宋体"/>
                <w:kern w:val="0"/>
                <w:sz w:val="24"/>
              </w:rPr>
            </w:pPr>
            <w:r>
              <w:rPr>
                <w:rFonts w:hint="eastAsia" w:ascii="宋体" w:hAnsi="宋体" w:cs="宋体"/>
                <w:kern w:val="0"/>
                <w:sz w:val="24"/>
              </w:rPr>
              <w:t>正科级</w:t>
            </w:r>
          </w:p>
        </w:tc>
        <w:tc>
          <w:tcPr>
            <w:tcW w:w="1700" w:type="dxa"/>
            <w:tcBorders>
              <w:top w:val="nil"/>
              <w:left w:val="nil"/>
              <w:bottom w:val="single" w:color="auto" w:sz="4" w:space="0"/>
              <w:right w:val="single" w:color="auto" w:sz="4" w:space="0"/>
            </w:tcBorders>
            <w:noWrap/>
            <w:vAlign w:val="bottom"/>
          </w:tcPr>
          <w:p>
            <w:pPr>
              <w:widowControl/>
              <w:jc w:val="left"/>
              <w:rPr>
                <w:rFonts w:ascii="宋体" w:hAnsi="宋体" w:cs="宋体"/>
                <w:kern w:val="0"/>
                <w:sz w:val="24"/>
              </w:rPr>
            </w:pPr>
            <w:r>
              <w:rPr>
                <w:rFonts w:hint="eastAsia" w:ascii="宋体" w:hAnsi="宋体" w:cs="宋体"/>
                <w:kern w:val="0"/>
                <w:sz w:val="24"/>
              </w:rPr>
              <w:t>财政拨款</w:t>
            </w:r>
          </w:p>
        </w:tc>
      </w:tr>
    </w:tbl>
    <w:p>
      <w:pPr>
        <w:spacing w:line="520" w:lineRule="exact"/>
        <w:ind w:left="1713" w:firstLine="320" w:firstLineChars="100"/>
        <w:rPr>
          <w:rFonts w:ascii="黑体" w:hAnsi="黑体" w:eastAsia="黑体"/>
          <w:sz w:val="32"/>
          <w:szCs w:val="32"/>
        </w:rPr>
      </w:pPr>
    </w:p>
    <w:p>
      <w:pPr>
        <w:spacing w:line="520" w:lineRule="exact"/>
        <w:ind w:left="1713" w:firstLine="320" w:firstLineChars="100"/>
        <w:rPr>
          <w:rFonts w:hint="eastAsia" w:ascii="黑体" w:hAnsi="黑体" w:eastAsia="黑体"/>
          <w:sz w:val="32"/>
          <w:szCs w:val="32"/>
        </w:rPr>
      </w:pPr>
      <w:r>
        <w:rPr>
          <w:rFonts w:hint="eastAsia" w:ascii="黑体" w:hAnsi="黑体" w:eastAsia="黑体"/>
          <w:sz w:val="32"/>
          <w:szCs w:val="32"/>
        </w:rPr>
        <w:t>第二部分：部门预算安排的总体情况</w:t>
      </w:r>
    </w:p>
    <w:p>
      <w:pPr>
        <w:ind w:firstLine="640" w:firstLineChars="200"/>
        <w:rPr>
          <w:rFonts w:hint="eastAsia" w:ascii="黑体" w:hAnsi="黑体" w:eastAsia="黑体"/>
          <w:sz w:val="32"/>
          <w:szCs w:val="32"/>
        </w:rPr>
      </w:pPr>
      <w:r>
        <w:rPr>
          <w:rFonts w:hint="eastAsia" w:ascii="黑体" w:hAnsi="黑体" w:eastAsia="黑体"/>
          <w:sz w:val="32"/>
          <w:szCs w:val="32"/>
        </w:rPr>
        <w:t xml:space="preserve">一、收入说明 </w:t>
      </w:r>
    </w:p>
    <w:p>
      <w:pPr>
        <w:ind w:firstLine="800" w:firstLineChars="250"/>
        <w:rPr>
          <w:rFonts w:hint="eastAsia" w:ascii="仿宋" w:hAnsi="仿宋" w:eastAsia="仿宋"/>
          <w:sz w:val="32"/>
          <w:szCs w:val="32"/>
        </w:rPr>
      </w:pPr>
      <w:r>
        <w:rPr>
          <w:rFonts w:hint="eastAsia" w:ascii="仿宋" w:hAnsi="仿宋" w:eastAsia="仿宋"/>
          <w:sz w:val="32"/>
          <w:szCs w:val="32"/>
        </w:rPr>
        <w:t>2018年涞源县审计局年初部门收入预算总额为996.02万元</w:t>
      </w:r>
    </w:p>
    <w:p>
      <w:pPr>
        <w:ind w:firstLine="960" w:firstLineChars="300"/>
        <w:rPr>
          <w:rFonts w:hint="eastAsia" w:ascii="仿宋" w:hAnsi="仿宋" w:eastAsia="仿宋"/>
          <w:sz w:val="32"/>
          <w:szCs w:val="32"/>
        </w:rPr>
      </w:pPr>
      <w:r>
        <w:rPr>
          <w:rFonts w:hint="eastAsia" w:ascii="仿宋" w:hAnsi="仿宋" w:eastAsia="仿宋"/>
          <w:sz w:val="32"/>
          <w:szCs w:val="32"/>
        </w:rPr>
        <w:t xml:space="preserve"> 其中：一般公共预算收入996.02万元</w:t>
      </w:r>
    </w:p>
    <w:p>
      <w:pPr>
        <w:ind w:firstLine="803" w:firstLineChars="250"/>
        <w:rPr>
          <w:rFonts w:hint="eastAsia" w:ascii="黑体" w:hAnsi="黑体" w:eastAsia="黑体"/>
          <w:b/>
          <w:sz w:val="32"/>
          <w:szCs w:val="32"/>
        </w:rPr>
      </w:pPr>
      <w:r>
        <w:rPr>
          <w:rFonts w:hint="eastAsia" w:ascii="黑体" w:hAnsi="黑体" w:eastAsia="黑体"/>
          <w:b/>
          <w:sz w:val="32"/>
          <w:szCs w:val="32"/>
        </w:rPr>
        <w:t>二、支出说明</w:t>
      </w:r>
    </w:p>
    <w:p>
      <w:pPr>
        <w:ind w:firstLine="800" w:firstLineChars="250"/>
        <w:rPr>
          <w:rFonts w:hint="eastAsia" w:ascii="仿宋" w:hAnsi="仿宋" w:eastAsia="仿宋"/>
          <w:sz w:val="32"/>
          <w:szCs w:val="32"/>
        </w:rPr>
      </w:pPr>
      <w:r>
        <w:rPr>
          <w:rFonts w:hint="eastAsia" w:ascii="仿宋" w:hAnsi="仿宋" w:eastAsia="仿宋"/>
          <w:sz w:val="32"/>
          <w:szCs w:val="32"/>
        </w:rPr>
        <w:t>2017年部门支出安排预算总额为996.02万元</w:t>
      </w:r>
    </w:p>
    <w:p>
      <w:pPr>
        <w:ind w:firstLine="800" w:firstLineChars="250"/>
        <w:rPr>
          <w:rFonts w:hint="eastAsia" w:ascii="仿宋" w:hAnsi="仿宋" w:eastAsia="仿宋"/>
          <w:sz w:val="32"/>
          <w:szCs w:val="32"/>
        </w:rPr>
      </w:pPr>
      <w:r>
        <w:rPr>
          <w:rFonts w:hint="eastAsia" w:ascii="仿宋" w:hAnsi="仿宋" w:eastAsia="仿宋"/>
          <w:sz w:val="32"/>
          <w:szCs w:val="32"/>
        </w:rPr>
        <w:t>基本支出196.24万元</w:t>
      </w:r>
    </w:p>
    <w:p>
      <w:pPr>
        <w:ind w:firstLine="800" w:firstLineChars="250"/>
        <w:rPr>
          <w:rFonts w:hint="eastAsia" w:ascii="仿宋" w:hAnsi="仿宋" w:eastAsia="仿宋"/>
          <w:sz w:val="32"/>
          <w:szCs w:val="32"/>
        </w:rPr>
      </w:pPr>
      <w:r>
        <w:rPr>
          <w:rFonts w:hint="eastAsia" w:ascii="仿宋" w:hAnsi="仿宋" w:eastAsia="仿宋"/>
          <w:sz w:val="32"/>
          <w:szCs w:val="32"/>
        </w:rPr>
        <w:t>其中：人员经费163.56万元</w:t>
      </w:r>
    </w:p>
    <w:p>
      <w:pPr>
        <w:ind w:firstLine="1760" w:firstLineChars="550"/>
        <w:rPr>
          <w:rFonts w:hint="eastAsia" w:ascii="仿宋" w:hAnsi="仿宋" w:eastAsia="仿宋"/>
          <w:sz w:val="32"/>
          <w:szCs w:val="32"/>
        </w:rPr>
      </w:pPr>
      <w:r>
        <w:rPr>
          <w:rFonts w:hint="eastAsia" w:ascii="仿宋" w:hAnsi="仿宋" w:eastAsia="仿宋"/>
          <w:sz w:val="32"/>
          <w:szCs w:val="32"/>
        </w:rPr>
        <w:t>日常公用经费32.68万元</w:t>
      </w:r>
    </w:p>
    <w:p>
      <w:pPr>
        <w:ind w:firstLine="800" w:firstLineChars="250"/>
        <w:rPr>
          <w:rFonts w:hint="eastAsia" w:ascii="仿宋" w:hAnsi="仿宋" w:eastAsia="仿宋"/>
          <w:sz w:val="32"/>
          <w:szCs w:val="32"/>
        </w:rPr>
      </w:pPr>
      <w:r>
        <w:rPr>
          <w:rFonts w:hint="eastAsia" w:ascii="仿宋" w:hAnsi="仿宋" w:eastAsia="仿宋"/>
          <w:sz w:val="32"/>
          <w:szCs w:val="32"/>
        </w:rPr>
        <w:t>项目支出799.78万元</w:t>
      </w:r>
    </w:p>
    <w:p>
      <w:pPr>
        <w:ind w:firstLine="800" w:firstLineChars="250"/>
        <w:rPr>
          <w:rFonts w:hint="eastAsia" w:ascii="仿宋" w:hAnsi="仿宋" w:eastAsia="仿宋"/>
          <w:sz w:val="32"/>
          <w:szCs w:val="32"/>
        </w:rPr>
      </w:pPr>
      <w:r>
        <w:rPr>
          <w:rFonts w:hint="eastAsia" w:ascii="仿宋" w:hAnsi="仿宋" w:eastAsia="仿宋"/>
          <w:sz w:val="32"/>
          <w:szCs w:val="32"/>
        </w:rPr>
        <w:t>其中：本级支出799.78万元</w:t>
      </w:r>
    </w:p>
    <w:p>
      <w:pPr>
        <w:ind w:left="640" w:firstLine="160" w:firstLineChars="50"/>
        <w:rPr>
          <w:rFonts w:hint="eastAsia" w:ascii="仿宋" w:hAnsi="仿宋" w:eastAsia="仿宋"/>
          <w:sz w:val="32"/>
          <w:szCs w:val="32"/>
        </w:rPr>
      </w:pPr>
      <w:r>
        <w:rPr>
          <w:rFonts w:hint="eastAsia" w:ascii="仿宋" w:hAnsi="仿宋" w:eastAsia="仿宋"/>
          <w:sz w:val="32"/>
          <w:szCs w:val="32"/>
        </w:rPr>
        <w:t>3.比上年增减情况</w:t>
      </w:r>
    </w:p>
    <w:p>
      <w:pPr>
        <w:tabs>
          <w:tab w:val="left" w:pos="916"/>
        </w:tabs>
        <w:spacing w:line="560" w:lineRule="exact"/>
        <w:ind w:firstLine="640" w:firstLineChars="200"/>
        <w:jc w:val="left"/>
        <w:rPr>
          <w:rFonts w:hint="eastAsia" w:ascii="仿宋" w:hAnsi="仿宋" w:eastAsia="仿宋"/>
          <w:sz w:val="32"/>
          <w:szCs w:val="32"/>
        </w:rPr>
      </w:pPr>
      <w:r>
        <w:rPr>
          <w:rFonts w:hint="eastAsia" w:ascii="仿宋" w:hAnsi="仿宋" w:eastAsia="仿宋"/>
          <w:sz w:val="32"/>
          <w:szCs w:val="32"/>
        </w:rPr>
        <w:t>本年度预算收支安排996.02万元，较上年增加668.42万元。其中:基本支出减少19.39万元（人员经费减少了21.43万元，日常公用经费增加2.04万元），人员经费减少主要是退休人员工资不包含在内；项目支出增加687.81万元，主要是旅游发展大会部分项目竣工决算审计的审计费用。</w:t>
      </w:r>
    </w:p>
    <w:p>
      <w:pPr>
        <w:spacing w:line="520" w:lineRule="exact"/>
        <w:jc w:val="center"/>
        <w:outlineLvl w:val="0"/>
        <w:rPr>
          <w:rFonts w:hint="eastAsia" w:ascii="黑体" w:hAnsi="黑体" w:eastAsia="黑体"/>
          <w:sz w:val="32"/>
          <w:szCs w:val="32"/>
        </w:rPr>
      </w:pPr>
      <w:r>
        <w:rPr>
          <w:rFonts w:hint="eastAsia" w:ascii="黑体" w:hAnsi="黑体" w:eastAsia="黑体"/>
          <w:sz w:val="32"/>
          <w:szCs w:val="32"/>
        </w:rPr>
        <w:t>第三部分：机关运行经费安排情况</w:t>
      </w:r>
    </w:p>
    <w:p>
      <w:pPr>
        <w:ind w:firstLine="640" w:firstLineChars="200"/>
        <w:rPr>
          <w:rFonts w:hint="eastAsia" w:ascii="仿宋" w:hAnsi="仿宋" w:eastAsia="仿宋"/>
          <w:sz w:val="32"/>
          <w:szCs w:val="32"/>
        </w:rPr>
      </w:pPr>
      <w:r>
        <w:rPr>
          <w:rFonts w:hint="eastAsia" w:ascii="仿宋" w:hAnsi="仿宋" w:eastAsia="仿宋"/>
          <w:sz w:val="32"/>
          <w:szCs w:val="32"/>
        </w:rPr>
        <w:t>涞源县审计局机关运行经费安排32.68万元，其中办公费1.4万元、水费1万元、电费1.4万元、邮电费1.44万元、差旅费2.8万元、公务用车运行维护费3.5万、取暖费8.04万元、房屋租赁费5.1万元、公务接待费8万元。</w:t>
      </w:r>
    </w:p>
    <w:p>
      <w:pPr>
        <w:ind w:firstLine="640" w:firstLineChars="200"/>
        <w:rPr>
          <w:rFonts w:hint="eastAsia" w:ascii="仿宋" w:hAnsi="仿宋" w:eastAsia="仿宋"/>
          <w:sz w:val="32"/>
          <w:szCs w:val="32"/>
        </w:rPr>
      </w:pPr>
    </w:p>
    <w:p>
      <w:pPr>
        <w:spacing w:line="520" w:lineRule="exact"/>
        <w:jc w:val="center"/>
        <w:outlineLvl w:val="0"/>
        <w:rPr>
          <w:rFonts w:hint="eastAsia" w:ascii="黑体" w:hAnsi="黑体" w:eastAsia="黑体"/>
          <w:sz w:val="32"/>
          <w:szCs w:val="32"/>
        </w:rPr>
      </w:pPr>
      <w:r>
        <w:rPr>
          <w:rFonts w:hint="eastAsia" w:ascii="黑体" w:hAnsi="黑体" w:eastAsia="黑体"/>
          <w:sz w:val="32"/>
          <w:szCs w:val="32"/>
        </w:rPr>
        <w:t>第四部分：财政拨款“三公”经费预算情况及增减变化原因</w:t>
      </w:r>
    </w:p>
    <w:p>
      <w:pPr>
        <w:spacing w:line="520" w:lineRule="exact"/>
        <w:jc w:val="center"/>
        <w:outlineLvl w:val="0"/>
        <w:rPr>
          <w:rFonts w:hint="eastAsia" w:ascii="黑体" w:hAnsi="黑体" w:eastAsia="黑体"/>
          <w:sz w:val="32"/>
          <w:szCs w:val="32"/>
        </w:rPr>
      </w:pPr>
    </w:p>
    <w:tbl>
      <w:tblPr>
        <w:tblStyle w:val="5"/>
        <w:tblW w:w="5000" w:type="pct"/>
        <w:tblInd w:w="0" w:type="dxa"/>
        <w:tblLayout w:type="fixed"/>
        <w:tblCellMar>
          <w:top w:w="0" w:type="dxa"/>
          <w:left w:w="108" w:type="dxa"/>
          <w:bottom w:w="0" w:type="dxa"/>
          <w:right w:w="108" w:type="dxa"/>
        </w:tblCellMar>
      </w:tblPr>
      <w:tblGrid>
        <w:gridCol w:w="1808"/>
        <w:gridCol w:w="1133"/>
        <w:gridCol w:w="1420"/>
        <w:gridCol w:w="1277"/>
        <w:gridCol w:w="2884"/>
      </w:tblGrid>
      <w:tr>
        <w:tblPrEx>
          <w:tblCellMar>
            <w:top w:w="0" w:type="dxa"/>
            <w:left w:w="108" w:type="dxa"/>
            <w:bottom w:w="0" w:type="dxa"/>
            <w:right w:w="108" w:type="dxa"/>
          </w:tblCellMar>
        </w:tblPrEx>
        <w:trPr>
          <w:wBefore w:w="0" w:type="dxa"/>
          <w:wAfter w:w="0" w:type="dxa"/>
          <w:trHeight w:val="405" w:hRule="atLeast"/>
        </w:trPr>
        <w:tc>
          <w:tcPr>
            <w:tcW w:w="5000" w:type="pct"/>
            <w:gridSpan w:val="5"/>
            <w:tcBorders>
              <w:top w:val="nil"/>
              <w:left w:val="nil"/>
              <w:bottom w:val="nil"/>
              <w:right w:val="nil"/>
            </w:tcBorders>
            <w:noWrap/>
            <w:vAlign w:val="center"/>
          </w:tcPr>
          <w:p>
            <w:pPr>
              <w:widowControl/>
              <w:spacing w:line="520" w:lineRule="exact"/>
              <w:ind w:firstLine="1280" w:firstLineChars="400"/>
              <w:rPr>
                <w:rFonts w:ascii="仿宋" w:hAnsi="仿宋" w:eastAsia="仿宋" w:cs="宋体"/>
                <w:kern w:val="0"/>
                <w:sz w:val="32"/>
                <w:szCs w:val="32"/>
              </w:rPr>
            </w:pPr>
            <w:r>
              <w:rPr>
                <w:rFonts w:hint="eastAsia" w:ascii="仿宋" w:hAnsi="仿宋" w:eastAsia="仿宋"/>
                <w:sz w:val="32"/>
                <w:szCs w:val="32"/>
              </w:rPr>
              <w:t>“三公”经费预算情况及增减变化原因</w:t>
            </w:r>
          </w:p>
        </w:tc>
      </w:tr>
      <w:tr>
        <w:tblPrEx>
          <w:tblCellMar>
            <w:top w:w="0" w:type="dxa"/>
            <w:left w:w="108" w:type="dxa"/>
            <w:bottom w:w="0" w:type="dxa"/>
            <w:right w:w="108" w:type="dxa"/>
          </w:tblCellMar>
        </w:tblPrEx>
        <w:trPr>
          <w:wBefore w:w="0" w:type="dxa"/>
          <w:wAfter w:w="0" w:type="dxa"/>
          <w:trHeight w:val="221" w:hRule="atLeast"/>
        </w:trPr>
        <w:tc>
          <w:tcPr>
            <w:tcW w:w="1061" w:type="pct"/>
            <w:tcBorders>
              <w:top w:val="nil"/>
              <w:left w:val="nil"/>
              <w:bottom w:val="nil"/>
              <w:right w:val="nil"/>
            </w:tcBorders>
            <w:noWrap/>
            <w:vAlign w:val="center"/>
          </w:tcPr>
          <w:p>
            <w:pPr>
              <w:widowControl/>
              <w:jc w:val="left"/>
              <w:rPr>
                <w:rFonts w:ascii="宋体" w:hAnsi="宋体" w:cs="宋体"/>
                <w:kern w:val="0"/>
                <w:sz w:val="24"/>
              </w:rPr>
            </w:pPr>
          </w:p>
        </w:tc>
        <w:tc>
          <w:tcPr>
            <w:tcW w:w="665" w:type="pct"/>
            <w:tcBorders>
              <w:top w:val="nil"/>
              <w:left w:val="nil"/>
              <w:bottom w:val="nil"/>
              <w:right w:val="nil"/>
            </w:tcBorders>
            <w:noWrap/>
            <w:vAlign w:val="center"/>
          </w:tcPr>
          <w:p>
            <w:pPr>
              <w:widowControl/>
              <w:jc w:val="left"/>
              <w:rPr>
                <w:rFonts w:ascii="仿宋" w:hAnsi="仿宋" w:eastAsia="仿宋" w:cs="宋体"/>
                <w:kern w:val="0"/>
                <w:sz w:val="24"/>
              </w:rPr>
            </w:pPr>
          </w:p>
        </w:tc>
        <w:tc>
          <w:tcPr>
            <w:tcW w:w="833" w:type="pct"/>
            <w:tcBorders>
              <w:top w:val="nil"/>
              <w:left w:val="nil"/>
              <w:bottom w:val="nil"/>
              <w:right w:val="nil"/>
            </w:tcBorders>
            <w:noWrap/>
            <w:vAlign w:val="center"/>
          </w:tcPr>
          <w:p>
            <w:pPr>
              <w:widowControl/>
              <w:jc w:val="left"/>
              <w:rPr>
                <w:rFonts w:ascii="仿宋" w:hAnsi="仿宋" w:eastAsia="仿宋" w:cs="宋体"/>
                <w:kern w:val="0"/>
                <w:sz w:val="24"/>
              </w:rPr>
            </w:pPr>
          </w:p>
        </w:tc>
        <w:tc>
          <w:tcPr>
            <w:tcW w:w="749" w:type="pct"/>
            <w:tcBorders>
              <w:top w:val="nil"/>
              <w:left w:val="nil"/>
              <w:bottom w:val="nil"/>
              <w:right w:val="nil"/>
            </w:tcBorders>
            <w:noWrap/>
            <w:vAlign w:val="center"/>
          </w:tcPr>
          <w:p>
            <w:pPr>
              <w:widowControl/>
              <w:jc w:val="left"/>
              <w:rPr>
                <w:rFonts w:ascii="仿宋" w:hAnsi="仿宋" w:eastAsia="仿宋" w:cs="宋体"/>
                <w:kern w:val="0"/>
                <w:sz w:val="24"/>
              </w:rPr>
            </w:pPr>
          </w:p>
        </w:tc>
        <w:tc>
          <w:tcPr>
            <w:tcW w:w="1693" w:type="pct"/>
            <w:tcBorders>
              <w:top w:val="nil"/>
              <w:left w:val="nil"/>
              <w:bottom w:val="nil"/>
              <w:right w:val="nil"/>
            </w:tcBorders>
            <w:noWrap/>
            <w:vAlign w:val="center"/>
          </w:tcPr>
          <w:p>
            <w:pPr>
              <w:widowControl/>
              <w:jc w:val="right"/>
              <w:rPr>
                <w:rFonts w:ascii="仿宋" w:hAnsi="仿宋" w:eastAsia="仿宋" w:cs="宋体"/>
                <w:kern w:val="0"/>
                <w:sz w:val="24"/>
              </w:rPr>
            </w:pPr>
            <w:r>
              <w:rPr>
                <w:rFonts w:hint="eastAsia" w:ascii="仿宋" w:hAnsi="仿宋" w:eastAsia="仿宋" w:cs="宋体"/>
                <w:kern w:val="0"/>
                <w:sz w:val="24"/>
              </w:rPr>
              <w:t>单位：万元</w:t>
            </w:r>
          </w:p>
        </w:tc>
      </w:tr>
      <w:tr>
        <w:tblPrEx>
          <w:tblCellMar>
            <w:top w:w="0" w:type="dxa"/>
            <w:left w:w="108" w:type="dxa"/>
            <w:bottom w:w="0" w:type="dxa"/>
            <w:right w:w="108" w:type="dxa"/>
          </w:tblCellMar>
        </w:tblPrEx>
        <w:trPr>
          <w:wBefore w:w="0" w:type="dxa"/>
          <w:wAfter w:w="0" w:type="dxa"/>
          <w:trHeight w:val="285" w:hRule="atLeast"/>
        </w:trPr>
        <w:tc>
          <w:tcPr>
            <w:tcW w:w="1061"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项目名称</w:t>
            </w:r>
          </w:p>
        </w:tc>
        <w:tc>
          <w:tcPr>
            <w:tcW w:w="665" w:type="pct"/>
            <w:tcBorders>
              <w:top w:val="single" w:color="auto" w:sz="4" w:space="0"/>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2017年度预算</w:t>
            </w:r>
          </w:p>
        </w:tc>
        <w:tc>
          <w:tcPr>
            <w:tcW w:w="833" w:type="pct"/>
            <w:tcBorders>
              <w:top w:val="single" w:color="auto" w:sz="4" w:space="0"/>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2018年度预算</w:t>
            </w:r>
          </w:p>
        </w:tc>
        <w:tc>
          <w:tcPr>
            <w:tcW w:w="749" w:type="pct"/>
            <w:tcBorders>
              <w:top w:val="single" w:color="auto" w:sz="4" w:space="0"/>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增减金额</w:t>
            </w:r>
          </w:p>
        </w:tc>
        <w:tc>
          <w:tcPr>
            <w:tcW w:w="1693" w:type="pct"/>
            <w:tcBorders>
              <w:top w:val="single" w:color="auto" w:sz="4" w:space="0"/>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变化原因</w:t>
            </w:r>
          </w:p>
        </w:tc>
      </w:tr>
      <w:tr>
        <w:tblPrEx>
          <w:tblCellMar>
            <w:top w:w="0" w:type="dxa"/>
            <w:left w:w="108" w:type="dxa"/>
            <w:bottom w:w="0" w:type="dxa"/>
            <w:right w:w="108" w:type="dxa"/>
          </w:tblCellMar>
        </w:tblPrEx>
        <w:trPr>
          <w:wBefore w:w="0" w:type="dxa"/>
          <w:wAfter w:w="0" w:type="dxa"/>
          <w:trHeight w:val="285" w:hRule="atLeast"/>
        </w:trPr>
        <w:tc>
          <w:tcPr>
            <w:tcW w:w="1061" w:type="pct"/>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因公出国经费</w:t>
            </w:r>
          </w:p>
        </w:tc>
        <w:tc>
          <w:tcPr>
            <w:tcW w:w="665"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0</w:t>
            </w:r>
          </w:p>
        </w:tc>
        <w:tc>
          <w:tcPr>
            <w:tcW w:w="833"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0</w:t>
            </w:r>
          </w:p>
        </w:tc>
        <w:tc>
          <w:tcPr>
            <w:tcW w:w="749"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0</w:t>
            </w:r>
          </w:p>
        </w:tc>
        <w:tc>
          <w:tcPr>
            <w:tcW w:w="1693" w:type="pct"/>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wBefore w:w="0" w:type="dxa"/>
          <w:wAfter w:w="0" w:type="dxa"/>
          <w:trHeight w:val="285" w:hRule="atLeast"/>
        </w:trPr>
        <w:tc>
          <w:tcPr>
            <w:tcW w:w="1061" w:type="pct"/>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公务用车购置经费</w:t>
            </w:r>
          </w:p>
        </w:tc>
        <w:tc>
          <w:tcPr>
            <w:tcW w:w="665"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0</w:t>
            </w:r>
          </w:p>
        </w:tc>
        <w:tc>
          <w:tcPr>
            <w:tcW w:w="833"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0</w:t>
            </w:r>
          </w:p>
        </w:tc>
        <w:tc>
          <w:tcPr>
            <w:tcW w:w="749"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0</w:t>
            </w:r>
          </w:p>
        </w:tc>
        <w:tc>
          <w:tcPr>
            <w:tcW w:w="1693" w:type="pct"/>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wBefore w:w="0" w:type="dxa"/>
          <w:wAfter w:w="0" w:type="dxa"/>
          <w:trHeight w:val="570" w:hRule="atLeast"/>
        </w:trPr>
        <w:tc>
          <w:tcPr>
            <w:tcW w:w="1061" w:type="pct"/>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公务用车运行经费</w:t>
            </w:r>
          </w:p>
        </w:tc>
        <w:tc>
          <w:tcPr>
            <w:tcW w:w="665"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2.5</w:t>
            </w:r>
          </w:p>
        </w:tc>
        <w:tc>
          <w:tcPr>
            <w:tcW w:w="833"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3.5</w:t>
            </w:r>
          </w:p>
        </w:tc>
        <w:tc>
          <w:tcPr>
            <w:tcW w:w="749"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+1</w:t>
            </w:r>
          </w:p>
        </w:tc>
        <w:tc>
          <w:tcPr>
            <w:tcW w:w="1693" w:type="pct"/>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宋体"/>
                <w:kern w:val="0"/>
                <w:sz w:val="24"/>
              </w:rPr>
            </w:pPr>
            <w:r>
              <w:rPr>
                <w:rFonts w:hint="eastAsia" w:ascii="仿宋" w:hAnsi="仿宋" w:eastAsia="仿宋" w:cs="宋体"/>
                <w:kern w:val="0"/>
                <w:sz w:val="24"/>
              </w:rPr>
              <w:t>政府调剂公务用车维修费用较大</w:t>
            </w:r>
          </w:p>
        </w:tc>
      </w:tr>
      <w:tr>
        <w:tblPrEx>
          <w:tblCellMar>
            <w:top w:w="0" w:type="dxa"/>
            <w:left w:w="108" w:type="dxa"/>
            <w:bottom w:w="0" w:type="dxa"/>
            <w:right w:w="108" w:type="dxa"/>
          </w:tblCellMar>
        </w:tblPrEx>
        <w:trPr>
          <w:wBefore w:w="0" w:type="dxa"/>
          <w:wAfter w:w="0" w:type="dxa"/>
          <w:trHeight w:val="855" w:hRule="atLeast"/>
        </w:trPr>
        <w:tc>
          <w:tcPr>
            <w:tcW w:w="1061" w:type="pct"/>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公务接待费支出</w:t>
            </w:r>
          </w:p>
        </w:tc>
        <w:tc>
          <w:tcPr>
            <w:tcW w:w="665"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8</w:t>
            </w:r>
          </w:p>
        </w:tc>
        <w:tc>
          <w:tcPr>
            <w:tcW w:w="833"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8</w:t>
            </w:r>
          </w:p>
        </w:tc>
        <w:tc>
          <w:tcPr>
            <w:tcW w:w="749"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0</w:t>
            </w:r>
          </w:p>
        </w:tc>
        <w:tc>
          <w:tcPr>
            <w:tcW w:w="1693" w:type="pct"/>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wBefore w:w="0" w:type="dxa"/>
          <w:wAfter w:w="0" w:type="dxa"/>
          <w:trHeight w:val="1140" w:hRule="atLeast"/>
        </w:trPr>
        <w:tc>
          <w:tcPr>
            <w:tcW w:w="1061" w:type="pct"/>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合计</w:t>
            </w:r>
          </w:p>
        </w:tc>
        <w:tc>
          <w:tcPr>
            <w:tcW w:w="665"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10.5</w:t>
            </w:r>
          </w:p>
        </w:tc>
        <w:tc>
          <w:tcPr>
            <w:tcW w:w="833"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11.5</w:t>
            </w:r>
          </w:p>
        </w:tc>
        <w:tc>
          <w:tcPr>
            <w:tcW w:w="749" w:type="pct"/>
            <w:tcBorders>
              <w:top w:val="nil"/>
              <w:left w:val="nil"/>
              <w:bottom w:val="single" w:color="auto" w:sz="4" w:space="0"/>
              <w:right w:val="single" w:color="auto" w:sz="4" w:space="0"/>
            </w:tcBorders>
            <w:noWrap/>
            <w:vAlign w:val="center"/>
          </w:tcPr>
          <w:p>
            <w:pPr>
              <w:widowControl/>
              <w:jc w:val="center"/>
              <w:rPr>
                <w:rFonts w:hint="eastAsia" w:ascii="仿宋" w:hAnsi="仿宋" w:eastAsia="仿宋" w:cs="宋体"/>
                <w:kern w:val="0"/>
                <w:sz w:val="24"/>
              </w:rPr>
            </w:pPr>
            <w:r>
              <w:rPr>
                <w:rFonts w:hint="eastAsia" w:ascii="仿宋" w:hAnsi="仿宋" w:eastAsia="仿宋" w:cs="宋体"/>
                <w:kern w:val="0"/>
                <w:sz w:val="24"/>
              </w:rPr>
              <w:t>+1</w:t>
            </w:r>
          </w:p>
        </w:tc>
        <w:tc>
          <w:tcPr>
            <w:tcW w:w="1693" w:type="pct"/>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宋体"/>
                <w:kern w:val="0"/>
                <w:sz w:val="24"/>
              </w:rPr>
            </w:pPr>
            <w:r>
              <w:rPr>
                <w:rFonts w:hint="eastAsia" w:ascii="仿宋" w:hAnsi="仿宋" w:eastAsia="仿宋" w:cs="宋体"/>
                <w:kern w:val="0"/>
                <w:sz w:val="24"/>
              </w:rPr>
              <w:t>2018年，公务接待费用与去年持平。公务用车运行和维护费用预算增加，是因为我单位公务用车使用时间较长，维修费用较高。</w:t>
            </w:r>
          </w:p>
        </w:tc>
      </w:tr>
    </w:tbl>
    <w:p>
      <w:pPr>
        <w:ind w:firstLine="640" w:firstLineChars="200"/>
        <w:jc w:val="center"/>
        <w:rPr>
          <w:rFonts w:hint="eastAsia" w:ascii="黑体" w:hAnsi="黑体" w:eastAsia="黑体"/>
          <w:sz w:val="32"/>
          <w:szCs w:val="32"/>
        </w:rPr>
      </w:pPr>
    </w:p>
    <w:p>
      <w:pPr>
        <w:ind w:firstLine="640" w:firstLineChars="200"/>
        <w:jc w:val="center"/>
        <w:rPr>
          <w:rFonts w:hint="eastAsia" w:ascii="黑体" w:hAnsi="黑体" w:eastAsia="黑体"/>
          <w:sz w:val="32"/>
          <w:szCs w:val="32"/>
        </w:rPr>
      </w:pPr>
      <w:r>
        <w:rPr>
          <w:rFonts w:hint="eastAsia" w:ascii="黑体" w:hAnsi="黑体" w:eastAsia="黑体"/>
          <w:sz w:val="32"/>
          <w:szCs w:val="32"/>
        </w:rPr>
        <w:t>第五部分 绩效预算信息</w:t>
      </w:r>
    </w:p>
    <w:p>
      <w:pPr>
        <w:ind w:firstLine="640" w:firstLineChars="200"/>
        <w:rPr>
          <w:rFonts w:ascii="黑体" w:hAnsi="黑体" w:eastAsia="黑体"/>
          <w:sz w:val="32"/>
          <w:szCs w:val="32"/>
        </w:rPr>
      </w:pPr>
      <w:r>
        <w:rPr>
          <w:rFonts w:hint="eastAsia" w:ascii="黑体" w:hAnsi="黑体" w:eastAsia="黑体"/>
          <w:sz w:val="32"/>
          <w:szCs w:val="32"/>
        </w:rPr>
        <w:t>一、总体绩效目标</w:t>
      </w:r>
    </w:p>
    <w:p>
      <w:pPr>
        <w:ind w:firstLine="560" w:firstLineChars="200"/>
        <w:rPr>
          <w:rFonts w:ascii="仿宋" w:hAnsi="仿宋" w:eastAsia="仿宋"/>
          <w:sz w:val="44"/>
        </w:rPr>
      </w:pPr>
      <w:r>
        <w:rPr>
          <w:rFonts w:ascii="仿宋" w:hAnsi="仿宋" w:eastAsia="仿宋"/>
          <w:sz w:val="28"/>
        </w:rPr>
        <w:t>201</w:t>
      </w:r>
      <w:r>
        <w:rPr>
          <w:rFonts w:hint="eastAsia" w:ascii="仿宋" w:hAnsi="仿宋" w:eastAsia="仿宋"/>
          <w:sz w:val="28"/>
        </w:rPr>
        <w:t>8</w:t>
      </w:r>
      <w:r>
        <w:rPr>
          <w:rFonts w:ascii="仿宋" w:hAnsi="仿宋" w:eastAsia="仿宋"/>
          <w:sz w:val="28"/>
        </w:rPr>
        <w:t>年，我局将继续贯彻十八届四中、五中</w:t>
      </w:r>
      <w:r>
        <w:rPr>
          <w:rFonts w:hint="eastAsia" w:ascii="仿宋" w:hAnsi="仿宋" w:eastAsia="仿宋"/>
          <w:sz w:val="28"/>
        </w:rPr>
        <w:t>、六中</w:t>
      </w:r>
      <w:r>
        <w:rPr>
          <w:rFonts w:ascii="仿宋" w:hAnsi="仿宋" w:eastAsia="仿宋"/>
          <w:sz w:val="28"/>
        </w:rPr>
        <w:t>全会和《国务院关于加强审计工作的意见》精神，按照“审计要促发展”的工作方针，围绕县委、县政府中心工作，以推进法治、推动改革、促进发展、维护安全为重点，切实加强审计监督工作，为政府严把资金支付关口。</w:t>
      </w:r>
    </w:p>
    <w:p>
      <w:pPr>
        <w:ind w:firstLine="560"/>
        <w:rPr>
          <w:rFonts w:ascii="仿宋" w:hAnsi="仿宋" w:eastAsia="仿宋"/>
          <w:sz w:val="28"/>
        </w:rPr>
      </w:pPr>
      <w:r>
        <w:rPr>
          <w:rFonts w:ascii="仿宋" w:hAnsi="仿宋" w:eastAsia="仿宋"/>
          <w:sz w:val="28"/>
        </w:rPr>
        <w:t>（一）通过审计财政、财务收支真实、合法和效益，维护国家财政经济秩序、促进廉政建设、保障国民经济的健康发展。</w:t>
      </w:r>
    </w:p>
    <w:p>
      <w:pPr>
        <w:ind w:firstLine="560"/>
        <w:rPr>
          <w:rFonts w:ascii="仿宋" w:hAnsi="仿宋" w:eastAsia="仿宋"/>
          <w:sz w:val="28"/>
        </w:rPr>
      </w:pPr>
      <w:r>
        <w:rPr>
          <w:rFonts w:ascii="仿宋" w:hAnsi="仿宋" w:eastAsia="仿宋"/>
          <w:sz w:val="28"/>
        </w:rPr>
        <w:t>（二）通过专项审计调查，综合分析，向有关部门反映情况，揭露问题、提出解决问题的建议，为政府决策提供依据，为国家宏观调控服务。</w:t>
      </w:r>
    </w:p>
    <w:p>
      <w:pPr>
        <w:ind w:firstLine="560"/>
        <w:rPr>
          <w:rFonts w:ascii="仿宋" w:hAnsi="仿宋" w:eastAsia="仿宋"/>
          <w:sz w:val="28"/>
        </w:rPr>
      </w:pPr>
      <w:r>
        <w:rPr>
          <w:rFonts w:ascii="仿宋" w:hAnsi="仿宋" w:eastAsia="仿宋"/>
          <w:sz w:val="28"/>
        </w:rPr>
        <w:t>（三）受理内审业务咨询，提高内部审计质量；协调内部审计和国家审计间工作，保障内部审计工作的顺利进行；严格控制费用标准。</w:t>
      </w:r>
    </w:p>
    <w:p>
      <w:pPr>
        <w:ind w:firstLine="560"/>
        <w:rPr>
          <w:rFonts w:ascii="仿宋" w:hAnsi="仿宋" w:eastAsia="仿宋"/>
          <w:sz w:val="28"/>
        </w:rPr>
      </w:pPr>
      <w:r>
        <w:rPr>
          <w:rFonts w:ascii="仿宋" w:hAnsi="仿宋" w:eastAsia="仿宋"/>
          <w:sz w:val="28"/>
        </w:rPr>
        <w:t>（四）信息保障安全有效，信息化建设稳步推进；加强宣传引导</w:t>
      </w:r>
      <w:r>
        <w:rPr>
          <w:rFonts w:hint="eastAsia" w:ascii="仿宋" w:hAnsi="仿宋" w:eastAsia="仿宋"/>
          <w:sz w:val="28"/>
        </w:rPr>
        <w:t>，</w:t>
      </w:r>
      <w:r>
        <w:rPr>
          <w:rFonts w:ascii="仿宋" w:hAnsi="仿宋" w:eastAsia="仿宋"/>
          <w:sz w:val="28"/>
        </w:rPr>
        <w:t>提高人员业务水平；促进审计文化研究</w:t>
      </w:r>
      <w:r>
        <w:rPr>
          <w:rFonts w:hint="eastAsia" w:ascii="仿宋" w:hAnsi="仿宋" w:eastAsia="仿宋"/>
          <w:sz w:val="28"/>
        </w:rPr>
        <w:t>，</w:t>
      </w:r>
      <w:r>
        <w:rPr>
          <w:rFonts w:ascii="仿宋" w:hAnsi="仿宋" w:eastAsia="仿宋"/>
          <w:sz w:val="28"/>
        </w:rPr>
        <w:t>推动审计事业发展。</w:t>
      </w:r>
    </w:p>
    <w:p>
      <w:pPr>
        <w:jc w:val="left"/>
        <w:rPr>
          <w:rFonts w:ascii="仿宋" w:hAnsi="仿宋" w:eastAsia="仿宋"/>
          <w:sz w:val="28"/>
        </w:rPr>
      </w:pPr>
      <w:r>
        <w:rPr>
          <w:rFonts w:hint="eastAsia" w:ascii="仿宋" w:hAnsi="仿宋" w:eastAsia="仿宋"/>
          <w:sz w:val="28"/>
        </w:rPr>
        <w:t xml:space="preserve">   </w:t>
      </w:r>
    </w:p>
    <w:p>
      <w:pPr>
        <w:rPr>
          <w:rFonts w:ascii="黑体" w:hAnsi="黑体" w:eastAsia="黑体"/>
          <w:sz w:val="32"/>
          <w:szCs w:val="32"/>
        </w:rPr>
        <w:sectPr>
          <w:pgSz w:w="11906" w:h="16838"/>
          <w:pgMar w:top="1440" w:right="1800" w:bottom="1440" w:left="1800" w:header="851" w:footer="992" w:gutter="0"/>
          <w:cols w:space="720" w:num="1"/>
          <w:docGrid w:type="lines" w:linePitch="312" w:charSpace="0"/>
        </w:sectPr>
      </w:pPr>
    </w:p>
    <w:tbl>
      <w:tblPr>
        <w:tblStyle w:val="5"/>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51"/>
        <w:gridCol w:w="1276"/>
        <w:gridCol w:w="3566"/>
        <w:gridCol w:w="2976"/>
        <w:gridCol w:w="1113"/>
        <w:gridCol w:w="1041"/>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blHeader/>
          <w:jc w:val="center"/>
        </w:trPr>
        <w:tc>
          <w:tcPr>
            <w:tcW w:w="10682" w:type="dxa"/>
            <w:gridSpan w:val="5"/>
            <w:tcBorders>
              <w:top w:val="single" w:color="FFFFFF" w:sz="6" w:space="0"/>
              <w:left w:val="single" w:color="FFFFFF" w:sz="6" w:space="0"/>
              <w:right w:val="single" w:color="FFFFFF" w:sz="6" w:space="0"/>
            </w:tcBorders>
            <w:noWrap w:val="0"/>
            <w:vAlign w:val="center"/>
          </w:tcPr>
          <w:p>
            <w:pPr>
              <w:spacing w:line="300" w:lineRule="exact"/>
              <w:jc w:val="left"/>
              <w:rPr>
                <w:rFonts w:hint="eastAsia" w:ascii="黑体" w:hAnsi="黑体" w:eastAsia="黑体"/>
                <w:b/>
                <w:sz w:val="32"/>
                <w:szCs w:val="32"/>
              </w:rPr>
            </w:pPr>
            <w:r>
              <w:rPr>
                <w:rFonts w:ascii="方正小标宋_GBK" w:eastAsia="方正小标宋_GBK"/>
                <w:sz w:val="24"/>
              </w:rPr>
              <w:t xml:space="preserve">                                  </w:t>
            </w:r>
            <w:r>
              <w:rPr>
                <w:rFonts w:ascii="仿宋" w:hAnsi="仿宋" w:eastAsia="仿宋"/>
                <w:sz w:val="32"/>
                <w:szCs w:val="32"/>
              </w:rPr>
              <w:t xml:space="preserve"> </w:t>
            </w:r>
            <w:r>
              <w:rPr>
                <w:rFonts w:ascii="仿宋" w:hAnsi="仿宋" w:eastAsia="仿宋"/>
                <w:b/>
                <w:sz w:val="32"/>
                <w:szCs w:val="32"/>
              </w:rPr>
              <w:t xml:space="preserve"> </w:t>
            </w:r>
            <w:r>
              <w:rPr>
                <w:rFonts w:hint="eastAsia" w:ascii="黑体" w:hAnsi="黑体" w:eastAsia="黑体"/>
                <w:b/>
                <w:sz w:val="32"/>
                <w:szCs w:val="32"/>
              </w:rPr>
              <w:t>二、部门职责-工作活动绩效目标</w:t>
            </w:r>
          </w:p>
          <w:p>
            <w:pPr>
              <w:spacing w:line="300" w:lineRule="exact"/>
              <w:jc w:val="left"/>
              <w:rPr>
                <w:rFonts w:ascii="方正小标宋_GBK" w:eastAsia="方正小标宋_GBK"/>
                <w:sz w:val="24"/>
              </w:rPr>
            </w:pPr>
            <w:r>
              <w:rPr>
                <w:rFonts w:ascii="方正小标宋_GBK" w:eastAsia="方正小标宋_GBK"/>
                <w:sz w:val="24"/>
              </w:rPr>
              <w:t>319</w:t>
            </w:r>
            <w:r>
              <w:rPr>
                <w:rFonts w:hint="eastAsia" w:ascii="方正小标宋_GBK" w:eastAsia="方正小标宋_GBK"/>
                <w:sz w:val="24"/>
              </w:rPr>
              <w:t>涞源县审计局</w:t>
            </w:r>
          </w:p>
        </w:tc>
        <w:tc>
          <w:tcPr>
            <w:tcW w:w="3252" w:type="dxa"/>
            <w:gridSpan w:val="4"/>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blHeader/>
          <w:jc w:val="center"/>
        </w:trPr>
        <w:tc>
          <w:tcPr>
            <w:tcW w:w="1751"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3566"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113"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3252" w:type="dxa"/>
            <w:gridSpan w:val="4"/>
            <w:noWrap w:val="0"/>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blHeader/>
          <w:jc w:val="center"/>
        </w:trPr>
        <w:tc>
          <w:tcPr>
            <w:tcW w:w="1751" w:type="dxa"/>
            <w:vMerge w:val="continue"/>
            <w:noWrap w:val="0"/>
            <w:vAlign w:val="center"/>
          </w:tcPr>
          <w:p>
            <w:pPr>
              <w:spacing w:line="300" w:lineRule="exact"/>
              <w:jc w:val="left"/>
              <w:outlineLvl w:val="0"/>
            </w:pPr>
          </w:p>
        </w:tc>
        <w:tc>
          <w:tcPr>
            <w:tcW w:w="1276" w:type="dxa"/>
            <w:vMerge w:val="continue"/>
            <w:noWrap w:val="0"/>
            <w:vAlign w:val="center"/>
          </w:tcPr>
          <w:p>
            <w:pPr>
              <w:spacing w:line="300" w:lineRule="exact"/>
              <w:jc w:val="left"/>
              <w:outlineLvl w:val="0"/>
            </w:pPr>
          </w:p>
        </w:tc>
        <w:tc>
          <w:tcPr>
            <w:tcW w:w="3566" w:type="dxa"/>
            <w:vMerge w:val="continue"/>
            <w:noWrap w:val="0"/>
            <w:vAlign w:val="center"/>
          </w:tcPr>
          <w:p>
            <w:pPr>
              <w:spacing w:line="300" w:lineRule="exact"/>
              <w:jc w:val="left"/>
              <w:outlineLvl w:val="0"/>
            </w:pPr>
          </w:p>
        </w:tc>
        <w:tc>
          <w:tcPr>
            <w:tcW w:w="2976" w:type="dxa"/>
            <w:vMerge w:val="continue"/>
            <w:noWrap w:val="0"/>
            <w:vAlign w:val="center"/>
          </w:tcPr>
          <w:p>
            <w:pPr>
              <w:spacing w:line="300" w:lineRule="exact"/>
              <w:jc w:val="left"/>
              <w:outlineLvl w:val="0"/>
            </w:pPr>
          </w:p>
        </w:tc>
        <w:tc>
          <w:tcPr>
            <w:tcW w:w="1113" w:type="dxa"/>
            <w:vMerge w:val="continue"/>
            <w:noWrap w:val="0"/>
            <w:vAlign w:val="center"/>
          </w:tcPr>
          <w:p>
            <w:pPr>
              <w:spacing w:line="300" w:lineRule="exact"/>
              <w:jc w:val="left"/>
              <w:outlineLvl w:val="0"/>
            </w:pPr>
          </w:p>
        </w:tc>
        <w:tc>
          <w:tcPr>
            <w:tcW w:w="1041" w:type="dxa"/>
            <w:noWrap w:val="0"/>
            <w:vAlign w:val="center"/>
          </w:tcPr>
          <w:p>
            <w:pPr>
              <w:spacing w:line="300" w:lineRule="exact"/>
              <w:jc w:val="center"/>
              <w:rPr>
                <w:rFonts w:ascii="方正书宋_GBK" w:eastAsia="方正书宋_GBK"/>
                <w:b/>
              </w:rPr>
            </w:pPr>
            <w:r>
              <w:rPr>
                <w:rFonts w:hint="eastAsia" w:ascii="方正书宋_GBK" w:eastAsia="方正书宋_GBK"/>
                <w:b/>
              </w:rPr>
              <w:t>优</w:t>
            </w:r>
          </w:p>
        </w:tc>
        <w:tc>
          <w:tcPr>
            <w:tcW w:w="737" w:type="dxa"/>
            <w:noWrap w:val="0"/>
            <w:vAlign w:val="center"/>
          </w:tcPr>
          <w:p>
            <w:pPr>
              <w:spacing w:line="300" w:lineRule="exact"/>
              <w:jc w:val="center"/>
              <w:rPr>
                <w:rFonts w:ascii="方正书宋_GBK" w:eastAsia="方正书宋_GBK"/>
                <w:b/>
              </w:rPr>
            </w:pPr>
            <w:r>
              <w:rPr>
                <w:rFonts w:hint="eastAsia" w:ascii="方正书宋_GBK" w:eastAsia="方正书宋_GBK"/>
                <w:b/>
              </w:rPr>
              <w:t>良</w:t>
            </w:r>
          </w:p>
        </w:tc>
        <w:tc>
          <w:tcPr>
            <w:tcW w:w="737" w:type="dxa"/>
            <w:noWrap w:val="0"/>
            <w:vAlign w:val="center"/>
          </w:tcPr>
          <w:p>
            <w:pPr>
              <w:spacing w:line="300" w:lineRule="exact"/>
              <w:jc w:val="center"/>
              <w:rPr>
                <w:rFonts w:ascii="方正书宋_GBK" w:eastAsia="方正书宋_GBK"/>
                <w:b/>
              </w:rPr>
            </w:pPr>
            <w:r>
              <w:rPr>
                <w:rFonts w:hint="eastAsia" w:ascii="方正书宋_GBK" w:eastAsia="方正书宋_GBK"/>
                <w:b/>
              </w:rPr>
              <w:t>中</w:t>
            </w:r>
          </w:p>
        </w:tc>
        <w:tc>
          <w:tcPr>
            <w:tcW w:w="737" w:type="dxa"/>
            <w:noWrap w:val="0"/>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751" w:type="dxa"/>
            <w:noWrap w:val="0"/>
            <w:vAlign w:val="center"/>
          </w:tcPr>
          <w:p>
            <w:pPr>
              <w:spacing w:line="300" w:lineRule="exact"/>
              <w:jc w:val="left"/>
              <w:rPr>
                <w:rFonts w:ascii="方正书宋_GBK" w:eastAsia="方正书宋_GBK"/>
                <w:b/>
              </w:rPr>
            </w:pPr>
            <w:r>
              <w:rPr>
                <w:rFonts w:hint="eastAsia" w:ascii="方正书宋_GBK" w:eastAsia="方正书宋_GBK"/>
                <w:b/>
              </w:rPr>
              <w:t>审计业务</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111.97</w:t>
            </w:r>
          </w:p>
        </w:tc>
        <w:tc>
          <w:tcPr>
            <w:tcW w:w="3566" w:type="dxa"/>
            <w:noWrap w:val="0"/>
            <w:vAlign w:val="center"/>
          </w:tcPr>
          <w:p>
            <w:pPr>
              <w:spacing w:line="300" w:lineRule="exact"/>
              <w:jc w:val="left"/>
              <w:rPr>
                <w:rFonts w:ascii="方正书宋_GBK" w:eastAsia="方正书宋_GBK"/>
              </w:rPr>
            </w:pPr>
            <w:r>
              <w:rPr>
                <w:rFonts w:hint="eastAsia" w:ascii="方正书宋_GBK" w:eastAsia="方正书宋_GBK"/>
              </w:rPr>
              <w:t>主管全县审计工作。</w:t>
            </w:r>
          </w:p>
        </w:tc>
        <w:tc>
          <w:tcPr>
            <w:tcW w:w="2976" w:type="dxa"/>
            <w:noWrap w:val="0"/>
            <w:vAlign w:val="center"/>
          </w:tcPr>
          <w:p>
            <w:pPr>
              <w:spacing w:line="300" w:lineRule="exact"/>
              <w:jc w:val="left"/>
              <w:rPr>
                <w:rFonts w:ascii="方正书宋_GBK" w:eastAsia="方正书宋_GBK"/>
              </w:rPr>
            </w:pPr>
            <w:r>
              <w:rPr>
                <w:rFonts w:hint="eastAsia" w:ascii="方正书宋_GBK" w:eastAsia="方正书宋_GBK"/>
              </w:rPr>
              <w:t>主管全县审计工作。通过财政财务收支审计真实、合法和效益情况，维护国家财政经济秩序，促进廉政建设，保障国民经济的健康运行。对政府投资项目进行竣工决算审计。</w:t>
            </w:r>
          </w:p>
        </w:tc>
        <w:tc>
          <w:tcPr>
            <w:tcW w:w="1113" w:type="dxa"/>
            <w:noWrap w:val="0"/>
            <w:vAlign w:val="center"/>
          </w:tcPr>
          <w:p>
            <w:pPr>
              <w:spacing w:line="300" w:lineRule="exact"/>
              <w:jc w:val="left"/>
              <w:rPr>
                <w:rFonts w:ascii="方正书宋_GBK" w:eastAsia="方正书宋_GBK"/>
              </w:rPr>
            </w:pPr>
          </w:p>
        </w:tc>
        <w:tc>
          <w:tcPr>
            <w:tcW w:w="1041" w:type="dxa"/>
            <w:noWrap w:val="0"/>
            <w:vAlign w:val="center"/>
          </w:tcPr>
          <w:p>
            <w:pPr>
              <w:spacing w:line="300" w:lineRule="exact"/>
              <w:jc w:val="center"/>
              <w:rPr>
                <w:rFonts w:ascii="方正书宋_GBK" w:eastAsia="方正书宋_GBK"/>
              </w:rPr>
            </w:pPr>
          </w:p>
        </w:tc>
        <w:tc>
          <w:tcPr>
            <w:tcW w:w="737" w:type="dxa"/>
            <w:noWrap w:val="0"/>
            <w:vAlign w:val="center"/>
          </w:tcPr>
          <w:p>
            <w:pPr>
              <w:spacing w:line="300" w:lineRule="exact"/>
              <w:jc w:val="center"/>
              <w:rPr>
                <w:rFonts w:ascii="方正书宋_GBK" w:eastAsia="方正书宋_GBK"/>
              </w:rPr>
            </w:pPr>
          </w:p>
        </w:tc>
        <w:tc>
          <w:tcPr>
            <w:tcW w:w="737" w:type="dxa"/>
            <w:noWrap w:val="0"/>
            <w:vAlign w:val="center"/>
          </w:tcPr>
          <w:p>
            <w:pPr>
              <w:spacing w:line="300" w:lineRule="exact"/>
              <w:jc w:val="center"/>
              <w:rPr>
                <w:rFonts w:ascii="方正书宋_GBK" w:eastAsia="方正书宋_GBK"/>
              </w:rPr>
            </w:pPr>
          </w:p>
        </w:tc>
        <w:tc>
          <w:tcPr>
            <w:tcW w:w="737" w:type="dxa"/>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751" w:type="dxa"/>
            <w:vMerge w:val="restart"/>
            <w:noWrap w:val="0"/>
            <w:vAlign w:val="center"/>
          </w:tcPr>
          <w:p>
            <w:pPr>
              <w:spacing w:line="300" w:lineRule="exact"/>
              <w:jc w:val="left"/>
              <w:rPr>
                <w:rFonts w:hint="eastAsia" w:ascii="方正书宋_GBK" w:eastAsia="方正书宋_GBK"/>
                <w:b/>
              </w:rPr>
            </w:pPr>
            <w:r>
              <w:rPr>
                <w:rFonts w:hint="eastAsia" w:ascii="方正书宋_GBK" w:eastAsia="方正书宋_GBK"/>
                <w:b/>
              </w:rPr>
              <w:t>审计业务</w:t>
            </w:r>
          </w:p>
        </w:tc>
        <w:tc>
          <w:tcPr>
            <w:tcW w:w="1276" w:type="dxa"/>
            <w:vMerge w:val="restart"/>
            <w:noWrap w:val="0"/>
            <w:vAlign w:val="center"/>
          </w:tcPr>
          <w:p>
            <w:pPr>
              <w:spacing w:line="300" w:lineRule="exact"/>
              <w:jc w:val="left"/>
              <w:rPr>
                <w:rFonts w:ascii="方正书宋_GBK" w:eastAsia="方正书宋_GBK"/>
              </w:rPr>
            </w:pPr>
            <w:r>
              <w:rPr>
                <w:rFonts w:ascii="方正书宋_GBK" w:eastAsia="方正书宋_GBK"/>
              </w:rPr>
              <w:t>111.97</w:t>
            </w:r>
          </w:p>
        </w:tc>
        <w:tc>
          <w:tcPr>
            <w:tcW w:w="3566" w:type="dxa"/>
            <w:vMerge w:val="restart"/>
            <w:noWrap w:val="0"/>
            <w:vAlign w:val="center"/>
          </w:tcPr>
          <w:p>
            <w:pPr>
              <w:spacing w:line="300" w:lineRule="exact"/>
              <w:jc w:val="left"/>
              <w:rPr>
                <w:rFonts w:hint="eastAsia" w:ascii="方正书宋_GBK" w:eastAsia="方正书宋_GBK"/>
              </w:rPr>
            </w:pPr>
            <w:r>
              <w:rPr>
                <w:rFonts w:hint="eastAsia" w:ascii="方正书宋_GBK" w:eastAsia="方正书宋_GBK"/>
              </w:rPr>
              <w:t>审计本级财政部门组织本级预算执行情况，审计下级人民政府的预算执行和决算情况，审计其他财政收支情况，审计其他取得财政资金的单位和项目接受、运用财政资金的真实、合法和效益情况</w:t>
            </w:r>
            <w:r>
              <w:rPr>
                <w:rFonts w:ascii="方正书宋_GBK" w:eastAsia="方正书宋_GBK"/>
              </w:rPr>
              <w:t>,</w:t>
            </w:r>
            <w:r>
              <w:rPr>
                <w:rFonts w:hint="eastAsia" w:ascii="方正书宋_GBK" w:eastAsia="方正书宋_GBK"/>
              </w:rPr>
              <w:t>实施领导干部经济责任审计等审计。</w:t>
            </w:r>
          </w:p>
        </w:tc>
        <w:tc>
          <w:tcPr>
            <w:tcW w:w="2976" w:type="dxa"/>
            <w:vMerge w:val="restart"/>
            <w:noWrap w:val="0"/>
            <w:vAlign w:val="center"/>
          </w:tcPr>
          <w:p>
            <w:pPr>
              <w:spacing w:line="300" w:lineRule="exact"/>
              <w:jc w:val="left"/>
              <w:rPr>
                <w:rFonts w:hint="eastAsia" w:ascii="方正书宋_GBK" w:eastAsia="方正书宋_GBK"/>
              </w:rPr>
            </w:pPr>
            <w:r>
              <w:rPr>
                <w:rFonts w:hint="eastAsia" w:ascii="方正书宋_GBK" w:eastAsia="方正书宋_GBK"/>
              </w:rPr>
              <w:t>通过审计财政、财务收支真实、合法和效益，维护国家财政经济秩序、促进廉政建设、保障国民经济的健康发展。</w:t>
            </w:r>
          </w:p>
        </w:tc>
        <w:tc>
          <w:tcPr>
            <w:tcW w:w="1113" w:type="dxa"/>
            <w:noWrap w:val="0"/>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1041" w:type="dxa"/>
            <w:noWrap w:val="0"/>
            <w:vAlign w:val="center"/>
          </w:tcPr>
          <w:p>
            <w:pPr>
              <w:spacing w:line="300" w:lineRule="exact"/>
              <w:jc w:val="center"/>
              <w:rPr>
                <w:rFonts w:ascii="方正书宋_GBK" w:eastAsia="方正书宋_GBK"/>
              </w:rPr>
            </w:pPr>
            <w:r>
              <w:rPr>
                <w:rFonts w:hint="eastAsia" w:ascii="方正书宋_GBK" w:eastAsia="方正书宋_GBK"/>
              </w:rPr>
              <w:t>已完成审计计划占计划总数的比率</w:t>
            </w:r>
            <w:r>
              <w:rPr>
                <w:rFonts w:ascii="方正书宋_GBK" w:eastAsia="方正书宋_GBK"/>
              </w:rPr>
              <w:t>90%</w:t>
            </w:r>
          </w:p>
        </w:tc>
        <w:tc>
          <w:tcPr>
            <w:tcW w:w="737" w:type="dxa"/>
            <w:noWrap w:val="0"/>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noWrap w:val="0"/>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noWrap w:val="0"/>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70%</w:t>
            </w:r>
          </w:p>
        </w:tc>
      </w:tr>
      <w:tr>
        <w:tblPrEx>
          <w:tblCellMar>
            <w:top w:w="0" w:type="dxa"/>
            <w:left w:w="108" w:type="dxa"/>
            <w:bottom w:w="0" w:type="dxa"/>
            <w:right w:w="108" w:type="dxa"/>
          </w:tblCellMar>
        </w:tblPrEx>
        <w:trPr>
          <w:wBefore w:w="0" w:type="dxa"/>
          <w:wAfter w:w="0" w:type="dxa"/>
          <w:trHeight w:val="227" w:hRule="atLeast"/>
          <w:jc w:val="center"/>
        </w:trPr>
        <w:tc>
          <w:tcPr>
            <w:tcW w:w="1751" w:type="dxa"/>
            <w:vMerge w:val="continue"/>
            <w:noWrap w:val="0"/>
            <w:vAlign w:val="center"/>
          </w:tcPr>
          <w:p>
            <w:pPr>
              <w:spacing w:line="300" w:lineRule="exact"/>
              <w:jc w:val="left"/>
              <w:rPr>
                <w:rFonts w:hint="eastAsia" w:ascii="方正书宋_GBK" w:eastAsia="方正书宋_GBK"/>
                <w:b/>
              </w:rPr>
            </w:pPr>
          </w:p>
        </w:tc>
        <w:tc>
          <w:tcPr>
            <w:tcW w:w="1276" w:type="dxa"/>
            <w:vMerge w:val="continue"/>
            <w:noWrap w:val="0"/>
            <w:vAlign w:val="center"/>
          </w:tcPr>
          <w:p>
            <w:pPr>
              <w:spacing w:line="300" w:lineRule="exact"/>
              <w:jc w:val="left"/>
              <w:rPr>
                <w:rFonts w:ascii="方正书宋_GBK" w:eastAsia="方正书宋_GBK"/>
              </w:rPr>
            </w:pPr>
          </w:p>
        </w:tc>
        <w:tc>
          <w:tcPr>
            <w:tcW w:w="3566" w:type="dxa"/>
            <w:vMerge w:val="continue"/>
            <w:noWrap w:val="0"/>
            <w:vAlign w:val="center"/>
          </w:tcPr>
          <w:p>
            <w:pPr>
              <w:spacing w:line="300" w:lineRule="exact"/>
              <w:jc w:val="left"/>
              <w:rPr>
                <w:rFonts w:hint="eastAsia" w:ascii="方正书宋_GBK" w:eastAsia="方正书宋_GBK"/>
              </w:rPr>
            </w:pPr>
          </w:p>
        </w:tc>
        <w:tc>
          <w:tcPr>
            <w:tcW w:w="2976" w:type="dxa"/>
            <w:vMerge w:val="continue"/>
            <w:noWrap w:val="0"/>
            <w:vAlign w:val="center"/>
          </w:tcPr>
          <w:p>
            <w:pPr>
              <w:spacing w:line="300" w:lineRule="exact"/>
              <w:jc w:val="left"/>
              <w:rPr>
                <w:rFonts w:hint="eastAsia" w:ascii="方正书宋_GBK" w:eastAsia="方正书宋_GBK"/>
              </w:rPr>
            </w:pP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产出指标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已落实的审计决定占全部审计决定的比率</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751" w:type="dxa"/>
            <w:vMerge w:val="restart"/>
            <w:noWrap w:val="0"/>
            <w:vAlign w:val="center"/>
          </w:tcPr>
          <w:p>
            <w:pPr>
              <w:spacing w:line="300" w:lineRule="exact"/>
              <w:jc w:val="left"/>
              <w:rPr>
                <w:rFonts w:hint="eastAsia" w:ascii="方正书宋_GBK" w:eastAsia="方正书宋_GBK"/>
                <w:b/>
              </w:rPr>
            </w:pPr>
            <w:r>
              <w:rPr>
                <w:rFonts w:hint="eastAsia" w:ascii="方正书宋_GBK" w:eastAsia="方正书宋_GBK"/>
                <w:b/>
              </w:rPr>
              <w:t>专项审计调查</w:t>
            </w:r>
          </w:p>
        </w:tc>
        <w:tc>
          <w:tcPr>
            <w:tcW w:w="1276" w:type="dxa"/>
            <w:vMerge w:val="restart"/>
            <w:noWrap w:val="0"/>
            <w:vAlign w:val="center"/>
          </w:tcPr>
          <w:p>
            <w:pPr>
              <w:spacing w:line="300" w:lineRule="exact"/>
              <w:jc w:val="left"/>
              <w:rPr>
                <w:rFonts w:ascii="方正书宋_GBK" w:eastAsia="方正书宋_GBK"/>
              </w:rPr>
            </w:pPr>
          </w:p>
        </w:tc>
        <w:tc>
          <w:tcPr>
            <w:tcW w:w="3566" w:type="dxa"/>
            <w:vMerge w:val="restart"/>
            <w:noWrap w:val="0"/>
            <w:vAlign w:val="center"/>
          </w:tcPr>
          <w:p>
            <w:pPr>
              <w:spacing w:line="300" w:lineRule="exact"/>
              <w:jc w:val="left"/>
              <w:rPr>
                <w:rFonts w:hint="eastAsia" w:ascii="方正书宋_GBK" w:eastAsia="方正书宋_GBK"/>
              </w:rPr>
            </w:pPr>
            <w:r>
              <w:rPr>
                <w:rFonts w:hint="eastAsia" w:ascii="方正书宋_GBK" w:eastAsia="方正书宋_GBK"/>
              </w:rPr>
              <w:t>对经济领域中带有全局性、普遍性、倾向性的特定事项进行系统调查了解并向县政府报告情况和结果。较大工程时，需要聘用中介组织。</w:t>
            </w:r>
          </w:p>
        </w:tc>
        <w:tc>
          <w:tcPr>
            <w:tcW w:w="2976" w:type="dxa"/>
            <w:vMerge w:val="restart"/>
            <w:noWrap w:val="0"/>
            <w:vAlign w:val="center"/>
          </w:tcPr>
          <w:p>
            <w:pPr>
              <w:spacing w:line="300" w:lineRule="exact"/>
              <w:jc w:val="left"/>
              <w:rPr>
                <w:rFonts w:hint="eastAsia" w:ascii="方正书宋_GBK" w:eastAsia="方正书宋_GBK"/>
              </w:rPr>
            </w:pPr>
            <w:r>
              <w:rPr>
                <w:rFonts w:hint="eastAsia" w:ascii="方正书宋_GBK" w:eastAsia="方正书宋_GBK"/>
              </w:rPr>
              <w:t>通过专项审计调查，综合分析，向有关部门反映情况，揭露问题、提出解决问题的建议，为政府决策提供依据。为国家宏观调控服务，到现场进行实地调查、核实，为政府节约资金把关</w:t>
            </w: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效果指标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政策建议采纳数量占建议提出数量的比例</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751" w:type="dxa"/>
            <w:vMerge w:val="continue"/>
            <w:noWrap w:val="0"/>
            <w:vAlign w:val="center"/>
          </w:tcPr>
          <w:p>
            <w:pPr>
              <w:spacing w:line="300" w:lineRule="exact"/>
              <w:jc w:val="left"/>
              <w:rPr>
                <w:rFonts w:hint="eastAsia" w:ascii="方正书宋_GBK" w:eastAsia="方正书宋_GBK"/>
                <w:b/>
              </w:rPr>
            </w:pPr>
          </w:p>
        </w:tc>
        <w:tc>
          <w:tcPr>
            <w:tcW w:w="1276" w:type="dxa"/>
            <w:vMerge w:val="continue"/>
            <w:noWrap w:val="0"/>
            <w:vAlign w:val="center"/>
          </w:tcPr>
          <w:p>
            <w:pPr>
              <w:spacing w:line="300" w:lineRule="exact"/>
              <w:jc w:val="left"/>
              <w:rPr>
                <w:rFonts w:ascii="方正书宋_GBK" w:eastAsia="方正书宋_GBK"/>
              </w:rPr>
            </w:pPr>
          </w:p>
        </w:tc>
        <w:tc>
          <w:tcPr>
            <w:tcW w:w="3566" w:type="dxa"/>
            <w:vMerge w:val="continue"/>
            <w:noWrap w:val="0"/>
            <w:vAlign w:val="center"/>
          </w:tcPr>
          <w:p>
            <w:pPr>
              <w:spacing w:line="300" w:lineRule="exact"/>
              <w:jc w:val="left"/>
              <w:rPr>
                <w:rFonts w:hint="eastAsia" w:ascii="方正书宋_GBK" w:eastAsia="方正书宋_GBK"/>
              </w:rPr>
            </w:pPr>
          </w:p>
        </w:tc>
        <w:tc>
          <w:tcPr>
            <w:tcW w:w="2976" w:type="dxa"/>
            <w:vMerge w:val="continue"/>
            <w:noWrap w:val="0"/>
            <w:vAlign w:val="center"/>
          </w:tcPr>
          <w:p>
            <w:pPr>
              <w:spacing w:line="300" w:lineRule="exact"/>
              <w:jc w:val="left"/>
              <w:rPr>
                <w:rFonts w:hint="eastAsia" w:ascii="方正书宋_GBK" w:eastAsia="方正书宋_GBK"/>
              </w:rPr>
            </w:pP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产出指标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已完成专项审计工作占应完成专项审计工作的比率</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751" w:type="dxa"/>
            <w:noWrap w:val="0"/>
            <w:vAlign w:val="center"/>
          </w:tcPr>
          <w:p>
            <w:pPr>
              <w:spacing w:line="300" w:lineRule="exact"/>
              <w:jc w:val="left"/>
              <w:rPr>
                <w:rFonts w:hint="eastAsia" w:ascii="方正书宋_GBK" w:eastAsia="方正书宋_GBK"/>
                <w:b/>
              </w:rPr>
            </w:pPr>
            <w:r>
              <w:rPr>
                <w:rFonts w:hint="eastAsia" w:ascii="方正书宋_GBK" w:eastAsia="方正书宋_GBK"/>
                <w:b/>
              </w:rPr>
              <w:t>审计管理</w:t>
            </w:r>
          </w:p>
        </w:tc>
        <w:tc>
          <w:tcPr>
            <w:tcW w:w="1276" w:type="dxa"/>
            <w:noWrap w:val="0"/>
            <w:vAlign w:val="center"/>
          </w:tcPr>
          <w:p>
            <w:pPr>
              <w:spacing w:line="300" w:lineRule="exact"/>
              <w:jc w:val="left"/>
              <w:rPr>
                <w:rFonts w:ascii="方正书宋_GBK" w:eastAsia="方正书宋_GBK"/>
              </w:rPr>
            </w:pPr>
          </w:p>
        </w:tc>
        <w:tc>
          <w:tcPr>
            <w:tcW w:w="3566" w:type="dxa"/>
            <w:noWrap w:val="0"/>
            <w:vAlign w:val="center"/>
          </w:tcPr>
          <w:p>
            <w:pPr>
              <w:spacing w:line="300" w:lineRule="exact"/>
              <w:jc w:val="left"/>
              <w:rPr>
                <w:rFonts w:hint="eastAsia" w:ascii="方正书宋_GBK" w:eastAsia="方正书宋_GBK"/>
              </w:rPr>
            </w:pPr>
            <w:r>
              <w:rPr>
                <w:rFonts w:hint="eastAsia" w:ascii="方正书宋_GBK" w:eastAsia="方正书宋_GBK"/>
              </w:rPr>
              <w:t>进行内部审计管理和审计法制管理。</w:t>
            </w:r>
          </w:p>
        </w:tc>
        <w:tc>
          <w:tcPr>
            <w:tcW w:w="2976" w:type="dxa"/>
            <w:noWrap w:val="0"/>
            <w:vAlign w:val="center"/>
          </w:tcPr>
          <w:p>
            <w:pPr>
              <w:spacing w:line="300" w:lineRule="exact"/>
              <w:jc w:val="left"/>
              <w:rPr>
                <w:rFonts w:hint="eastAsia" w:ascii="方正书宋_GBK" w:eastAsia="方正书宋_GBK"/>
              </w:rPr>
            </w:pPr>
            <w:r>
              <w:rPr>
                <w:rFonts w:hint="eastAsia" w:ascii="方正书宋_GBK" w:eastAsia="方正书宋_GBK"/>
              </w:rPr>
              <w:t>进行内部审计管理和审计法制管理。贯彻落实相关法律法规及加大内部审计管理制度提高审计质量和审计机关法制管理水平。</w:t>
            </w:r>
          </w:p>
        </w:tc>
        <w:tc>
          <w:tcPr>
            <w:tcW w:w="1113" w:type="dxa"/>
            <w:noWrap w:val="0"/>
            <w:vAlign w:val="center"/>
          </w:tcPr>
          <w:p>
            <w:pPr>
              <w:spacing w:line="300" w:lineRule="exact"/>
              <w:jc w:val="left"/>
              <w:rPr>
                <w:rFonts w:hint="eastAsia" w:ascii="方正书宋_GBK" w:eastAsia="方正书宋_GBK"/>
              </w:rPr>
            </w:pPr>
          </w:p>
        </w:tc>
        <w:tc>
          <w:tcPr>
            <w:tcW w:w="1041" w:type="dxa"/>
            <w:noWrap w:val="0"/>
            <w:vAlign w:val="center"/>
          </w:tcPr>
          <w:p>
            <w:pPr>
              <w:spacing w:line="300" w:lineRule="exact"/>
              <w:jc w:val="center"/>
              <w:rPr>
                <w:rFonts w:hint="eastAsia" w:ascii="方正书宋_GBK" w:eastAsia="方正书宋_GBK"/>
              </w:rPr>
            </w:pPr>
          </w:p>
        </w:tc>
        <w:tc>
          <w:tcPr>
            <w:tcW w:w="737" w:type="dxa"/>
            <w:noWrap w:val="0"/>
            <w:vAlign w:val="center"/>
          </w:tcPr>
          <w:p>
            <w:pPr>
              <w:spacing w:line="300" w:lineRule="exact"/>
              <w:jc w:val="center"/>
              <w:rPr>
                <w:rFonts w:hint="eastAsia" w:ascii="方正书宋_GBK" w:eastAsia="方正书宋_GBK"/>
              </w:rPr>
            </w:pPr>
          </w:p>
        </w:tc>
        <w:tc>
          <w:tcPr>
            <w:tcW w:w="737" w:type="dxa"/>
            <w:noWrap w:val="0"/>
            <w:vAlign w:val="center"/>
          </w:tcPr>
          <w:p>
            <w:pPr>
              <w:spacing w:line="300" w:lineRule="exact"/>
              <w:jc w:val="center"/>
              <w:rPr>
                <w:rFonts w:hint="eastAsia" w:ascii="方正书宋_GBK" w:eastAsia="方正书宋_GBK"/>
              </w:rPr>
            </w:pPr>
          </w:p>
        </w:tc>
        <w:tc>
          <w:tcPr>
            <w:tcW w:w="737" w:type="dxa"/>
            <w:noWrap w:val="0"/>
            <w:vAlign w:val="center"/>
          </w:tcPr>
          <w:p>
            <w:pPr>
              <w:spacing w:line="300" w:lineRule="exact"/>
              <w:jc w:val="center"/>
              <w:rPr>
                <w:rFonts w:hint="eastAsia" w:ascii="方正书宋_GBK" w:eastAsia="方正书宋_GBK"/>
              </w:rPr>
            </w:pPr>
          </w:p>
        </w:tc>
      </w:tr>
      <w:tr>
        <w:tblPrEx>
          <w:tblCellMar>
            <w:top w:w="0" w:type="dxa"/>
            <w:left w:w="108" w:type="dxa"/>
            <w:bottom w:w="0" w:type="dxa"/>
            <w:right w:w="108" w:type="dxa"/>
          </w:tblCellMar>
        </w:tblPrEx>
        <w:trPr>
          <w:wBefore w:w="0" w:type="dxa"/>
          <w:wAfter w:w="0" w:type="dxa"/>
          <w:trHeight w:val="227" w:hRule="atLeast"/>
          <w:jc w:val="center"/>
        </w:trPr>
        <w:tc>
          <w:tcPr>
            <w:tcW w:w="1751" w:type="dxa"/>
            <w:vMerge w:val="restart"/>
            <w:noWrap w:val="0"/>
            <w:vAlign w:val="center"/>
          </w:tcPr>
          <w:p>
            <w:pPr>
              <w:spacing w:line="300" w:lineRule="exact"/>
              <w:jc w:val="left"/>
              <w:rPr>
                <w:rFonts w:hint="eastAsia" w:ascii="方正书宋_GBK" w:eastAsia="方正书宋_GBK"/>
                <w:b/>
              </w:rPr>
            </w:pPr>
            <w:r>
              <w:rPr>
                <w:rFonts w:hint="eastAsia" w:ascii="方正书宋_GBK" w:eastAsia="方正书宋_GBK"/>
                <w:b/>
              </w:rPr>
              <w:t>内部审计管理</w:t>
            </w:r>
          </w:p>
        </w:tc>
        <w:tc>
          <w:tcPr>
            <w:tcW w:w="1276" w:type="dxa"/>
            <w:vMerge w:val="restart"/>
            <w:noWrap w:val="0"/>
            <w:vAlign w:val="center"/>
          </w:tcPr>
          <w:p>
            <w:pPr>
              <w:spacing w:line="300" w:lineRule="exact"/>
              <w:jc w:val="left"/>
              <w:rPr>
                <w:rFonts w:ascii="方正书宋_GBK" w:eastAsia="方正书宋_GBK"/>
              </w:rPr>
            </w:pPr>
          </w:p>
        </w:tc>
        <w:tc>
          <w:tcPr>
            <w:tcW w:w="3566" w:type="dxa"/>
            <w:vMerge w:val="restart"/>
            <w:noWrap w:val="0"/>
            <w:vAlign w:val="center"/>
          </w:tcPr>
          <w:p>
            <w:pPr>
              <w:spacing w:line="300" w:lineRule="exact"/>
              <w:jc w:val="left"/>
              <w:rPr>
                <w:rFonts w:hint="eastAsia" w:ascii="方正书宋_GBK" w:eastAsia="方正书宋_GBK"/>
              </w:rPr>
            </w:pPr>
            <w:r>
              <w:rPr>
                <w:rFonts w:hint="eastAsia" w:ascii="方正书宋_GBK" w:eastAsia="方正书宋_GBK"/>
              </w:rPr>
              <w:t>制定内部审计措施并组织落实；制定内部审计业务规章、制度、管理办法等并开展监督检查；开展内部审计业务，受理内部审计业务咨询；提供内部审计成果；协调内部审计和国家审计间工作等。</w:t>
            </w:r>
          </w:p>
        </w:tc>
        <w:tc>
          <w:tcPr>
            <w:tcW w:w="2976" w:type="dxa"/>
            <w:vMerge w:val="restart"/>
            <w:noWrap w:val="0"/>
            <w:vAlign w:val="center"/>
          </w:tcPr>
          <w:p>
            <w:pPr>
              <w:spacing w:line="300" w:lineRule="exact"/>
              <w:jc w:val="left"/>
              <w:rPr>
                <w:rFonts w:hint="eastAsia" w:ascii="方正书宋_GBK" w:eastAsia="方正书宋_GBK"/>
              </w:rPr>
            </w:pPr>
            <w:r>
              <w:rPr>
                <w:rFonts w:hint="eastAsia" w:ascii="方正书宋_GBK" w:eastAsia="方正书宋_GBK"/>
              </w:rPr>
              <w:t>受理内审业务咨询，提高内部审计质量；协调内部审计和国家审计间工作，保障内部审计工作的顺利进行；控制费用标准严格。</w:t>
            </w: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产出指标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内审业务指导、监督检查覆盖情况</w:t>
            </w:r>
            <w:r>
              <w:rPr>
                <w:rFonts w:ascii="方正书宋_GBK" w:eastAsia="方正书宋_GBK"/>
              </w:rPr>
              <w:t>70%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60%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50%</w:t>
            </w:r>
          </w:p>
        </w:tc>
      </w:tr>
      <w:tr>
        <w:tblPrEx>
          <w:tblCellMar>
            <w:top w:w="0" w:type="dxa"/>
            <w:left w:w="108" w:type="dxa"/>
            <w:bottom w:w="0" w:type="dxa"/>
            <w:right w:w="108" w:type="dxa"/>
          </w:tblCellMar>
        </w:tblPrEx>
        <w:trPr>
          <w:wBefore w:w="0" w:type="dxa"/>
          <w:wAfter w:w="0" w:type="dxa"/>
          <w:trHeight w:val="227" w:hRule="atLeast"/>
          <w:jc w:val="center"/>
        </w:trPr>
        <w:tc>
          <w:tcPr>
            <w:tcW w:w="1751" w:type="dxa"/>
            <w:vMerge w:val="continue"/>
            <w:noWrap w:val="0"/>
            <w:vAlign w:val="center"/>
          </w:tcPr>
          <w:p>
            <w:pPr>
              <w:spacing w:line="300" w:lineRule="exact"/>
              <w:jc w:val="left"/>
              <w:rPr>
                <w:rFonts w:hint="eastAsia" w:ascii="方正书宋_GBK" w:eastAsia="方正书宋_GBK"/>
                <w:b/>
              </w:rPr>
            </w:pPr>
          </w:p>
        </w:tc>
        <w:tc>
          <w:tcPr>
            <w:tcW w:w="1276" w:type="dxa"/>
            <w:vMerge w:val="continue"/>
            <w:noWrap w:val="0"/>
            <w:vAlign w:val="center"/>
          </w:tcPr>
          <w:p>
            <w:pPr>
              <w:spacing w:line="300" w:lineRule="exact"/>
              <w:jc w:val="left"/>
              <w:rPr>
                <w:rFonts w:ascii="方正书宋_GBK" w:eastAsia="方正书宋_GBK"/>
              </w:rPr>
            </w:pPr>
          </w:p>
        </w:tc>
        <w:tc>
          <w:tcPr>
            <w:tcW w:w="3566" w:type="dxa"/>
            <w:vMerge w:val="continue"/>
            <w:noWrap w:val="0"/>
            <w:vAlign w:val="center"/>
          </w:tcPr>
          <w:p>
            <w:pPr>
              <w:spacing w:line="300" w:lineRule="exact"/>
              <w:jc w:val="left"/>
              <w:rPr>
                <w:rFonts w:hint="eastAsia" w:ascii="方正书宋_GBK" w:eastAsia="方正书宋_GBK"/>
              </w:rPr>
            </w:pPr>
          </w:p>
        </w:tc>
        <w:tc>
          <w:tcPr>
            <w:tcW w:w="2976" w:type="dxa"/>
            <w:vMerge w:val="continue"/>
            <w:noWrap w:val="0"/>
            <w:vAlign w:val="center"/>
          </w:tcPr>
          <w:p>
            <w:pPr>
              <w:spacing w:line="300" w:lineRule="exact"/>
              <w:jc w:val="left"/>
              <w:rPr>
                <w:rFonts w:hint="eastAsia" w:ascii="方正书宋_GBK" w:eastAsia="方正书宋_GBK"/>
              </w:rPr>
            </w:pP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产出指标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内部审计管理工作实际完成工作量占计划完成量的比例</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751" w:type="dxa"/>
            <w:vMerge w:val="restart"/>
            <w:noWrap w:val="0"/>
            <w:vAlign w:val="center"/>
          </w:tcPr>
          <w:p>
            <w:pPr>
              <w:spacing w:line="300" w:lineRule="exact"/>
              <w:rPr>
                <w:rFonts w:hint="eastAsia" w:ascii="方正书宋_GBK" w:eastAsia="方正书宋_GBK"/>
                <w:b/>
              </w:rPr>
            </w:pPr>
            <w:r>
              <w:rPr>
                <w:rFonts w:hint="eastAsia" w:ascii="方正书宋_GBK" w:eastAsia="方正书宋_GBK"/>
                <w:b/>
              </w:rPr>
              <w:t>审计法制管理</w:t>
            </w:r>
          </w:p>
        </w:tc>
        <w:tc>
          <w:tcPr>
            <w:tcW w:w="1276" w:type="dxa"/>
            <w:vMerge w:val="restart"/>
            <w:noWrap w:val="0"/>
            <w:vAlign w:val="center"/>
          </w:tcPr>
          <w:p>
            <w:pPr>
              <w:spacing w:line="300" w:lineRule="exact"/>
              <w:jc w:val="left"/>
              <w:rPr>
                <w:rFonts w:ascii="方正书宋_GBK" w:eastAsia="方正书宋_GBK"/>
              </w:rPr>
            </w:pPr>
          </w:p>
        </w:tc>
        <w:tc>
          <w:tcPr>
            <w:tcW w:w="3566" w:type="dxa"/>
            <w:vMerge w:val="restart"/>
            <w:noWrap w:val="0"/>
            <w:vAlign w:val="center"/>
          </w:tcPr>
          <w:p>
            <w:pPr>
              <w:spacing w:line="300" w:lineRule="exact"/>
              <w:jc w:val="left"/>
              <w:rPr>
                <w:rFonts w:hint="eastAsia" w:ascii="方正书宋_GBK" w:eastAsia="方正书宋_GBK"/>
              </w:rPr>
            </w:pPr>
            <w:r>
              <w:rPr>
                <w:rFonts w:hint="eastAsia" w:ascii="方正书宋_GBK" w:eastAsia="方正书宋_GBK"/>
              </w:rPr>
              <w:t>对审计项目、规范性文件进行审核，依法核查社会审计机构相关审计报告，做好审计机关的质量检查等。</w:t>
            </w:r>
          </w:p>
        </w:tc>
        <w:tc>
          <w:tcPr>
            <w:tcW w:w="2976" w:type="dxa"/>
            <w:vMerge w:val="restart"/>
            <w:noWrap w:val="0"/>
            <w:vAlign w:val="center"/>
          </w:tcPr>
          <w:p>
            <w:pPr>
              <w:spacing w:line="300" w:lineRule="exact"/>
              <w:jc w:val="left"/>
              <w:rPr>
                <w:rFonts w:hint="eastAsia" w:ascii="方正书宋_GBK" w:eastAsia="方正书宋_GBK"/>
              </w:rPr>
            </w:pPr>
            <w:r>
              <w:rPr>
                <w:rFonts w:hint="eastAsia" w:ascii="方正书宋_GBK" w:eastAsia="方正书宋_GBK"/>
              </w:rPr>
              <w:t>通过审计项目审理来保障审计质量，提高县级审计法制管理水平。</w:t>
            </w: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效果指标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合格的审计报告占审计报告总数的比例（上级审计机构不定期检查）</w:t>
            </w:r>
            <w:r>
              <w:rPr>
                <w:rFonts w:ascii="方正书宋_GBK" w:eastAsia="方正书宋_GBK"/>
              </w:rPr>
              <w:t>100%</w:t>
            </w:r>
          </w:p>
        </w:tc>
        <w:tc>
          <w:tcPr>
            <w:tcW w:w="737" w:type="dxa"/>
            <w:noWrap w:val="0"/>
            <w:vAlign w:val="center"/>
          </w:tcPr>
          <w:p>
            <w:pPr>
              <w:spacing w:line="300" w:lineRule="exact"/>
              <w:jc w:val="center"/>
              <w:rPr>
                <w:rFonts w:hint="eastAsia" w:ascii="方正书宋_GBK" w:eastAsia="方正书宋_GBK"/>
              </w:rPr>
            </w:pPr>
            <w:r>
              <w:rPr>
                <w:rFonts w:ascii="方正书宋_GBK" w:eastAsia="方正书宋_GBK"/>
              </w:rPr>
              <w:t>100%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751" w:type="dxa"/>
            <w:vMerge w:val="continue"/>
            <w:noWrap w:val="0"/>
            <w:vAlign w:val="center"/>
          </w:tcPr>
          <w:p>
            <w:pPr>
              <w:spacing w:line="300" w:lineRule="exact"/>
              <w:jc w:val="left"/>
              <w:rPr>
                <w:rFonts w:hint="eastAsia" w:ascii="方正书宋_GBK" w:eastAsia="方正书宋_GBK"/>
                <w:b/>
              </w:rPr>
            </w:pPr>
          </w:p>
        </w:tc>
        <w:tc>
          <w:tcPr>
            <w:tcW w:w="1276" w:type="dxa"/>
            <w:vMerge w:val="continue"/>
            <w:noWrap w:val="0"/>
            <w:vAlign w:val="center"/>
          </w:tcPr>
          <w:p>
            <w:pPr>
              <w:spacing w:line="300" w:lineRule="exact"/>
              <w:jc w:val="left"/>
              <w:rPr>
                <w:rFonts w:ascii="方正书宋_GBK" w:eastAsia="方正书宋_GBK"/>
              </w:rPr>
            </w:pPr>
          </w:p>
        </w:tc>
        <w:tc>
          <w:tcPr>
            <w:tcW w:w="3566" w:type="dxa"/>
            <w:vMerge w:val="continue"/>
            <w:noWrap w:val="0"/>
            <w:vAlign w:val="center"/>
          </w:tcPr>
          <w:p>
            <w:pPr>
              <w:spacing w:line="300" w:lineRule="exact"/>
              <w:jc w:val="left"/>
              <w:rPr>
                <w:rFonts w:hint="eastAsia" w:ascii="方正书宋_GBK" w:eastAsia="方正书宋_GBK"/>
              </w:rPr>
            </w:pPr>
          </w:p>
        </w:tc>
        <w:tc>
          <w:tcPr>
            <w:tcW w:w="2976" w:type="dxa"/>
            <w:vMerge w:val="continue"/>
            <w:noWrap w:val="0"/>
            <w:vAlign w:val="center"/>
          </w:tcPr>
          <w:p>
            <w:pPr>
              <w:spacing w:line="300" w:lineRule="exact"/>
              <w:jc w:val="left"/>
              <w:rPr>
                <w:rFonts w:hint="eastAsia" w:ascii="方正书宋_GBK" w:eastAsia="方正书宋_GBK"/>
              </w:rPr>
            </w:pP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产出指标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审理的审计项目数占全部审计项目数量的比例</w:t>
            </w:r>
            <w:r>
              <w:rPr>
                <w:rFonts w:ascii="方正书宋_GBK" w:eastAsia="方正书宋_GBK"/>
              </w:rPr>
              <w:t>100%</w:t>
            </w:r>
          </w:p>
        </w:tc>
        <w:tc>
          <w:tcPr>
            <w:tcW w:w="737" w:type="dxa"/>
            <w:noWrap w:val="0"/>
            <w:vAlign w:val="center"/>
          </w:tcPr>
          <w:p>
            <w:pPr>
              <w:spacing w:line="300" w:lineRule="exact"/>
              <w:jc w:val="center"/>
              <w:rPr>
                <w:rFonts w:ascii="方正书宋_GBK" w:eastAsia="方正书宋_GBK"/>
              </w:rPr>
            </w:pPr>
            <w:r>
              <w:rPr>
                <w:rFonts w:ascii="方正书宋_GBK" w:eastAsia="方正书宋_GBK"/>
              </w:rPr>
              <w:t>100%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r>
      <w:tr>
        <w:tblPrEx>
          <w:tblCellMar>
            <w:top w:w="0" w:type="dxa"/>
            <w:left w:w="108" w:type="dxa"/>
            <w:bottom w:w="0" w:type="dxa"/>
            <w:right w:w="108" w:type="dxa"/>
          </w:tblCellMar>
        </w:tblPrEx>
        <w:trPr>
          <w:wBefore w:w="0" w:type="dxa"/>
          <w:wAfter w:w="0" w:type="dxa"/>
          <w:trHeight w:val="227" w:hRule="atLeast"/>
          <w:jc w:val="center"/>
        </w:trPr>
        <w:tc>
          <w:tcPr>
            <w:tcW w:w="1751" w:type="dxa"/>
            <w:noWrap w:val="0"/>
            <w:vAlign w:val="center"/>
          </w:tcPr>
          <w:p>
            <w:pPr>
              <w:spacing w:line="300" w:lineRule="exact"/>
              <w:jc w:val="left"/>
              <w:rPr>
                <w:rFonts w:hint="eastAsia" w:ascii="方正书宋_GBK" w:eastAsia="方正书宋_GBK"/>
                <w:b/>
              </w:rPr>
            </w:pPr>
            <w:r>
              <w:rPr>
                <w:rFonts w:hint="eastAsia" w:ascii="方正书宋_GBK" w:eastAsia="方正书宋_GBK"/>
                <w:b/>
              </w:rPr>
              <w:t>审计政务管理</w:t>
            </w:r>
          </w:p>
        </w:tc>
        <w:tc>
          <w:tcPr>
            <w:tcW w:w="1276" w:type="dxa"/>
            <w:noWrap w:val="0"/>
            <w:vAlign w:val="center"/>
          </w:tcPr>
          <w:p>
            <w:pPr>
              <w:spacing w:line="300" w:lineRule="exact"/>
              <w:jc w:val="left"/>
              <w:rPr>
                <w:rFonts w:ascii="方正书宋_GBK" w:eastAsia="方正书宋_GBK"/>
              </w:rPr>
            </w:pPr>
          </w:p>
        </w:tc>
        <w:tc>
          <w:tcPr>
            <w:tcW w:w="3566" w:type="dxa"/>
            <w:noWrap w:val="0"/>
            <w:vAlign w:val="center"/>
          </w:tcPr>
          <w:p>
            <w:pPr>
              <w:spacing w:line="300" w:lineRule="exact"/>
              <w:jc w:val="left"/>
              <w:rPr>
                <w:rFonts w:hint="eastAsia" w:ascii="方正书宋_GBK" w:eastAsia="方正书宋_GBK"/>
              </w:rPr>
            </w:pPr>
            <w:r>
              <w:rPr>
                <w:rFonts w:hint="eastAsia" w:ascii="方正书宋_GBK" w:eastAsia="方正书宋_GBK"/>
              </w:rPr>
              <w:t>包括系统综合业务管理和机关综合事务管理。</w:t>
            </w:r>
          </w:p>
        </w:tc>
        <w:tc>
          <w:tcPr>
            <w:tcW w:w="2976" w:type="dxa"/>
            <w:noWrap w:val="0"/>
            <w:vAlign w:val="center"/>
          </w:tcPr>
          <w:p>
            <w:pPr>
              <w:spacing w:line="300" w:lineRule="exact"/>
              <w:jc w:val="left"/>
              <w:rPr>
                <w:rFonts w:hint="eastAsia" w:ascii="方正书宋_GBK" w:eastAsia="方正书宋_GBK"/>
              </w:rPr>
            </w:pPr>
            <w:r>
              <w:rPr>
                <w:rFonts w:hint="eastAsia" w:ascii="方正书宋_GBK" w:eastAsia="方正书宋_GBK"/>
              </w:rPr>
              <w:t>包括系统综合业务管理和机关综合事务管理。充分发挥参谋助手作用和综合协调作用，推进审计事业科学协调发展。</w:t>
            </w:r>
          </w:p>
        </w:tc>
        <w:tc>
          <w:tcPr>
            <w:tcW w:w="1113" w:type="dxa"/>
            <w:noWrap w:val="0"/>
            <w:vAlign w:val="center"/>
          </w:tcPr>
          <w:p>
            <w:pPr>
              <w:spacing w:line="300" w:lineRule="exact"/>
              <w:jc w:val="left"/>
              <w:rPr>
                <w:rFonts w:hint="eastAsia" w:ascii="方正书宋_GBK" w:eastAsia="方正书宋_GBK"/>
              </w:rPr>
            </w:pPr>
          </w:p>
        </w:tc>
        <w:tc>
          <w:tcPr>
            <w:tcW w:w="1041" w:type="dxa"/>
            <w:noWrap w:val="0"/>
            <w:vAlign w:val="center"/>
          </w:tcPr>
          <w:p>
            <w:pPr>
              <w:spacing w:line="300" w:lineRule="exact"/>
              <w:jc w:val="center"/>
              <w:rPr>
                <w:rFonts w:hint="eastAsia" w:ascii="方正书宋_GBK" w:eastAsia="方正书宋_GBK"/>
              </w:rPr>
            </w:pPr>
          </w:p>
        </w:tc>
        <w:tc>
          <w:tcPr>
            <w:tcW w:w="737" w:type="dxa"/>
            <w:noWrap w:val="0"/>
            <w:vAlign w:val="center"/>
          </w:tcPr>
          <w:p>
            <w:pPr>
              <w:spacing w:line="300" w:lineRule="exact"/>
              <w:jc w:val="center"/>
              <w:rPr>
                <w:rFonts w:ascii="方正书宋_GBK" w:eastAsia="方正书宋_GBK"/>
              </w:rPr>
            </w:pPr>
          </w:p>
        </w:tc>
        <w:tc>
          <w:tcPr>
            <w:tcW w:w="737" w:type="dxa"/>
            <w:noWrap w:val="0"/>
            <w:vAlign w:val="center"/>
          </w:tcPr>
          <w:p>
            <w:pPr>
              <w:spacing w:line="300" w:lineRule="exact"/>
              <w:jc w:val="center"/>
              <w:rPr>
                <w:rFonts w:hint="eastAsia" w:ascii="方正书宋_GBK" w:eastAsia="方正书宋_GBK"/>
              </w:rPr>
            </w:pPr>
          </w:p>
        </w:tc>
        <w:tc>
          <w:tcPr>
            <w:tcW w:w="737" w:type="dxa"/>
            <w:noWrap w:val="0"/>
            <w:vAlign w:val="center"/>
          </w:tcPr>
          <w:p>
            <w:pPr>
              <w:spacing w:line="300" w:lineRule="exact"/>
              <w:jc w:val="center"/>
              <w:rPr>
                <w:rFonts w:hint="eastAsia"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751" w:type="dxa"/>
            <w:noWrap w:val="0"/>
            <w:vAlign w:val="center"/>
          </w:tcPr>
          <w:p>
            <w:pPr>
              <w:spacing w:line="300" w:lineRule="exact"/>
              <w:jc w:val="left"/>
              <w:rPr>
                <w:rFonts w:hint="eastAsia" w:ascii="方正书宋_GBK" w:eastAsia="方正书宋_GBK"/>
                <w:b/>
              </w:rPr>
            </w:pPr>
            <w:r>
              <w:rPr>
                <w:rFonts w:hint="eastAsia" w:ascii="方正书宋_GBK" w:eastAsia="方正书宋_GBK"/>
                <w:b/>
              </w:rPr>
              <w:t>综合业务管理</w:t>
            </w:r>
          </w:p>
        </w:tc>
        <w:tc>
          <w:tcPr>
            <w:tcW w:w="1276" w:type="dxa"/>
            <w:noWrap w:val="0"/>
            <w:vAlign w:val="center"/>
          </w:tcPr>
          <w:p>
            <w:pPr>
              <w:spacing w:line="300" w:lineRule="exact"/>
              <w:jc w:val="left"/>
              <w:rPr>
                <w:rFonts w:ascii="方正书宋_GBK" w:eastAsia="方正书宋_GBK"/>
              </w:rPr>
            </w:pPr>
          </w:p>
        </w:tc>
        <w:tc>
          <w:tcPr>
            <w:tcW w:w="3566" w:type="dxa"/>
            <w:noWrap w:val="0"/>
            <w:vAlign w:val="center"/>
          </w:tcPr>
          <w:p>
            <w:pPr>
              <w:spacing w:line="300" w:lineRule="exact"/>
              <w:jc w:val="left"/>
              <w:rPr>
                <w:rFonts w:hint="eastAsia" w:ascii="方正书宋_GBK" w:eastAsia="方正书宋_GBK"/>
              </w:rPr>
            </w:pPr>
            <w:r>
              <w:rPr>
                <w:rFonts w:hint="eastAsia" w:ascii="方正书宋_GBK" w:eastAsia="方正书宋_GBK"/>
              </w:rPr>
              <w:t>组织开展信息化建设、教育培训、审计理论研究，抓好新闻宣传和文化建设、政务信息公开，开展审计服务和业务咨询。</w:t>
            </w:r>
          </w:p>
        </w:tc>
        <w:tc>
          <w:tcPr>
            <w:tcW w:w="2976" w:type="dxa"/>
            <w:noWrap w:val="0"/>
            <w:vAlign w:val="center"/>
          </w:tcPr>
          <w:p>
            <w:pPr>
              <w:spacing w:line="300" w:lineRule="exact"/>
              <w:jc w:val="left"/>
              <w:rPr>
                <w:rFonts w:hint="eastAsia" w:ascii="方正书宋_GBK" w:eastAsia="方正书宋_GBK"/>
              </w:rPr>
            </w:pPr>
            <w:r>
              <w:rPr>
                <w:rFonts w:hint="eastAsia" w:ascii="方正书宋_GBK" w:eastAsia="方正书宋_GBK"/>
              </w:rPr>
              <w:t>信息保障安全有效，信息化建设稳步推进；加强宣传引导；提高人员业务水平，推动审计事业发展。</w:t>
            </w: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产出指标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综合业务管理工作完成情况</w:t>
            </w:r>
            <w:r>
              <w:rPr>
                <w:rFonts w:ascii="方正书宋_GBK" w:eastAsia="方正书宋_GBK"/>
              </w:rPr>
              <w:t>100%</w:t>
            </w:r>
          </w:p>
        </w:tc>
        <w:tc>
          <w:tcPr>
            <w:tcW w:w="737" w:type="dxa"/>
            <w:noWrap w:val="0"/>
            <w:vAlign w:val="center"/>
          </w:tcPr>
          <w:p>
            <w:pPr>
              <w:spacing w:line="300" w:lineRule="exact"/>
              <w:jc w:val="center"/>
              <w:rPr>
                <w:rFonts w:ascii="方正书宋_GBK" w:eastAsia="方正书宋_GBK"/>
              </w:rPr>
            </w:pPr>
            <w:r>
              <w:rPr>
                <w:rFonts w:ascii="方正书宋_GBK" w:eastAsia="方正书宋_GBK"/>
              </w:rPr>
              <w:t>100%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r>
      <w:tr>
        <w:tblPrEx>
          <w:tblCellMar>
            <w:top w:w="0" w:type="dxa"/>
            <w:left w:w="108" w:type="dxa"/>
            <w:bottom w:w="0" w:type="dxa"/>
            <w:right w:w="108" w:type="dxa"/>
          </w:tblCellMar>
        </w:tblPrEx>
        <w:trPr>
          <w:wBefore w:w="0" w:type="dxa"/>
          <w:wAfter w:w="0" w:type="dxa"/>
          <w:trHeight w:val="227" w:hRule="atLeast"/>
          <w:jc w:val="center"/>
        </w:trPr>
        <w:tc>
          <w:tcPr>
            <w:tcW w:w="1751" w:type="dxa"/>
            <w:noWrap w:val="0"/>
            <w:vAlign w:val="center"/>
          </w:tcPr>
          <w:p>
            <w:pPr>
              <w:spacing w:line="300" w:lineRule="exact"/>
              <w:jc w:val="left"/>
              <w:rPr>
                <w:rFonts w:hint="eastAsia" w:ascii="方正书宋_GBK" w:eastAsia="方正书宋_GBK"/>
                <w:b/>
              </w:rPr>
            </w:pPr>
            <w:r>
              <w:rPr>
                <w:rFonts w:hint="eastAsia" w:ascii="方正书宋_GBK" w:eastAsia="方正书宋_GBK"/>
                <w:b/>
              </w:rPr>
              <w:t>综合事务管理</w:t>
            </w:r>
          </w:p>
        </w:tc>
        <w:tc>
          <w:tcPr>
            <w:tcW w:w="1276" w:type="dxa"/>
            <w:noWrap w:val="0"/>
            <w:vAlign w:val="center"/>
          </w:tcPr>
          <w:p>
            <w:pPr>
              <w:spacing w:line="300" w:lineRule="exact"/>
              <w:jc w:val="left"/>
              <w:rPr>
                <w:rFonts w:ascii="方正书宋_GBK" w:eastAsia="方正书宋_GBK"/>
              </w:rPr>
            </w:pPr>
          </w:p>
        </w:tc>
        <w:tc>
          <w:tcPr>
            <w:tcW w:w="3566" w:type="dxa"/>
            <w:noWrap w:val="0"/>
            <w:vAlign w:val="center"/>
          </w:tcPr>
          <w:p>
            <w:pPr>
              <w:spacing w:line="300" w:lineRule="exact"/>
              <w:jc w:val="left"/>
              <w:rPr>
                <w:rFonts w:hint="eastAsia" w:ascii="方正书宋_GBK" w:eastAsia="方正书宋_GBK"/>
              </w:rPr>
            </w:pPr>
            <w:r>
              <w:rPr>
                <w:rFonts w:hint="eastAsia" w:ascii="方正书宋_GBK" w:eastAsia="方正书宋_GBK"/>
              </w:rPr>
              <w:t>抓好干部队伍建设、基础设施建设及其它综合事务。</w:t>
            </w:r>
          </w:p>
        </w:tc>
        <w:tc>
          <w:tcPr>
            <w:tcW w:w="2976" w:type="dxa"/>
            <w:noWrap w:val="0"/>
            <w:vAlign w:val="center"/>
          </w:tcPr>
          <w:p>
            <w:pPr>
              <w:spacing w:line="300" w:lineRule="exact"/>
              <w:jc w:val="left"/>
              <w:rPr>
                <w:rFonts w:hint="eastAsia" w:ascii="方正书宋_GBK" w:eastAsia="方正书宋_GBK"/>
              </w:rPr>
            </w:pPr>
            <w:r>
              <w:rPr>
                <w:rFonts w:hint="eastAsia" w:ascii="方正书宋_GBK" w:eastAsia="方正书宋_GBK"/>
              </w:rPr>
              <w:t>提高人员业务水平，不断提高审计业务质量；保障机关正常运转。</w:t>
            </w:r>
          </w:p>
        </w:tc>
        <w:tc>
          <w:tcPr>
            <w:tcW w:w="1113" w:type="dxa"/>
            <w:noWrap w:val="0"/>
            <w:vAlign w:val="center"/>
          </w:tcPr>
          <w:p>
            <w:pPr>
              <w:spacing w:line="300" w:lineRule="exact"/>
              <w:jc w:val="left"/>
              <w:rPr>
                <w:rFonts w:hint="eastAsia" w:ascii="方正书宋_GBK" w:eastAsia="方正书宋_GBK"/>
              </w:rPr>
            </w:pPr>
            <w:r>
              <w:rPr>
                <w:rFonts w:hint="eastAsia" w:ascii="方正书宋_GBK" w:eastAsia="方正书宋_GBK"/>
              </w:rPr>
              <w:t>产出指标</w:t>
            </w:r>
          </w:p>
        </w:tc>
        <w:tc>
          <w:tcPr>
            <w:tcW w:w="1041" w:type="dxa"/>
            <w:noWrap w:val="0"/>
            <w:vAlign w:val="center"/>
          </w:tcPr>
          <w:p>
            <w:pPr>
              <w:spacing w:line="300" w:lineRule="exact"/>
              <w:jc w:val="center"/>
              <w:rPr>
                <w:rFonts w:hint="eastAsia" w:ascii="方正书宋_GBK" w:eastAsia="方正书宋_GBK"/>
              </w:rPr>
            </w:pPr>
            <w:r>
              <w:rPr>
                <w:rFonts w:hint="eastAsia" w:ascii="方正书宋_GBK" w:eastAsia="方正书宋_GBK"/>
              </w:rPr>
              <w:t>综合事务管理工作完成情况</w:t>
            </w:r>
            <w:r>
              <w:rPr>
                <w:rFonts w:ascii="方正书宋_GBK" w:eastAsia="方正书宋_GBK"/>
              </w:rPr>
              <w:t>100%</w:t>
            </w:r>
          </w:p>
        </w:tc>
        <w:tc>
          <w:tcPr>
            <w:tcW w:w="737" w:type="dxa"/>
            <w:noWrap w:val="0"/>
            <w:vAlign w:val="center"/>
          </w:tcPr>
          <w:p>
            <w:pPr>
              <w:spacing w:line="300" w:lineRule="exact"/>
              <w:jc w:val="center"/>
              <w:rPr>
                <w:rFonts w:ascii="方正书宋_GBK" w:eastAsia="方正书宋_GBK"/>
              </w:rPr>
            </w:pPr>
            <w:r>
              <w:rPr>
                <w:rFonts w:ascii="方正书宋_GBK" w:eastAsia="方正书宋_GBK"/>
              </w:rPr>
              <w:t>100%</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noWrap w:val="0"/>
            <w:vAlign w:val="center"/>
          </w:tcPr>
          <w:p>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r>
    </w:tbl>
    <w:p>
      <w:pPr>
        <w:rPr>
          <w:rFonts w:hint="eastAsia" w:ascii="方正小标宋_GBK" w:eastAsia="方正小标宋_GBK"/>
          <w:sz w:val="36"/>
        </w:rPr>
      </w:pPr>
    </w:p>
    <w:p>
      <w:pPr>
        <w:rPr>
          <w:rFonts w:hint="eastAsia" w:ascii="方正小标宋_GBK" w:eastAsia="方正小标宋_GBK"/>
          <w:sz w:val="36"/>
        </w:rPr>
      </w:pPr>
    </w:p>
    <w:p>
      <w:pPr>
        <w:rPr>
          <w:rFonts w:ascii="方正小标宋_GBK" w:eastAsia="方正小标宋_GBK"/>
          <w:sz w:val="36"/>
        </w:rPr>
        <w:sectPr>
          <w:pgSz w:w="16839" w:h="11907" w:orient="landscape"/>
          <w:pgMar w:top="1134" w:right="1474" w:bottom="1134" w:left="1531" w:header="851" w:footer="992" w:gutter="0"/>
          <w:cols w:space="720" w:num="1"/>
          <w:docGrid w:type="lines" w:linePitch="312" w:charSpace="0"/>
        </w:sectPr>
      </w:pPr>
    </w:p>
    <w:p>
      <w:pPr>
        <w:jc w:val="center"/>
        <w:rPr>
          <w:rFonts w:hint="eastAsia" w:ascii="黑体" w:hAnsi="黑体" w:eastAsia="黑体"/>
          <w:b/>
          <w:sz w:val="32"/>
          <w:szCs w:val="32"/>
        </w:rPr>
      </w:pPr>
      <w:r>
        <w:rPr>
          <w:rFonts w:hint="eastAsia" w:ascii="黑体" w:hAnsi="黑体" w:eastAsia="黑体"/>
          <w:b/>
          <w:sz w:val="32"/>
          <w:szCs w:val="32"/>
        </w:rPr>
        <w:t>第六部分 政府采购预算情况</w:t>
      </w:r>
    </w:p>
    <w:p>
      <w:pPr>
        <w:ind w:firstLine="640" w:firstLineChars="200"/>
        <w:rPr>
          <w:rFonts w:hint="eastAsia" w:ascii="仿宋" w:hAnsi="仿宋" w:eastAsia="仿宋"/>
          <w:sz w:val="32"/>
          <w:szCs w:val="32"/>
        </w:rPr>
      </w:pPr>
      <w:r>
        <w:rPr>
          <w:rFonts w:hint="eastAsia" w:ascii="仿宋" w:hAnsi="仿宋" w:eastAsia="仿宋"/>
          <w:sz w:val="32"/>
          <w:szCs w:val="32"/>
        </w:rPr>
        <w:t>我单位2018年无政府采购预算。</w:t>
      </w:r>
    </w:p>
    <w:p>
      <w:pPr>
        <w:ind w:firstLine="640" w:firstLineChars="200"/>
        <w:rPr>
          <w:rFonts w:hint="eastAsia" w:ascii="仿宋" w:hAnsi="仿宋" w:eastAsia="仿宋"/>
          <w:sz w:val="32"/>
          <w:szCs w:val="32"/>
        </w:rPr>
      </w:pPr>
    </w:p>
    <w:p>
      <w:pPr>
        <w:ind w:firstLine="643" w:firstLineChars="200"/>
        <w:jc w:val="center"/>
        <w:rPr>
          <w:rFonts w:hint="eastAsia" w:ascii="黑体" w:hAnsi="黑体" w:eastAsia="黑体"/>
          <w:b/>
          <w:sz w:val="32"/>
          <w:szCs w:val="32"/>
        </w:rPr>
      </w:pPr>
      <w:r>
        <w:rPr>
          <w:rFonts w:hint="eastAsia" w:ascii="黑体" w:hAnsi="黑体" w:eastAsia="黑体"/>
          <w:b/>
          <w:sz w:val="32"/>
          <w:szCs w:val="32"/>
        </w:rPr>
        <w:t>第七部分 国有资产信息情况说明</w:t>
      </w:r>
    </w:p>
    <w:p>
      <w:pPr>
        <w:ind w:firstLine="640" w:firstLineChars="200"/>
        <w:rPr>
          <w:rFonts w:hint="eastAsia" w:ascii="仿宋" w:hAnsi="仿宋" w:eastAsia="仿宋"/>
          <w:sz w:val="32"/>
          <w:szCs w:val="32"/>
        </w:rPr>
      </w:pPr>
    </w:p>
    <w:p>
      <w:pPr>
        <w:ind w:firstLine="640" w:firstLineChars="200"/>
        <w:rPr>
          <w:rFonts w:hint="eastAsia" w:ascii="仿宋" w:hAnsi="仿宋" w:eastAsia="仿宋" w:cs="仿宋_GB2312"/>
          <w:sz w:val="32"/>
          <w:szCs w:val="32"/>
        </w:rPr>
      </w:pPr>
      <w:r>
        <w:rPr>
          <w:rFonts w:hint="eastAsia" w:ascii="仿宋" w:hAnsi="仿宋" w:eastAsia="仿宋"/>
          <w:sz w:val="32"/>
          <w:szCs w:val="32"/>
        </w:rPr>
        <w:t>涞源县审计局2017年末固定资产总值61.29元。2018年我单位无拟购置固定资产。</w:t>
      </w:r>
    </w:p>
    <w:tbl>
      <w:tblPr>
        <w:tblStyle w:val="5"/>
        <w:tblW w:w="8804" w:type="dxa"/>
        <w:tblInd w:w="93" w:type="dxa"/>
        <w:tblLayout w:type="autofit"/>
        <w:tblCellMar>
          <w:top w:w="0" w:type="dxa"/>
          <w:left w:w="108" w:type="dxa"/>
          <w:bottom w:w="0" w:type="dxa"/>
          <w:right w:w="108" w:type="dxa"/>
        </w:tblCellMar>
      </w:tblPr>
      <w:tblGrid>
        <w:gridCol w:w="3811"/>
        <w:gridCol w:w="1591"/>
        <w:gridCol w:w="3402"/>
      </w:tblGrid>
      <w:tr>
        <w:tblPrEx>
          <w:tblCellMar>
            <w:top w:w="0" w:type="dxa"/>
            <w:left w:w="108" w:type="dxa"/>
            <w:bottom w:w="0" w:type="dxa"/>
            <w:right w:w="108" w:type="dxa"/>
          </w:tblCellMar>
        </w:tblPrEx>
        <w:trPr>
          <w:wBefore w:w="0" w:type="dxa"/>
          <w:wAfter w:w="0" w:type="dxa"/>
          <w:trHeight w:val="675" w:hRule="atLeast"/>
        </w:trPr>
        <w:tc>
          <w:tcPr>
            <w:tcW w:w="8804" w:type="dxa"/>
            <w:gridSpan w:val="3"/>
            <w:tcBorders>
              <w:top w:val="nil"/>
              <w:left w:val="nil"/>
              <w:bottom w:val="nil"/>
              <w:right w:val="nil"/>
            </w:tcBorders>
            <w:noWrap/>
            <w:vAlign w:val="center"/>
          </w:tcPr>
          <w:p>
            <w:pPr>
              <w:widowControl/>
              <w:jc w:val="center"/>
              <w:rPr>
                <w:rFonts w:ascii="宋体" w:hAnsi="宋体" w:cs="宋体"/>
                <w:color w:val="000000"/>
                <w:kern w:val="0"/>
                <w:sz w:val="28"/>
                <w:szCs w:val="28"/>
              </w:rPr>
            </w:pPr>
            <w:r>
              <w:rPr>
                <w:rFonts w:hint="eastAsia" w:ascii="仿宋" w:hAnsi="仿宋" w:eastAsia="仿宋"/>
                <w:sz w:val="32"/>
                <w:szCs w:val="32"/>
              </w:rPr>
              <w:t>涞源县审计局固定资产占用情况表</w:t>
            </w:r>
          </w:p>
        </w:tc>
      </w:tr>
      <w:tr>
        <w:tblPrEx>
          <w:tblCellMar>
            <w:top w:w="0" w:type="dxa"/>
            <w:left w:w="108" w:type="dxa"/>
            <w:bottom w:w="0" w:type="dxa"/>
            <w:right w:w="108" w:type="dxa"/>
          </w:tblCellMar>
        </w:tblPrEx>
        <w:trPr>
          <w:wBefore w:w="0" w:type="dxa"/>
          <w:wAfter w:w="0" w:type="dxa"/>
          <w:trHeight w:val="465" w:hRule="atLeast"/>
        </w:trPr>
        <w:tc>
          <w:tcPr>
            <w:tcW w:w="8804" w:type="dxa"/>
            <w:gridSpan w:val="3"/>
            <w:tcBorders>
              <w:top w:val="nil"/>
              <w:left w:val="nil"/>
              <w:bottom w:val="single" w:color="auto" w:sz="4" w:space="0"/>
              <w:right w:val="nil"/>
            </w:tcBorders>
            <w:noWrap/>
            <w:vAlign w:val="center"/>
          </w:tcPr>
          <w:p>
            <w:pPr>
              <w:widowControl/>
              <w:jc w:val="center"/>
              <w:rPr>
                <w:rFonts w:hint="eastAsia" w:ascii="仿宋" w:hAnsi="仿宋" w:eastAsia="仿宋" w:cs="宋体"/>
                <w:color w:val="000000"/>
                <w:kern w:val="0"/>
                <w:sz w:val="28"/>
                <w:szCs w:val="28"/>
              </w:rPr>
            </w:pPr>
            <w:r>
              <w:rPr>
                <w:rFonts w:hint="eastAsia" w:ascii="仿宋_GB2312" w:hAnsi="宋体" w:eastAsia="仿宋_GB2312" w:cs="宋体"/>
                <w:bCs/>
                <w:color w:val="000000"/>
                <w:kern w:val="0"/>
                <w:sz w:val="32"/>
                <w:szCs w:val="32"/>
              </w:rPr>
              <w:t xml:space="preserve">                              </w:t>
            </w:r>
            <w:r>
              <w:rPr>
                <w:rFonts w:hint="eastAsia" w:ascii="仿宋" w:hAnsi="仿宋" w:eastAsia="仿宋" w:cs="宋体"/>
                <w:bCs/>
                <w:color w:val="000000"/>
                <w:kern w:val="0"/>
                <w:sz w:val="28"/>
                <w:szCs w:val="28"/>
              </w:rPr>
              <w:t>截止时间：2017年12月31日</w:t>
            </w:r>
          </w:p>
        </w:tc>
      </w:tr>
      <w:tr>
        <w:tblPrEx>
          <w:tblCellMar>
            <w:top w:w="0" w:type="dxa"/>
            <w:left w:w="108" w:type="dxa"/>
            <w:bottom w:w="0" w:type="dxa"/>
            <w:right w:w="108" w:type="dxa"/>
          </w:tblCellMar>
        </w:tblPrEx>
        <w:trPr>
          <w:wBefore w:w="0" w:type="dxa"/>
          <w:wAfter w:w="0" w:type="dxa"/>
          <w:trHeight w:val="750" w:hRule="atLeast"/>
        </w:trPr>
        <w:tc>
          <w:tcPr>
            <w:tcW w:w="3811"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项　　目</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数量</w:t>
            </w: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价值（单位：万元）</w:t>
            </w:r>
          </w:p>
        </w:tc>
      </w:tr>
      <w:tr>
        <w:tblPrEx>
          <w:tblCellMar>
            <w:top w:w="0" w:type="dxa"/>
            <w:left w:w="108" w:type="dxa"/>
            <w:bottom w:w="0" w:type="dxa"/>
            <w:right w:w="108" w:type="dxa"/>
          </w:tblCellMar>
        </w:tblPrEx>
        <w:trPr>
          <w:wBefore w:w="0" w:type="dxa"/>
          <w:wAfter w:w="0" w:type="dxa"/>
          <w:trHeight w:val="495" w:hRule="atLeast"/>
        </w:trPr>
        <w:tc>
          <w:tcPr>
            <w:tcW w:w="3811"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固定资产总额</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61.29</w:t>
            </w:r>
          </w:p>
        </w:tc>
      </w:tr>
      <w:tr>
        <w:tblPrEx>
          <w:tblCellMar>
            <w:top w:w="0" w:type="dxa"/>
            <w:left w:w="108" w:type="dxa"/>
            <w:bottom w:w="0" w:type="dxa"/>
            <w:right w:w="108" w:type="dxa"/>
          </w:tblCellMar>
        </w:tblPrEx>
        <w:trPr>
          <w:wBefore w:w="0" w:type="dxa"/>
          <w:wAfter w:w="0" w:type="dxa"/>
          <w:trHeight w:val="483" w:hRule="atLeast"/>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1、车辆（台、辆）</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25.01</w:t>
            </w:r>
          </w:p>
        </w:tc>
      </w:tr>
      <w:tr>
        <w:tblPrEx>
          <w:tblCellMar>
            <w:top w:w="0" w:type="dxa"/>
            <w:left w:w="108" w:type="dxa"/>
            <w:bottom w:w="0" w:type="dxa"/>
            <w:right w:w="108" w:type="dxa"/>
          </w:tblCellMar>
        </w:tblPrEx>
        <w:trPr>
          <w:wBefore w:w="0" w:type="dxa"/>
          <w:wAfter w:w="0" w:type="dxa"/>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pPr>
              <w:jc w:val="left"/>
              <w:rPr>
                <w:rFonts w:hint="eastAsia" w:ascii="宋体" w:hAnsi="宋体" w:cs="宋体"/>
                <w:color w:val="000000"/>
                <w:kern w:val="0"/>
                <w:sz w:val="24"/>
              </w:rPr>
            </w:pPr>
            <w:r>
              <w:rPr>
                <w:rFonts w:hint="eastAsia" w:ascii="宋体" w:hAnsi="宋体" w:cs="宋体"/>
                <w:color w:val="000000"/>
                <w:kern w:val="0"/>
                <w:sz w:val="24"/>
              </w:rPr>
              <w:t xml:space="preserve">   其中：轿车</w:t>
            </w:r>
          </w:p>
        </w:tc>
        <w:tc>
          <w:tcPr>
            <w:tcW w:w="1591" w:type="dxa"/>
            <w:tcBorders>
              <w:top w:val="single" w:color="auto" w:sz="4" w:space="0"/>
              <w:left w:val="nil"/>
              <w:bottom w:val="single" w:color="auto" w:sz="4" w:space="0"/>
              <w:right w:val="single" w:color="auto" w:sz="4" w:space="0"/>
            </w:tcBorders>
            <w:noWrap/>
            <w:vAlign w:val="center"/>
          </w:tcPr>
          <w:p>
            <w:pPr>
              <w:jc w:val="center"/>
              <w:rPr>
                <w:rFonts w:hint="eastAsia" w:ascii="宋体" w:hAnsi="宋体" w:cs="宋体"/>
                <w:color w:val="000000"/>
                <w:kern w:val="0"/>
                <w:sz w:val="24"/>
              </w:rPr>
            </w:pPr>
            <w:r>
              <w:rPr>
                <w:rFonts w:hint="eastAsia" w:ascii="宋体" w:hAnsi="宋体" w:cs="宋体"/>
                <w:color w:val="000000"/>
                <w:kern w:val="0"/>
                <w:sz w:val="24"/>
              </w:rPr>
              <w:t>1</w:t>
            </w:r>
          </w:p>
        </w:tc>
        <w:tc>
          <w:tcPr>
            <w:tcW w:w="3402" w:type="dxa"/>
            <w:tcBorders>
              <w:top w:val="single" w:color="auto" w:sz="4" w:space="0"/>
              <w:left w:val="nil"/>
              <w:bottom w:val="single" w:color="auto" w:sz="4" w:space="0"/>
              <w:right w:val="single" w:color="auto" w:sz="4" w:space="0"/>
            </w:tcBorders>
            <w:noWrap/>
            <w:vAlign w:val="center"/>
          </w:tcPr>
          <w:p>
            <w:pPr>
              <w:jc w:val="center"/>
              <w:rPr>
                <w:rFonts w:hint="eastAsia" w:ascii="宋体" w:hAnsi="宋体" w:cs="宋体"/>
                <w:color w:val="000000"/>
                <w:kern w:val="0"/>
                <w:sz w:val="24"/>
              </w:rPr>
            </w:pPr>
            <w:r>
              <w:rPr>
                <w:rFonts w:hint="eastAsia" w:ascii="宋体" w:hAnsi="宋体" w:cs="宋体"/>
                <w:color w:val="000000"/>
                <w:kern w:val="0"/>
                <w:sz w:val="24"/>
              </w:rPr>
              <w:t>25.01</w:t>
            </w:r>
          </w:p>
        </w:tc>
      </w:tr>
      <w:tr>
        <w:tblPrEx>
          <w:tblCellMar>
            <w:top w:w="0" w:type="dxa"/>
            <w:left w:w="108" w:type="dxa"/>
            <w:bottom w:w="0" w:type="dxa"/>
            <w:right w:w="108" w:type="dxa"/>
          </w:tblCellMar>
        </w:tblPrEx>
        <w:trPr>
          <w:wBefore w:w="0" w:type="dxa"/>
          <w:wAfter w:w="0" w:type="dxa"/>
          <w:trHeight w:val="495" w:hRule="atLeast"/>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4"/>
              </w:rPr>
            </w:pPr>
            <w:r>
              <w:rPr>
                <w:rFonts w:hint="eastAsia" w:ascii="宋体" w:hAnsi="宋体" w:cs="宋体"/>
                <w:color w:val="000000"/>
                <w:kern w:val="0"/>
                <w:sz w:val="24"/>
              </w:rPr>
              <w:t xml:space="preserve">  2、其他固定资产</w:t>
            </w:r>
          </w:p>
        </w:tc>
        <w:tc>
          <w:tcPr>
            <w:tcW w:w="1591"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402"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4"/>
              </w:rPr>
            </w:pPr>
            <w:r>
              <w:rPr>
                <w:rFonts w:hint="eastAsia" w:ascii="宋体" w:hAnsi="宋体" w:cs="宋体"/>
                <w:color w:val="000000"/>
                <w:kern w:val="0"/>
                <w:sz w:val="24"/>
              </w:rPr>
              <w:t>36.28</w:t>
            </w:r>
          </w:p>
        </w:tc>
      </w:tr>
    </w:tbl>
    <w:p>
      <w:pPr>
        <w:ind w:firstLine="640" w:firstLineChars="200"/>
        <w:rPr>
          <w:rFonts w:hint="eastAsia" w:ascii="仿宋" w:hAnsi="仿宋" w:eastAsia="仿宋" w:cs="仿宋_GB2312"/>
          <w:sz w:val="32"/>
          <w:szCs w:val="32"/>
        </w:rPr>
      </w:pPr>
    </w:p>
    <w:p>
      <w:pPr>
        <w:spacing w:line="500" w:lineRule="exact"/>
        <w:ind w:firstLine="2560" w:firstLineChars="800"/>
        <w:outlineLvl w:val="0"/>
        <w:rPr>
          <w:rFonts w:ascii="黑体" w:hAnsi="黑体" w:eastAsia="黑体"/>
          <w:sz w:val="32"/>
          <w:szCs w:val="32"/>
        </w:rPr>
      </w:pPr>
      <w:r>
        <w:rPr>
          <w:rFonts w:hint="eastAsia" w:ascii="黑体" w:hAnsi="黑体" w:eastAsia="黑体"/>
          <w:sz w:val="32"/>
          <w:szCs w:val="32"/>
        </w:rPr>
        <w:t>第八部分：名词解释</w:t>
      </w:r>
    </w:p>
    <w:p>
      <w:pPr>
        <w:spacing w:line="500" w:lineRule="exact"/>
        <w:jc w:val="center"/>
        <w:outlineLvl w:val="0"/>
        <w:rPr>
          <w:rFonts w:hint="eastAsia" w:ascii="仿宋" w:hAnsi="仿宋" w:eastAsia="仿宋"/>
          <w:b/>
          <w:sz w:val="32"/>
          <w:szCs w:val="32"/>
        </w:rPr>
      </w:pPr>
    </w:p>
    <w:p>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1、财政拨款收入：</w:t>
      </w:r>
      <w:r>
        <w:rPr>
          <w:rFonts w:hint="eastAsia" w:ascii="仿宋" w:hAnsi="仿宋" w:eastAsia="仿宋"/>
          <w:sz w:val="32"/>
          <w:szCs w:val="32"/>
        </w:rPr>
        <w:t>指县级财政当年拨付的资金。</w:t>
      </w:r>
    </w:p>
    <w:p>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2、其他收入：</w:t>
      </w:r>
      <w:r>
        <w:rPr>
          <w:rFonts w:hint="eastAsia" w:ascii="仿宋" w:hAnsi="仿宋" w:eastAsia="仿宋"/>
          <w:sz w:val="32"/>
          <w:szCs w:val="32"/>
        </w:rPr>
        <w:t>指除上述“财政拨款收入”、“事业收入”等以外的收入。</w:t>
      </w:r>
    </w:p>
    <w:p>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3、基本支出：</w:t>
      </w:r>
      <w:r>
        <w:rPr>
          <w:rFonts w:hint="eastAsia" w:ascii="仿宋" w:hAnsi="仿宋" w:eastAsia="仿宋"/>
          <w:sz w:val="32"/>
          <w:szCs w:val="32"/>
        </w:rPr>
        <w:t>指为保障机构正常运转、完成日常工作任务而发生的人员支出和公用支出。</w:t>
      </w:r>
    </w:p>
    <w:p>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4、项目支出：</w:t>
      </w:r>
      <w:r>
        <w:rPr>
          <w:rFonts w:hint="eastAsia" w:ascii="仿宋" w:hAnsi="仿宋" w:eastAsia="仿宋"/>
          <w:sz w:val="32"/>
          <w:szCs w:val="32"/>
        </w:rPr>
        <w:t>指在基本支出之外为完成特定行政任务和事业发展目标所发生的支出。</w:t>
      </w:r>
    </w:p>
    <w:p>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5、“三公”经费：</w:t>
      </w:r>
      <w:r>
        <w:rPr>
          <w:rFonts w:hint="eastAsia" w:ascii="仿宋" w:hAnsi="仿宋" w:eastAsia="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hint="eastAsia" w:ascii="仿宋" w:hAnsi="仿宋" w:eastAsia="仿宋"/>
          <w:sz w:val="32"/>
          <w:szCs w:val="32"/>
        </w:rPr>
      </w:pPr>
      <w:r>
        <w:rPr>
          <w:rFonts w:hint="eastAsia" w:ascii="仿宋" w:hAnsi="仿宋" w:eastAsia="仿宋"/>
          <w:b/>
          <w:sz w:val="32"/>
          <w:szCs w:val="32"/>
        </w:rPr>
        <w:t>6、机关运行费：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803" w:firstLineChars="250"/>
        <w:rPr>
          <w:rFonts w:hint="eastAsia" w:ascii="仿宋" w:hAnsi="仿宋" w:eastAsia="仿宋"/>
          <w:sz w:val="32"/>
          <w:szCs w:val="32"/>
        </w:rPr>
      </w:pPr>
      <w:r>
        <w:rPr>
          <w:rFonts w:hint="eastAsia" w:ascii="仿宋" w:hAnsi="仿宋" w:eastAsia="仿宋"/>
          <w:b/>
          <w:sz w:val="32"/>
          <w:szCs w:val="32"/>
        </w:rPr>
        <w:t>7、公务费：</w:t>
      </w:r>
      <w:r>
        <w:rPr>
          <w:rFonts w:hint="eastAsia" w:ascii="仿宋" w:hAnsi="仿宋" w:eastAsia="仿宋"/>
          <w:sz w:val="32"/>
          <w:szCs w:val="32"/>
        </w:rPr>
        <w:t>包括办公费、水电费、邮电费、取暖费、交通费、一般会议费和物业管理费之和。</w:t>
      </w:r>
    </w:p>
    <w:p>
      <w:pPr>
        <w:spacing w:line="500" w:lineRule="exact"/>
        <w:ind w:firstLine="627" w:firstLineChars="196"/>
        <w:jc w:val="center"/>
        <w:outlineLvl w:val="0"/>
        <w:rPr>
          <w:rFonts w:hint="eastAsia" w:ascii="黑体" w:hAnsi="黑体" w:eastAsia="黑体"/>
          <w:sz w:val="32"/>
          <w:szCs w:val="32"/>
        </w:rPr>
      </w:pPr>
    </w:p>
    <w:p>
      <w:pPr>
        <w:spacing w:line="500" w:lineRule="exact"/>
        <w:jc w:val="center"/>
        <w:outlineLvl w:val="0"/>
        <w:rPr>
          <w:rFonts w:hint="eastAsia" w:ascii="黑体" w:hAnsi="黑体" w:eastAsia="黑体"/>
          <w:sz w:val="32"/>
          <w:szCs w:val="32"/>
        </w:rPr>
      </w:pPr>
      <w:r>
        <w:rPr>
          <w:rFonts w:hint="eastAsia" w:ascii="黑体" w:hAnsi="黑体" w:eastAsia="黑体"/>
          <w:sz w:val="32"/>
          <w:szCs w:val="32"/>
        </w:rPr>
        <w:t>第九部分：其他需说明的事项</w:t>
      </w:r>
    </w:p>
    <w:p>
      <w:pPr>
        <w:spacing w:line="500" w:lineRule="exact"/>
        <w:ind w:firstLine="1264" w:firstLineChars="395"/>
        <w:jc w:val="left"/>
        <w:outlineLvl w:val="0"/>
        <w:rPr>
          <w:rFonts w:hint="eastAsia" w:ascii="仿宋" w:hAnsi="仿宋" w:eastAsia="仿宋"/>
          <w:sz w:val="32"/>
          <w:szCs w:val="32"/>
        </w:rPr>
      </w:pPr>
    </w:p>
    <w:p>
      <w:pPr>
        <w:spacing w:line="500" w:lineRule="exact"/>
        <w:ind w:firstLine="640" w:firstLineChars="200"/>
        <w:jc w:val="left"/>
        <w:outlineLvl w:val="0"/>
        <w:rPr>
          <w:rFonts w:ascii="仿宋" w:hAnsi="仿宋" w:eastAsia="仿宋"/>
          <w:sz w:val="32"/>
          <w:szCs w:val="32"/>
        </w:rPr>
        <w:sectPr>
          <w:pgSz w:w="11907" w:h="16839"/>
          <w:pgMar w:top="1021" w:right="1361" w:bottom="1021" w:left="1361" w:header="851" w:footer="992" w:gutter="0"/>
          <w:cols w:space="720" w:num="1"/>
          <w:docGrid w:type="lines" w:linePitch="312" w:charSpace="0"/>
        </w:sectPr>
      </w:pPr>
      <w:r>
        <w:rPr>
          <w:rFonts w:hint="eastAsia" w:ascii="仿宋" w:hAnsi="仿宋" w:eastAsia="仿宋"/>
          <w:sz w:val="32"/>
          <w:szCs w:val="32"/>
        </w:rPr>
        <w:t>无其他需说明的事项。</w:t>
      </w:r>
    </w:p>
    <w:p/>
    <w:sectPr>
      <w:pgSz w:w="11907" w:h="16839"/>
      <w:pgMar w:top="1020" w:right="1134" w:bottom="1020"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altName w:val="宋体"/>
    <w:panose1 w:val="00000000000000000000"/>
    <w:charset w:val="86"/>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方正书宋_GBK">
    <w:altName w:val="宋体"/>
    <w:panose1 w:val="00000000000000000000"/>
    <w:charset w:val="86"/>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F63F2D"/>
    <w:multiLevelType w:val="multilevel"/>
    <w:tmpl w:val="50F63F2D"/>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BhYWViZDk0YTk5YmEyYWRiNDI2Y2NlNzA4NWUxZjkifQ=="/>
  </w:docVars>
  <w:rsids>
    <w:rsidRoot w:val="0048195D"/>
    <w:rsid w:val="000048D0"/>
    <w:rsid w:val="000B034F"/>
    <w:rsid w:val="000D5D90"/>
    <w:rsid w:val="00115B74"/>
    <w:rsid w:val="00151BC4"/>
    <w:rsid w:val="00204E3C"/>
    <w:rsid w:val="00205CE6"/>
    <w:rsid w:val="002374D4"/>
    <w:rsid w:val="00301CF7"/>
    <w:rsid w:val="00314B72"/>
    <w:rsid w:val="003A29FF"/>
    <w:rsid w:val="003C1038"/>
    <w:rsid w:val="003C6251"/>
    <w:rsid w:val="004049D5"/>
    <w:rsid w:val="004178CA"/>
    <w:rsid w:val="004756C3"/>
    <w:rsid w:val="0048195D"/>
    <w:rsid w:val="004B7BCE"/>
    <w:rsid w:val="004F4FC4"/>
    <w:rsid w:val="0055206E"/>
    <w:rsid w:val="00612EF7"/>
    <w:rsid w:val="00613D89"/>
    <w:rsid w:val="0070428D"/>
    <w:rsid w:val="00753E86"/>
    <w:rsid w:val="007C2F5E"/>
    <w:rsid w:val="007C654F"/>
    <w:rsid w:val="00823DD7"/>
    <w:rsid w:val="00851FD6"/>
    <w:rsid w:val="0087571E"/>
    <w:rsid w:val="00887201"/>
    <w:rsid w:val="0089160B"/>
    <w:rsid w:val="00894903"/>
    <w:rsid w:val="008A1623"/>
    <w:rsid w:val="008E0465"/>
    <w:rsid w:val="00956A00"/>
    <w:rsid w:val="009D7196"/>
    <w:rsid w:val="00A54815"/>
    <w:rsid w:val="00AB0DAA"/>
    <w:rsid w:val="00B249CC"/>
    <w:rsid w:val="00B24F45"/>
    <w:rsid w:val="00B7001B"/>
    <w:rsid w:val="00B908D7"/>
    <w:rsid w:val="00B9546A"/>
    <w:rsid w:val="00BB008E"/>
    <w:rsid w:val="00BB0DBD"/>
    <w:rsid w:val="00BB342F"/>
    <w:rsid w:val="00C07E02"/>
    <w:rsid w:val="00C70DA5"/>
    <w:rsid w:val="00CB0ECA"/>
    <w:rsid w:val="00D92ABD"/>
    <w:rsid w:val="00F05722"/>
    <w:rsid w:val="00FC7E15"/>
    <w:rsid w:val="13740FFB"/>
    <w:rsid w:val="6B5E6D6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Style w:val="5"/>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8"/>
    <w:uiPriority w:val="0"/>
    <w:pPr>
      <w:pBdr>
        <w:bottom w:val="single" w:color="auto" w:sz="6" w:space="1"/>
      </w:pBdr>
      <w:tabs>
        <w:tab w:val="center" w:pos="4153"/>
        <w:tab w:val="right" w:pos="8306"/>
      </w:tabs>
      <w:snapToGrid w:val="0"/>
      <w:jc w:val="center"/>
    </w:pPr>
    <w:rPr>
      <w:sz w:val="18"/>
      <w:szCs w:val="18"/>
    </w:rPr>
  </w:style>
  <w:style w:type="paragraph" w:styleId="4">
    <w:name w:val="toc 1"/>
    <w:basedOn w:val="1"/>
    <w:next w:val="1"/>
    <w:semiHidden/>
    <w:uiPriority w:val="0"/>
  </w:style>
  <w:style w:type="character" w:customStyle="1" w:styleId="7">
    <w:name w:val=" Char Char"/>
    <w:basedOn w:val="6"/>
    <w:link w:val="2"/>
    <w:uiPriority w:val="0"/>
    <w:rPr>
      <w:kern w:val="2"/>
      <w:sz w:val="18"/>
      <w:szCs w:val="18"/>
    </w:rPr>
  </w:style>
  <w:style w:type="character" w:customStyle="1" w:styleId="8">
    <w:name w:val=" Char Char1"/>
    <w:basedOn w:val="6"/>
    <w:link w:val="3"/>
    <w:uiPriority w:val="0"/>
    <w:rPr>
      <w:kern w:val="2"/>
      <w:sz w:val="18"/>
      <w:szCs w:val="18"/>
    </w:rPr>
  </w:style>
  <w:style w:type="paragraph" w:customStyle="1" w:styleId="9">
    <w:name w:val="列出段落"/>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11</Pages>
  <Words>584</Words>
  <Characters>3333</Characters>
  <Lines>27</Lines>
  <Paragraphs>7</Paragraphs>
  <TotalTime>0</TotalTime>
  <ScaleCrop>false</ScaleCrop>
  <LinksUpToDate>false</LinksUpToDate>
  <CharactersWithSpaces>3910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2017-03-21T08:12:00Z</dcterms:created>
  <dc:creator>User</dc:creator>
  <cp:lastModifiedBy>娜娜</cp:lastModifiedBy>
  <dcterms:modified xsi:type="dcterms:W3CDTF">2024-01-29T05:14:43Z</dcterms:modified>
  <dc:title> </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AF895CC80F304C1DB81DEA1B23BE2378_13</vt:lpwstr>
  </property>
</Properties>
</file>