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C9D40">
      <w:pPr>
        <w:jc w:val="center"/>
        <w:rPr>
          <w:rFonts w:asciiTheme="minorEastAsia" w:hAnsiTheme="minorEastAsia" w:eastAsiaTheme="minorEastAsia"/>
          <w:b/>
          <w:bCs/>
          <w:sz w:val="44"/>
          <w:szCs w:val="44"/>
        </w:rPr>
      </w:pPr>
      <w:r>
        <w:rPr>
          <w:rFonts w:hint="eastAsia" w:cs="宋体" w:asciiTheme="minorEastAsia" w:hAnsiTheme="minorEastAsia" w:eastAsiaTheme="minorEastAsia"/>
          <w:b/>
          <w:bCs/>
          <w:sz w:val="44"/>
          <w:szCs w:val="44"/>
        </w:rPr>
        <w:t>涞源县</w:t>
      </w:r>
      <w:r>
        <w:rPr>
          <w:rFonts w:hint="eastAsia" w:cs="宋体" w:asciiTheme="minorEastAsia" w:hAnsiTheme="minorEastAsia" w:eastAsiaTheme="minorEastAsia"/>
          <w:b/>
          <w:bCs/>
          <w:sz w:val="44"/>
          <w:szCs w:val="44"/>
          <w:lang w:eastAsia="zh-CN"/>
        </w:rPr>
        <w:t>委</w:t>
      </w:r>
      <w:r>
        <w:rPr>
          <w:rFonts w:hint="eastAsia" w:cs="宋体" w:asciiTheme="minorEastAsia" w:hAnsiTheme="minorEastAsia" w:eastAsiaTheme="minorEastAsia"/>
          <w:b/>
          <w:bCs/>
          <w:sz w:val="44"/>
          <w:szCs w:val="44"/>
        </w:rPr>
        <w:t>政法委</w:t>
      </w:r>
    </w:p>
    <w:p w14:paraId="07AA359D">
      <w:pPr>
        <w:jc w:val="center"/>
        <w:rPr>
          <w:rFonts w:asciiTheme="minorEastAsia" w:hAnsiTheme="minorEastAsia" w:eastAsiaTheme="minorEastAsia"/>
          <w:b/>
          <w:bCs/>
          <w:sz w:val="44"/>
          <w:szCs w:val="44"/>
        </w:rPr>
      </w:pPr>
      <w:r>
        <w:rPr>
          <w:rFonts w:cs="宋体" w:asciiTheme="minorEastAsia" w:hAnsiTheme="minorEastAsia" w:eastAsiaTheme="minorEastAsia"/>
          <w:b/>
          <w:bCs/>
          <w:sz w:val="44"/>
          <w:szCs w:val="44"/>
        </w:rPr>
        <w:t>2017</w:t>
      </w:r>
      <w:r>
        <w:rPr>
          <w:rFonts w:hint="eastAsia" w:cs="宋体" w:asciiTheme="minorEastAsia" w:hAnsiTheme="minorEastAsia" w:eastAsiaTheme="minorEastAsia"/>
          <w:b/>
          <w:bCs/>
          <w:sz w:val="44"/>
          <w:szCs w:val="44"/>
        </w:rPr>
        <w:t>年部门预算信息公开</w:t>
      </w:r>
    </w:p>
    <w:p w14:paraId="5A0EFF17">
      <w:pPr>
        <w:jc w:val="center"/>
        <w:rPr>
          <w:rFonts w:cs="方正小标宋_GBK" w:asciiTheme="minorEastAsia" w:hAnsiTheme="minorEastAsia" w:eastAsiaTheme="minorEastAsia"/>
          <w:b/>
          <w:bCs/>
          <w:sz w:val="36"/>
          <w:szCs w:val="36"/>
        </w:rPr>
      </w:pPr>
      <w:r>
        <w:rPr>
          <w:rFonts w:cs="方正小标宋_GBK" w:asciiTheme="minorEastAsia" w:hAnsiTheme="minorEastAsia" w:eastAsiaTheme="minorEastAsia"/>
          <w:b/>
          <w:bCs/>
          <w:sz w:val="36"/>
          <w:szCs w:val="36"/>
        </w:rPr>
        <w:t xml:space="preserve"> </w:t>
      </w:r>
    </w:p>
    <w:p w14:paraId="7386D329">
      <w:pPr>
        <w:spacing w:line="520" w:lineRule="exact"/>
        <w:ind w:firstLine="560" w:firstLineChars="200"/>
        <w:jc w:val="left"/>
        <w:rPr>
          <w:rFonts w:asciiTheme="minorEastAsia" w:hAnsiTheme="minorEastAsia" w:eastAsiaTheme="minorEastAsia"/>
          <w:sz w:val="32"/>
          <w:szCs w:val="32"/>
        </w:rPr>
      </w:pPr>
      <w:r>
        <w:rPr>
          <w:rFonts w:cs="方正黑体_GBK" w:asciiTheme="minorEastAsia" w:hAnsiTheme="minorEastAsia" w:eastAsiaTheme="minorEastAsia"/>
          <w:sz w:val="28"/>
          <w:szCs w:val="28"/>
        </w:rPr>
        <w:t xml:space="preserve"> </w:t>
      </w:r>
      <w:r>
        <w:rPr>
          <w:rFonts w:cs="仿宋" w:asciiTheme="minorEastAsia" w:hAnsiTheme="minorEastAsia" w:eastAsiaTheme="minorEastAsia"/>
          <w:sz w:val="32"/>
          <w:szCs w:val="32"/>
        </w:rPr>
        <w:t xml:space="preserve">  </w:t>
      </w:r>
      <w:r>
        <w:rPr>
          <w:rFonts w:hint="eastAsia" w:cs="仿宋" w:asciiTheme="minorEastAsia" w:hAnsiTheme="minorEastAsia" w:eastAsiaTheme="minorEastAsia"/>
          <w:sz w:val="32"/>
          <w:szCs w:val="32"/>
        </w:rPr>
        <w:t>按照《</w:t>
      </w:r>
      <w:r>
        <w:rPr>
          <w:rFonts w:hint="eastAsia" w:cs="仿宋" w:asciiTheme="minorEastAsia" w:hAnsiTheme="minorEastAsia" w:eastAsiaTheme="minorEastAsia"/>
          <w:sz w:val="32"/>
          <w:szCs w:val="32"/>
          <w:lang w:eastAsia="zh-CN"/>
        </w:rPr>
        <w:t>中华人民共和国</w:t>
      </w:r>
      <w:bookmarkStart w:id="0" w:name="_GoBack"/>
      <w:bookmarkEnd w:id="0"/>
      <w:r>
        <w:rPr>
          <w:rFonts w:hint="eastAsia" w:cs="仿宋" w:asciiTheme="minorEastAsia" w:hAnsiTheme="minorEastAsia" w:eastAsiaTheme="minorEastAsia"/>
          <w:sz w:val="32"/>
          <w:szCs w:val="32"/>
        </w:rPr>
        <w:t>预算法》规定，现将涞源县</w:t>
      </w:r>
      <w:r>
        <w:rPr>
          <w:rFonts w:hint="eastAsia" w:cs="仿宋" w:asciiTheme="minorEastAsia" w:hAnsiTheme="minorEastAsia" w:eastAsiaTheme="minorEastAsia"/>
          <w:sz w:val="32"/>
          <w:szCs w:val="32"/>
          <w:lang w:eastAsia="zh-CN"/>
        </w:rPr>
        <w:t>委</w:t>
      </w:r>
      <w:r>
        <w:rPr>
          <w:rFonts w:hint="eastAsia" w:cs="仿宋" w:asciiTheme="minorEastAsia" w:hAnsiTheme="minorEastAsia" w:eastAsiaTheme="minorEastAsia"/>
          <w:sz w:val="32"/>
          <w:szCs w:val="32"/>
        </w:rPr>
        <w:t>政法委</w:t>
      </w:r>
      <w:r>
        <w:rPr>
          <w:rFonts w:cs="仿宋" w:asciiTheme="minorEastAsia" w:hAnsiTheme="minorEastAsia" w:eastAsiaTheme="minorEastAsia"/>
          <w:sz w:val="32"/>
          <w:szCs w:val="32"/>
        </w:rPr>
        <w:t>2017</w:t>
      </w:r>
      <w:r>
        <w:rPr>
          <w:rFonts w:hint="eastAsia" w:cs="仿宋" w:asciiTheme="minorEastAsia" w:hAnsiTheme="minorEastAsia" w:eastAsiaTheme="minorEastAsia"/>
          <w:sz w:val="32"/>
          <w:szCs w:val="32"/>
        </w:rPr>
        <w:t>年部门预算公开如下：</w:t>
      </w:r>
    </w:p>
    <w:p w14:paraId="2FF0E858">
      <w:pPr>
        <w:ind w:firstLine="643" w:firstLineChars="200"/>
        <w:jc w:val="center"/>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第一部分：部门职责及机构设置情况</w:t>
      </w:r>
    </w:p>
    <w:p w14:paraId="55C3A329">
      <w:pPr>
        <w:ind w:firstLine="643" w:firstLineChars="200"/>
        <w:jc w:val="left"/>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一、部门职责</w:t>
      </w:r>
    </w:p>
    <w:p w14:paraId="2C66E723">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1</w:t>
      </w:r>
      <w:r>
        <w:rPr>
          <w:rFonts w:hint="eastAsia" w:cs="仿宋" w:asciiTheme="minorEastAsia" w:hAnsiTheme="minorEastAsia" w:eastAsiaTheme="minorEastAsia"/>
          <w:sz w:val="32"/>
          <w:szCs w:val="32"/>
        </w:rPr>
        <w:t>、维护社会稳定，对全县维护稳定工作部署安排，统一部署、统一督查，协调全县维护稳定工作，在县委、</w:t>
      </w:r>
      <w:r>
        <w:rPr>
          <w:rFonts w:hint="eastAsia" w:cs="仿宋" w:asciiTheme="minorEastAsia" w:hAnsiTheme="minorEastAsia" w:eastAsiaTheme="minorEastAsia"/>
          <w:sz w:val="32"/>
          <w:szCs w:val="32"/>
          <w:lang w:eastAsia="zh-CN"/>
        </w:rPr>
        <w:t>县</w:t>
      </w:r>
      <w:r>
        <w:rPr>
          <w:rFonts w:hint="eastAsia" w:cs="仿宋" w:asciiTheme="minorEastAsia" w:hAnsiTheme="minorEastAsia" w:eastAsiaTheme="minorEastAsia"/>
          <w:sz w:val="32"/>
          <w:szCs w:val="32"/>
        </w:rPr>
        <w:t>政府统一领导下，协调组织有关部门做好敏感期、国家重大政治活动和重大节假日期间的维护稳定工作。</w:t>
      </w:r>
    </w:p>
    <w:p w14:paraId="35245A3A">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2</w:t>
      </w:r>
      <w:r>
        <w:rPr>
          <w:rFonts w:hint="eastAsia" w:cs="仿宋" w:asciiTheme="minorEastAsia" w:hAnsiTheme="minorEastAsia" w:eastAsiaTheme="minorEastAsia"/>
          <w:sz w:val="32"/>
          <w:szCs w:val="32"/>
        </w:rPr>
        <w:t>、社会治安综合治理，对全县社会管理综合治理工作进行部署，并负责督导检查。圆满完成全年重要时期铁路护路工作，各类矛盾纠纷得到有效化解，平安创建达到标准。</w:t>
      </w:r>
    </w:p>
    <w:p w14:paraId="05F389B2">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3</w:t>
      </w:r>
      <w:r>
        <w:rPr>
          <w:rFonts w:hint="eastAsia" w:cs="仿宋" w:asciiTheme="minorEastAsia" w:hAnsiTheme="minorEastAsia" w:eastAsiaTheme="minorEastAsia"/>
          <w:sz w:val="32"/>
          <w:szCs w:val="32"/>
        </w:rPr>
        <w:t>、执法监督、纪律检查，督导检查政法各部门贯彻国家法律法规和党的路线方针、政策工作情况，在市委政法委、县委的领导指导下，营造良好的司法执法环境，维护当事人的合法权益，提高全县政法各部门工作质量，建设遵纪守法政法队伍。</w:t>
      </w:r>
    </w:p>
    <w:p w14:paraId="6F4ACB44">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4</w:t>
      </w:r>
      <w:r>
        <w:rPr>
          <w:rFonts w:hint="eastAsia" w:cs="仿宋" w:asciiTheme="minorEastAsia" w:hAnsiTheme="minorEastAsia" w:eastAsiaTheme="minorEastAsia"/>
          <w:sz w:val="32"/>
          <w:szCs w:val="32"/>
        </w:rPr>
        <w:t>、政法队伍建设，加强政法各部门的队伍建设和对外宣传工作。</w:t>
      </w:r>
    </w:p>
    <w:p w14:paraId="17F16137">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5</w:t>
      </w:r>
      <w:r>
        <w:rPr>
          <w:rFonts w:hint="eastAsia" w:cs="仿宋" w:asciiTheme="minorEastAsia" w:hAnsiTheme="minorEastAsia" w:eastAsiaTheme="minorEastAsia"/>
          <w:sz w:val="32"/>
          <w:szCs w:val="32"/>
        </w:rPr>
        <w:t>、涉法涉诉信访，严格落实涉法涉诉工作改革，提高工作效率。</w:t>
      </w:r>
    </w:p>
    <w:p w14:paraId="23EC588A">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6</w:t>
      </w:r>
      <w:r>
        <w:rPr>
          <w:rFonts w:hint="eastAsia" w:cs="仿宋" w:asciiTheme="minorEastAsia" w:hAnsiTheme="minorEastAsia" w:eastAsiaTheme="minorEastAsia"/>
          <w:sz w:val="32"/>
          <w:szCs w:val="32"/>
        </w:rPr>
        <w:t>、开展法学研究，充分发挥法学会职能，努力发挥法学会作用，为法治涞源建设作出应有贡献。</w:t>
      </w:r>
    </w:p>
    <w:p w14:paraId="44DED7A3">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7</w:t>
      </w:r>
      <w:r>
        <w:rPr>
          <w:rFonts w:hint="eastAsia" w:cs="仿宋" w:asciiTheme="minorEastAsia" w:hAnsiTheme="minorEastAsia" w:eastAsiaTheme="minorEastAsia"/>
          <w:sz w:val="32"/>
          <w:szCs w:val="32"/>
        </w:rPr>
        <w:t>、铁路护路工作，组织协调各级各部门齐抓共管，组织情况交流和信息反馈。掌握铁路沿线治安情况，组织开展治安隐患排查整治、爱路护路宣传、重要时期护路任务等重点工作，保障省、市、县三级护路组织和护路人员正常工作，具体负责护路联防经费的管理和使用。</w:t>
      </w:r>
    </w:p>
    <w:p w14:paraId="69E32089">
      <w:pPr>
        <w:ind w:firstLine="643" w:firstLineChars="200"/>
        <w:jc w:val="left"/>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二、机构设置</w:t>
      </w:r>
    </w:p>
    <w:p w14:paraId="4A571D79">
      <w:pPr>
        <w:ind w:firstLine="643" w:firstLineChars="200"/>
        <w:jc w:val="center"/>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部门机构设置情况</w:t>
      </w:r>
    </w:p>
    <w:tbl>
      <w:tblPr>
        <w:tblStyle w:val="4"/>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48"/>
        <w:gridCol w:w="1800"/>
        <w:gridCol w:w="1695"/>
        <w:gridCol w:w="2282"/>
      </w:tblGrid>
      <w:tr w14:paraId="675A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348" w:type="dxa"/>
          </w:tcPr>
          <w:p w14:paraId="36437846">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单位名称</w:t>
            </w:r>
          </w:p>
        </w:tc>
        <w:tc>
          <w:tcPr>
            <w:tcW w:w="1800" w:type="dxa"/>
          </w:tcPr>
          <w:p w14:paraId="221025AB">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单位性质</w:t>
            </w:r>
          </w:p>
        </w:tc>
        <w:tc>
          <w:tcPr>
            <w:tcW w:w="1695" w:type="dxa"/>
          </w:tcPr>
          <w:p w14:paraId="55463DDA">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单位规格</w:t>
            </w:r>
          </w:p>
        </w:tc>
        <w:tc>
          <w:tcPr>
            <w:tcW w:w="2282" w:type="dxa"/>
          </w:tcPr>
          <w:p w14:paraId="5DB8E1DA">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经费保障形式</w:t>
            </w:r>
          </w:p>
        </w:tc>
      </w:tr>
      <w:tr w14:paraId="1B37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3348" w:type="dxa"/>
            <w:vAlign w:val="center"/>
          </w:tcPr>
          <w:p w14:paraId="07C93C0A">
            <w:pPr>
              <w:widowControl/>
              <w:spacing w:line="48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中共涞源县委政法委员会</w:t>
            </w:r>
          </w:p>
        </w:tc>
        <w:tc>
          <w:tcPr>
            <w:tcW w:w="1800" w:type="dxa"/>
            <w:vAlign w:val="center"/>
          </w:tcPr>
          <w:p w14:paraId="4739D43B">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行政</w:t>
            </w:r>
          </w:p>
        </w:tc>
        <w:tc>
          <w:tcPr>
            <w:tcW w:w="1695" w:type="dxa"/>
            <w:vAlign w:val="center"/>
          </w:tcPr>
          <w:p w14:paraId="4BCF80FF">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正科级</w:t>
            </w:r>
          </w:p>
        </w:tc>
        <w:tc>
          <w:tcPr>
            <w:tcW w:w="2282" w:type="dxa"/>
            <w:vAlign w:val="center"/>
          </w:tcPr>
          <w:p w14:paraId="3E9568F8">
            <w:pPr>
              <w:widowControl/>
              <w:spacing w:line="560" w:lineRule="atLeast"/>
              <w:jc w:val="center"/>
              <w:rPr>
                <w:rFonts w:asciiTheme="minorEastAsia" w:hAnsiTheme="minorEastAsia" w:eastAsiaTheme="minorEastAsia"/>
                <w:color w:val="484747"/>
                <w:kern w:val="0"/>
                <w:sz w:val="32"/>
                <w:szCs w:val="32"/>
              </w:rPr>
            </w:pPr>
            <w:r>
              <w:rPr>
                <w:rFonts w:hint="eastAsia" w:cs="仿宋" w:asciiTheme="minorEastAsia" w:hAnsiTheme="minorEastAsia" w:eastAsiaTheme="minorEastAsia"/>
                <w:color w:val="484747"/>
                <w:kern w:val="0"/>
                <w:sz w:val="32"/>
                <w:szCs w:val="32"/>
              </w:rPr>
              <w:t>财政拨款</w:t>
            </w:r>
          </w:p>
        </w:tc>
      </w:tr>
    </w:tbl>
    <w:p w14:paraId="22D6E828">
      <w:pPr>
        <w:widowControl/>
        <w:spacing w:line="560" w:lineRule="atLeast"/>
        <w:ind w:firstLine="640"/>
        <w:jc w:val="left"/>
        <w:rPr>
          <w:rFonts w:asciiTheme="minorEastAsia" w:hAnsiTheme="minorEastAsia" w:eastAsiaTheme="minorEastAsia"/>
          <w:color w:val="484747"/>
          <w:kern w:val="0"/>
          <w:sz w:val="32"/>
          <w:szCs w:val="32"/>
        </w:rPr>
      </w:pPr>
    </w:p>
    <w:p w14:paraId="472FEC63">
      <w:pPr>
        <w:spacing w:line="520" w:lineRule="exact"/>
        <w:ind w:left="1713" w:firstLine="321" w:firstLineChars="100"/>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第二部分：部门预算安排的总体情况</w:t>
      </w:r>
    </w:p>
    <w:p w14:paraId="5C635C22">
      <w:pPr>
        <w:spacing w:line="520" w:lineRule="exact"/>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1</w:t>
      </w:r>
      <w:r>
        <w:rPr>
          <w:rFonts w:hint="eastAsia" w:cs="仿宋" w:asciiTheme="minorEastAsia" w:hAnsiTheme="minorEastAsia" w:eastAsiaTheme="minorEastAsia"/>
          <w:sz w:val="32"/>
          <w:szCs w:val="32"/>
        </w:rPr>
        <w:t>、收入说明</w:t>
      </w:r>
    </w:p>
    <w:p w14:paraId="4CDBC5DF">
      <w:pPr>
        <w:ind w:firstLine="640" w:firstLineChars="200"/>
        <w:jc w:val="left"/>
        <w:rPr>
          <w:rFonts w:cs="仿宋" w:asciiTheme="minorEastAsia" w:hAnsiTheme="minorEastAsia" w:eastAsiaTheme="minorEastAsia"/>
          <w:sz w:val="32"/>
          <w:szCs w:val="32"/>
        </w:rPr>
      </w:pPr>
      <w:r>
        <w:rPr>
          <w:rFonts w:cs="仿宋" w:asciiTheme="minorEastAsia" w:hAnsiTheme="minorEastAsia" w:eastAsiaTheme="minorEastAsia"/>
          <w:sz w:val="32"/>
          <w:szCs w:val="32"/>
        </w:rPr>
        <w:t>2017</w:t>
      </w:r>
      <w:r>
        <w:rPr>
          <w:rFonts w:hint="eastAsia" w:cs="仿宋" w:asciiTheme="minorEastAsia" w:hAnsiTheme="minorEastAsia" w:eastAsiaTheme="minorEastAsia"/>
          <w:sz w:val="32"/>
          <w:szCs w:val="32"/>
        </w:rPr>
        <w:t>年涞源县</w:t>
      </w:r>
      <w:r>
        <w:rPr>
          <w:rFonts w:hint="eastAsia" w:cs="仿宋" w:asciiTheme="minorEastAsia" w:hAnsiTheme="minorEastAsia" w:eastAsiaTheme="minorEastAsia"/>
          <w:sz w:val="32"/>
          <w:szCs w:val="32"/>
          <w:lang w:eastAsia="zh-CN"/>
        </w:rPr>
        <w:t>委</w:t>
      </w:r>
      <w:r>
        <w:rPr>
          <w:rFonts w:hint="eastAsia" w:cs="仿宋" w:asciiTheme="minorEastAsia" w:hAnsiTheme="minorEastAsia" w:eastAsiaTheme="minorEastAsia"/>
          <w:sz w:val="32"/>
          <w:szCs w:val="32"/>
        </w:rPr>
        <w:t>政法委年初部门收入预算总额为</w:t>
      </w:r>
      <w:r>
        <w:rPr>
          <w:rFonts w:cs="仿宋" w:asciiTheme="minorEastAsia" w:hAnsiTheme="minorEastAsia" w:eastAsiaTheme="minorEastAsia"/>
          <w:sz w:val="32"/>
          <w:szCs w:val="32"/>
        </w:rPr>
        <w:t>239.27</w:t>
      </w:r>
      <w:r>
        <w:rPr>
          <w:rFonts w:hint="eastAsia" w:cs="仿宋" w:asciiTheme="minorEastAsia" w:hAnsiTheme="minorEastAsia" w:eastAsiaTheme="minorEastAsia"/>
          <w:sz w:val="32"/>
          <w:szCs w:val="32"/>
        </w:rPr>
        <w:t>万元。</w:t>
      </w:r>
      <w:r>
        <w:rPr>
          <w:rFonts w:cs="仿宋" w:asciiTheme="minorEastAsia" w:hAnsiTheme="minorEastAsia" w:eastAsiaTheme="minorEastAsia"/>
          <w:sz w:val="32"/>
          <w:szCs w:val="32"/>
        </w:rPr>
        <w:t xml:space="preserve"> </w:t>
      </w:r>
    </w:p>
    <w:p w14:paraId="07B53E47">
      <w:pPr>
        <w:spacing w:line="520" w:lineRule="exact"/>
        <w:ind w:firstLine="640" w:firstLineChars="200"/>
        <w:rPr>
          <w:rFonts w:asciiTheme="minorEastAsia" w:hAnsiTheme="minorEastAsia" w:eastAsiaTheme="minorEastAsia"/>
          <w:sz w:val="32"/>
          <w:szCs w:val="32"/>
        </w:rPr>
      </w:pPr>
      <w:r>
        <w:rPr>
          <w:rFonts w:hint="eastAsia" w:cs="仿宋" w:asciiTheme="minorEastAsia" w:hAnsiTheme="minorEastAsia" w:eastAsiaTheme="minorEastAsia"/>
          <w:sz w:val="32"/>
          <w:szCs w:val="32"/>
        </w:rPr>
        <w:t>其中：一般公共预算收入</w:t>
      </w:r>
      <w:r>
        <w:rPr>
          <w:rFonts w:cs="仿宋" w:asciiTheme="minorEastAsia" w:hAnsiTheme="minorEastAsia" w:eastAsiaTheme="minorEastAsia"/>
          <w:sz w:val="32"/>
          <w:szCs w:val="32"/>
        </w:rPr>
        <w:t>239.27</w:t>
      </w:r>
      <w:r>
        <w:rPr>
          <w:rFonts w:hint="eastAsia" w:cs="仿宋" w:asciiTheme="minorEastAsia" w:hAnsiTheme="minorEastAsia" w:eastAsiaTheme="minorEastAsia"/>
          <w:sz w:val="32"/>
          <w:szCs w:val="32"/>
        </w:rPr>
        <w:t>万元。</w:t>
      </w:r>
    </w:p>
    <w:p w14:paraId="6FED6BEE">
      <w:pPr>
        <w:spacing w:line="520" w:lineRule="exact"/>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2</w:t>
      </w:r>
      <w:r>
        <w:rPr>
          <w:rFonts w:hint="eastAsia" w:cs="仿宋" w:asciiTheme="minorEastAsia" w:hAnsiTheme="minorEastAsia" w:eastAsiaTheme="minorEastAsia"/>
          <w:sz w:val="32"/>
          <w:szCs w:val="32"/>
        </w:rPr>
        <w:t>、支出说明</w:t>
      </w:r>
    </w:p>
    <w:p w14:paraId="2A8F8F35">
      <w:pPr>
        <w:spacing w:line="520" w:lineRule="exact"/>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2017</w:t>
      </w:r>
      <w:r>
        <w:rPr>
          <w:rFonts w:hint="eastAsia" w:cs="仿宋" w:asciiTheme="minorEastAsia" w:hAnsiTheme="minorEastAsia" w:eastAsiaTheme="minorEastAsia"/>
          <w:sz w:val="32"/>
          <w:szCs w:val="32"/>
        </w:rPr>
        <w:t>年部门支出安排预算总额</w:t>
      </w:r>
      <w:r>
        <w:rPr>
          <w:rFonts w:cs="仿宋" w:asciiTheme="minorEastAsia" w:hAnsiTheme="minorEastAsia" w:eastAsiaTheme="minorEastAsia"/>
          <w:sz w:val="32"/>
          <w:szCs w:val="32"/>
        </w:rPr>
        <w:t>239.27</w:t>
      </w:r>
      <w:r>
        <w:rPr>
          <w:rFonts w:hint="eastAsia" w:cs="仿宋" w:asciiTheme="minorEastAsia" w:hAnsiTheme="minorEastAsia" w:eastAsiaTheme="minorEastAsia"/>
          <w:sz w:val="32"/>
          <w:szCs w:val="32"/>
        </w:rPr>
        <w:t>万元。</w:t>
      </w:r>
    </w:p>
    <w:p w14:paraId="47E48EB8">
      <w:pPr>
        <w:spacing w:line="520" w:lineRule="exact"/>
        <w:ind w:firstLine="640" w:firstLineChars="200"/>
        <w:rPr>
          <w:rFonts w:asciiTheme="minorEastAsia" w:hAnsiTheme="minorEastAsia" w:eastAsiaTheme="minorEastAsia"/>
          <w:sz w:val="32"/>
          <w:szCs w:val="32"/>
        </w:rPr>
      </w:pPr>
      <w:r>
        <w:rPr>
          <w:rFonts w:hint="eastAsia" w:cs="仿宋" w:asciiTheme="minorEastAsia" w:hAnsiTheme="minorEastAsia" w:eastAsiaTheme="minorEastAsia"/>
          <w:sz w:val="32"/>
          <w:szCs w:val="32"/>
        </w:rPr>
        <w:t>基本支出</w:t>
      </w:r>
      <w:r>
        <w:rPr>
          <w:rFonts w:cs="仿宋" w:asciiTheme="minorEastAsia" w:hAnsiTheme="minorEastAsia" w:eastAsiaTheme="minorEastAsia"/>
          <w:sz w:val="32"/>
          <w:szCs w:val="32"/>
        </w:rPr>
        <w:t xml:space="preserve"> 194.00</w:t>
      </w:r>
      <w:r>
        <w:rPr>
          <w:rFonts w:hint="eastAsia" w:cs="仿宋" w:asciiTheme="minorEastAsia" w:hAnsiTheme="minorEastAsia" w:eastAsiaTheme="minorEastAsia"/>
          <w:sz w:val="32"/>
          <w:szCs w:val="32"/>
        </w:rPr>
        <w:t>万元</w:t>
      </w:r>
    </w:p>
    <w:p w14:paraId="304D9699">
      <w:pPr>
        <w:spacing w:line="520" w:lineRule="exact"/>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 xml:space="preserve">   </w:t>
      </w:r>
      <w:r>
        <w:rPr>
          <w:rFonts w:hint="eastAsia" w:cs="仿宋" w:asciiTheme="minorEastAsia" w:hAnsiTheme="minorEastAsia" w:eastAsiaTheme="minorEastAsia"/>
          <w:sz w:val="32"/>
          <w:szCs w:val="32"/>
        </w:rPr>
        <w:t>其中：人员经费</w:t>
      </w:r>
      <w:r>
        <w:rPr>
          <w:rFonts w:cs="仿宋" w:asciiTheme="minorEastAsia" w:hAnsiTheme="minorEastAsia" w:eastAsiaTheme="minorEastAsia"/>
          <w:sz w:val="32"/>
          <w:szCs w:val="32"/>
        </w:rPr>
        <w:t>156.14</w:t>
      </w:r>
      <w:r>
        <w:rPr>
          <w:rFonts w:hint="eastAsia" w:cs="仿宋" w:asciiTheme="minorEastAsia" w:hAnsiTheme="minorEastAsia" w:eastAsiaTheme="minorEastAsia"/>
          <w:sz w:val="32"/>
          <w:szCs w:val="32"/>
        </w:rPr>
        <w:t>万元</w:t>
      </w:r>
    </w:p>
    <w:p w14:paraId="087D5BD5">
      <w:pPr>
        <w:spacing w:line="520" w:lineRule="exact"/>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 xml:space="preserve">         </w:t>
      </w:r>
      <w:r>
        <w:rPr>
          <w:rFonts w:hint="eastAsia" w:cs="仿宋" w:asciiTheme="minorEastAsia" w:hAnsiTheme="minorEastAsia" w:eastAsiaTheme="minorEastAsia"/>
          <w:sz w:val="32"/>
          <w:szCs w:val="32"/>
        </w:rPr>
        <w:t>日常公用经费</w:t>
      </w:r>
      <w:r>
        <w:rPr>
          <w:rFonts w:cs="仿宋" w:asciiTheme="minorEastAsia" w:hAnsiTheme="minorEastAsia" w:eastAsiaTheme="minorEastAsia"/>
          <w:sz w:val="32"/>
          <w:szCs w:val="32"/>
        </w:rPr>
        <w:t>37.86</w:t>
      </w:r>
      <w:r>
        <w:rPr>
          <w:rFonts w:hint="eastAsia" w:cs="仿宋" w:asciiTheme="minorEastAsia" w:hAnsiTheme="minorEastAsia" w:eastAsiaTheme="minorEastAsia"/>
          <w:sz w:val="32"/>
          <w:szCs w:val="32"/>
        </w:rPr>
        <w:t>万元</w:t>
      </w:r>
    </w:p>
    <w:p w14:paraId="3D224180">
      <w:pPr>
        <w:spacing w:line="520" w:lineRule="exact"/>
        <w:ind w:firstLine="640" w:firstLineChars="200"/>
        <w:rPr>
          <w:rFonts w:asciiTheme="minorEastAsia" w:hAnsiTheme="minorEastAsia" w:eastAsiaTheme="minorEastAsia"/>
          <w:sz w:val="32"/>
          <w:szCs w:val="32"/>
        </w:rPr>
      </w:pPr>
      <w:r>
        <w:rPr>
          <w:rFonts w:hint="eastAsia" w:cs="仿宋" w:asciiTheme="minorEastAsia" w:hAnsiTheme="minorEastAsia" w:eastAsiaTheme="minorEastAsia"/>
          <w:sz w:val="32"/>
          <w:szCs w:val="32"/>
        </w:rPr>
        <w:t>项目支出</w:t>
      </w:r>
      <w:r>
        <w:rPr>
          <w:rFonts w:cs="仿宋" w:asciiTheme="minorEastAsia" w:hAnsiTheme="minorEastAsia" w:eastAsiaTheme="minorEastAsia"/>
          <w:sz w:val="32"/>
          <w:szCs w:val="32"/>
        </w:rPr>
        <w:t xml:space="preserve">  45.27</w:t>
      </w:r>
      <w:r>
        <w:rPr>
          <w:rFonts w:hint="eastAsia" w:cs="仿宋" w:asciiTheme="minorEastAsia" w:hAnsiTheme="minorEastAsia" w:eastAsiaTheme="minorEastAsia"/>
          <w:sz w:val="32"/>
          <w:szCs w:val="32"/>
        </w:rPr>
        <w:t>万元</w:t>
      </w:r>
    </w:p>
    <w:p w14:paraId="79E93A60">
      <w:pPr>
        <w:spacing w:line="520" w:lineRule="exact"/>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 xml:space="preserve">   </w:t>
      </w:r>
      <w:r>
        <w:rPr>
          <w:rFonts w:hint="eastAsia" w:cs="仿宋" w:asciiTheme="minorEastAsia" w:hAnsiTheme="minorEastAsia" w:eastAsiaTheme="minorEastAsia"/>
          <w:sz w:val="32"/>
          <w:szCs w:val="32"/>
        </w:rPr>
        <w:t>其中：本级支出</w:t>
      </w:r>
      <w:r>
        <w:rPr>
          <w:rFonts w:cs="仿宋" w:asciiTheme="minorEastAsia" w:hAnsiTheme="minorEastAsia" w:eastAsiaTheme="minorEastAsia"/>
          <w:sz w:val="32"/>
          <w:szCs w:val="32"/>
        </w:rPr>
        <w:t>239.27</w:t>
      </w:r>
      <w:r>
        <w:rPr>
          <w:rFonts w:hint="eastAsia" w:cs="仿宋" w:asciiTheme="minorEastAsia" w:hAnsiTheme="minorEastAsia" w:eastAsiaTheme="minorEastAsia"/>
          <w:sz w:val="32"/>
          <w:szCs w:val="32"/>
        </w:rPr>
        <w:t>万元</w:t>
      </w:r>
    </w:p>
    <w:p w14:paraId="4925256B">
      <w:pPr>
        <w:tabs>
          <w:tab w:val="left" w:pos="916"/>
        </w:tabs>
        <w:spacing w:line="560" w:lineRule="exact"/>
        <w:ind w:firstLine="640" w:firstLineChars="200"/>
        <w:jc w:val="left"/>
        <w:rPr>
          <w:rFonts w:asciiTheme="minorEastAsia" w:hAnsiTheme="minorEastAsia" w:eastAsiaTheme="minorEastAsia"/>
          <w:sz w:val="32"/>
          <w:szCs w:val="32"/>
        </w:rPr>
      </w:pPr>
      <w:r>
        <w:rPr>
          <w:rFonts w:cs="仿宋" w:asciiTheme="minorEastAsia" w:hAnsiTheme="minorEastAsia" w:eastAsiaTheme="minorEastAsia"/>
          <w:sz w:val="32"/>
          <w:szCs w:val="32"/>
        </w:rPr>
        <w:t>3</w:t>
      </w:r>
      <w:r>
        <w:rPr>
          <w:rFonts w:hint="eastAsia" w:cs="仿宋" w:asciiTheme="minorEastAsia" w:hAnsiTheme="minorEastAsia" w:eastAsiaTheme="minorEastAsia"/>
          <w:sz w:val="32"/>
          <w:szCs w:val="32"/>
        </w:rPr>
        <w:t>、比上年增减情况</w:t>
      </w:r>
    </w:p>
    <w:p w14:paraId="03897CC2">
      <w:pPr>
        <w:tabs>
          <w:tab w:val="left" w:pos="916"/>
        </w:tabs>
        <w:spacing w:line="560" w:lineRule="exact"/>
        <w:jc w:val="left"/>
        <w:rPr>
          <w:rFonts w:asciiTheme="minorEastAsia" w:hAnsiTheme="minorEastAsia" w:eastAsiaTheme="minorEastAsia"/>
          <w:sz w:val="32"/>
          <w:szCs w:val="32"/>
        </w:rPr>
      </w:pPr>
      <w:r>
        <w:rPr>
          <w:rFonts w:hint="eastAsia" w:cs="仿宋" w:asciiTheme="minorEastAsia" w:hAnsiTheme="minorEastAsia" w:eastAsiaTheme="minorEastAsia"/>
          <w:sz w:val="32"/>
          <w:szCs w:val="32"/>
        </w:rPr>
        <w:t>　　本年度预算收支安排</w:t>
      </w:r>
      <w:r>
        <w:rPr>
          <w:rFonts w:cs="仿宋" w:asciiTheme="minorEastAsia" w:hAnsiTheme="minorEastAsia" w:eastAsiaTheme="minorEastAsia"/>
          <w:sz w:val="32"/>
          <w:szCs w:val="32"/>
        </w:rPr>
        <w:t>239.27</w:t>
      </w:r>
      <w:r>
        <w:rPr>
          <w:rFonts w:hint="eastAsia" w:cs="仿宋" w:asciiTheme="minorEastAsia" w:hAnsiTheme="minorEastAsia" w:eastAsiaTheme="minorEastAsia"/>
          <w:sz w:val="32"/>
          <w:szCs w:val="32"/>
        </w:rPr>
        <w:t>万元，较上年增加</w:t>
      </w:r>
      <w:r>
        <w:rPr>
          <w:rFonts w:cs="仿宋" w:asciiTheme="minorEastAsia" w:hAnsiTheme="minorEastAsia" w:eastAsiaTheme="minorEastAsia"/>
          <w:sz w:val="32"/>
          <w:szCs w:val="32"/>
        </w:rPr>
        <w:t>35.25</w:t>
      </w:r>
      <w:r>
        <w:rPr>
          <w:rFonts w:hint="eastAsia" w:cs="仿宋" w:asciiTheme="minorEastAsia" w:hAnsiTheme="minorEastAsia" w:eastAsiaTheme="minorEastAsia"/>
          <w:sz w:val="32"/>
          <w:szCs w:val="32"/>
        </w:rPr>
        <w:t>万元。其中</w:t>
      </w:r>
      <w:r>
        <w:rPr>
          <w:rFonts w:cs="仿宋" w:asciiTheme="minorEastAsia" w:hAnsiTheme="minorEastAsia" w:eastAsiaTheme="minorEastAsia"/>
          <w:sz w:val="32"/>
          <w:szCs w:val="32"/>
        </w:rPr>
        <w:t>:</w:t>
      </w:r>
      <w:r>
        <w:rPr>
          <w:rFonts w:cs="仿宋_GB2312" w:asciiTheme="minorEastAsia" w:hAnsiTheme="minorEastAsia" w:eastAsiaTheme="minorEastAsia"/>
          <w:sz w:val="32"/>
          <w:szCs w:val="32"/>
        </w:rPr>
        <w:t xml:space="preserve"> </w:t>
      </w:r>
      <w:r>
        <w:rPr>
          <w:rFonts w:hint="eastAsia" w:cs="仿宋" w:asciiTheme="minorEastAsia" w:hAnsiTheme="minorEastAsia" w:eastAsiaTheme="minorEastAsia"/>
          <w:sz w:val="32"/>
          <w:szCs w:val="32"/>
        </w:rPr>
        <w:t>基本支出增加</w:t>
      </w:r>
      <w:r>
        <w:rPr>
          <w:rFonts w:cs="仿宋" w:asciiTheme="minorEastAsia" w:hAnsiTheme="minorEastAsia" w:eastAsiaTheme="minorEastAsia"/>
          <w:sz w:val="32"/>
          <w:szCs w:val="32"/>
        </w:rPr>
        <w:t>16.98</w:t>
      </w:r>
      <w:r>
        <w:rPr>
          <w:rFonts w:hint="eastAsia" w:cs="仿宋" w:asciiTheme="minorEastAsia" w:hAnsiTheme="minorEastAsia" w:eastAsiaTheme="minorEastAsia"/>
          <w:sz w:val="32"/>
          <w:szCs w:val="32"/>
        </w:rPr>
        <w:t>万元，主要增加人员经费支出</w:t>
      </w:r>
      <w:r>
        <w:rPr>
          <w:rFonts w:cs="仿宋" w:asciiTheme="minorEastAsia" w:hAnsiTheme="minorEastAsia" w:eastAsiaTheme="minorEastAsia"/>
          <w:sz w:val="32"/>
          <w:szCs w:val="32"/>
        </w:rPr>
        <w:t>16.98</w:t>
      </w:r>
      <w:r>
        <w:rPr>
          <w:rFonts w:hint="eastAsia" w:cs="仿宋" w:asciiTheme="minorEastAsia" w:hAnsiTheme="minorEastAsia" w:eastAsiaTheme="minorEastAsia"/>
          <w:sz w:val="32"/>
          <w:szCs w:val="32"/>
        </w:rPr>
        <w:t>万元（调资增长）；项目支出增加</w:t>
      </w:r>
      <w:r>
        <w:rPr>
          <w:rFonts w:cs="仿宋" w:asciiTheme="minorEastAsia" w:hAnsiTheme="minorEastAsia" w:eastAsiaTheme="minorEastAsia"/>
          <w:sz w:val="32"/>
          <w:szCs w:val="32"/>
        </w:rPr>
        <w:t>18.27</w:t>
      </w:r>
      <w:r>
        <w:rPr>
          <w:rFonts w:hint="eastAsia" w:cs="仿宋" w:asciiTheme="minorEastAsia" w:hAnsiTheme="minorEastAsia" w:eastAsiaTheme="minorEastAsia"/>
          <w:sz w:val="32"/>
          <w:szCs w:val="32"/>
        </w:rPr>
        <w:t>万元，主要增加护路经费项目支出。</w:t>
      </w:r>
    </w:p>
    <w:p w14:paraId="7383E6AC">
      <w:pPr>
        <w:spacing w:line="520" w:lineRule="exact"/>
        <w:jc w:val="center"/>
        <w:outlineLvl w:val="0"/>
        <w:rPr>
          <w:rFonts w:asciiTheme="minorEastAsia" w:hAnsiTheme="minorEastAsia" w:eastAsiaTheme="minorEastAsia"/>
          <w:b/>
          <w:bCs/>
          <w:sz w:val="32"/>
          <w:szCs w:val="32"/>
        </w:rPr>
      </w:pPr>
    </w:p>
    <w:p w14:paraId="1F69D1AA">
      <w:pPr>
        <w:spacing w:line="520" w:lineRule="exact"/>
        <w:jc w:val="center"/>
        <w:outlineLvl w:val="0"/>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第三部分：机关运行经费安排情况</w:t>
      </w:r>
    </w:p>
    <w:p w14:paraId="58741A25">
      <w:pPr>
        <w:spacing w:line="520" w:lineRule="exact"/>
        <w:jc w:val="center"/>
        <w:outlineLvl w:val="0"/>
        <w:rPr>
          <w:rFonts w:asciiTheme="minorEastAsia" w:hAnsiTheme="minorEastAsia" w:eastAsiaTheme="minorEastAsia"/>
          <w:b/>
          <w:bCs/>
          <w:sz w:val="32"/>
          <w:szCs w:val="32"/>
        </w:rPr>
      </w:pPr>
    </w:p>
    <w:p w14:paraId="2D3A3A83">
      <w:pPr>
        <w:spacing w:line="520" w:lineRule="exact"/>
        <w:ind w:firstLine="640" w:firstLineChars="200"/>
        <w:jc w:val="left"/>
        <w:outlineLvl w:val="0"/>
        <w:rPr>
          <w:rFonts w:asciiTheme="minorEastAsia" w:hAnsiTheme="minorEastAsia" w:eastAsiaTheme="minorEastAsia"/>
          <w:sz w:val="32"/>
          <w:szCs w:val="32"/>
        </w:rPr>
      </w:pPr>
      <w:r>
        <w:rPr>
          <w:rFonts w:hint="eastAsia" w:cs="仿宋" w:asciiTheme="minorEastAsia" w:hAnsiTheme="minorEastAsia" w:eastAsiaTheme="minorEastAsia"/>
          <w:sz w:val="32"/>
          <w:szCs w:val="32"/>
        </w:rPr>
        <w:t>涞源县</w:t>
      </w:r>
      <w:r>
        <w:rPr>
          <w:rFonts w:hint="eastAsia" w:cs="仿宋" w:asciiTheme="minorEastAsia" w:hAnsiTheme="minorEastAsia" w:eastAsiaTheme="minorEastAsia"/>
          <w:sz w:val="32"/>
          <w:szCs w:val="32"/>
          <w:lang w:eastAsia="zh-CN"/>
        </w:rPr>
        <w:t>委</w:t>
      </w:r>
      <w:r>
        <w:rPr>
          <w:rFonts w:hint="eastAsia" w:cs="仿宋" w:asciiTheme="minorEastAsia" w:hAnsiTheme="minorEastAsia" w:eastAsiaTheme="minorEastAsia"/>
          <w:sz w:val="32"/>
          <w:szCs w:val="32"/>
        </w:rPr>
        <w:t>政法委机关运行经费安排</w:t>
      </w:r>
      <w:r>
        <w:rPr>
          <w:rFonts w:cs="仿宋" w:asciiTheme="minorEastAsia" w:hAnsiTheme="minorEastAsia" w:eastAsiaTheme="minorEastAsia"/>
          <w:sz w:val="32"/>
          <w:szCs w:val="32"/>
        </w:rPr>
        <w:t>37.86</w:t>
      </w:r>
      <w:r>
        <w:rPr>
          <w:rFonts w:hint="eastAsia" w:cs="仿宋" w:asciiTheme="minorEastAsia" w:hAnsiTheme="minorEastAsia" w:eastAsiaTheme="minorEastAsia"/>
          <w:sz w:val="32"/>
          <w:szCs w:val="32"/>
        </w:rPr>
        <w:t>万元，其中办公费</w:t>
      </w:r>
      <w:r>
        <w:rPr>
          <w:rFonts w:cs="仿宋" w:asciiTheme="minorEastAsia" w:hAnsiTheme="minorEastAsia" w:eastAsiaTheme="minorEastAsia"/>
          <w:sz w:val="32"/>
          <w:szCs w:val="32"/>
        </w:rPr>
        <w:t>7.06</w:t>
      </w:r>
      <w:r>
        <w:rPr>
          <w:rFonts w:hint="eastAsia" w:cs="仿宋" w:asciiTheme="minorEastAsia" w:hAnsiTheme="minorEastAsia" w:eastAsiaTheme="minorEastAsia"/>
          <w:sz w:val="32"/>
          <w:szCs w:val="32"/>
        </w:rPr>
        <w:t>万元，电费</w:t>
      </w:r>
      <w:r>
        <w:rPr>
          <w:rFonts w:cs="仿宋" w:asciiTheme="minorEastAsia" w:hAnsiTheme="minorEastAsia" w:eastAsiaTheme="minorEastAsia"/>
          <w:sz w:val="32"/>
          <w:szCs w:val="32"/>
        </w:rPr>
        <w:t>1.3</w:t>
      </w:r>
      <w:r>
        <w:rPr>
          <w:rFonts w:hint="eastAsia" w:cs="仿宋" w:asciiTheme="minorEastAsia" w:hAnsiTheme="minorEastAsia" w:eastAsiaTheme="minorEastAsia"/>
          <w:sz w:val="32"/>
          <w:szCs w:val="32"/>
        </w:rPr>
        <w:t>万元，邮电费</w:t>
      </w:r>
      <w:r>
        <w:rPr>
          <w:rFonts w:cs="仿宋" w:asciiTheme="minorEastAsia" w:hAnsiTheme="minorEastAsia" w:eastAsiaTheme="minorEastAsia"/>
          <w:sz w:val="32"/>
          <w:szCs w:val="32"/>
        </w:rPr>
        <w:t>0.9</w:t>
      </w:r>
      <w:r>
        <w:rPr>
          <w:rFonts w:hint="eastAsia" w:cs="仿宋" w:asciiTheme="minorEastAsia" w:hAnsiTheme="minorEastAsia" w:eastAsiaTheme="minorEastAsia"/>
          <w:sz w:val="32"/>
          <w:szCs w:val="32"/>
        </w:rPr>
        <w:t>万元，差旅费</w:t>
      </w:r>
      <w:r>
        <w:rPr>
          <w:rFonts w:cs="仿宋" w:asciiTheme="minorEastAsia" w:hAnsiTheme="minorEastAsia" w:eastAsiaTheme="minorEastAsia"/>
          <w:sz w:val="32"/>
          <w:szCs w:val="32"/>
        </w:rPr>
        <w:t>2.6</w:t>
      </w:r>
      <w:r>
        <w:rPr>
          <w:rFonts w:hint="eastAsia" w:cs="仿宋" w:asciiTheme="minorEastAsia" w:hAnsiTheme="minorEastAsia" w:eastAsiaTheme="minorEastAsia"/>
          <w:sz w:val="32"/>
          <w:szCs w:val="32"/>
        </w:rPr>
        <w:t>万元，公务接待费</w:t>
      </w:r>
      <w:r>
        <w:rPr>
          <w:rFonts w:cs="仿宋" w:asciiTheme="minorEastAsia" w:hAnsiTheme="minorEastAsia" w:eastAsiaTheme="minorEastAsia"/>
          <w:sz w:val="32"/>
          <w:szCs w:val="32"/>
        </w:rPr>
        <w:t>20</w:t>
      </w:r>
      <w:r>
        <w:rPr>
          <w:rFonts w:hint="eastAsia" w:cs="仿宋" w:asciiTheme="minorEastAsia" w:hAnsiTheme="minorEastAsia" w:eastAsiaTheme="minorEastAsia"/>
          <w:sz w:val="32"/>
          <w:szCs w:val="32"/>
        </w:rPr>
        <w:t>万元，一般会议费</w:t>
      </w:r>
      <w:r>
        <w:rPr>
          <w:rFonts w:cs="仿宋" w:asciiTheme="minorEastAsia" w:hAnsiTheme="minorEastAsia" w:eastAsiaTheme="minorEastAsia"/>
          <w:sz w:val="32"/>
          <w:szCs w:val="32"/>
        </w:rPr>
        <w:t>2</w:t>
      </w:r>
      <w:r>
        <w:rPr>
          <w:rFonts w:hint="eastAsia" w:cs="仿宋" w:asciiTheme="minorEastAsia" w:hAnsiTheme="minorEastAsia" w:eastAsiaTheme="minorEastAsia"/>
          <w:sz w:val="32"/>
          <w:szCs w:val="32"/>
        </w:rPr>
        <w:t>万元，公务用车运行维护费</w:t>
      </w:r>
      <w:r>
        <w:rPr>
          <w:rFonts w:cs="仿宋" w:asciiTheme="minorEastAsia" w:hAnsiTheme="minorEastAsia" w:eastAsiaTheme="minorEastAsia"/>
          <w:sz w:val="32"/>
          <w:szCs w:val="32"/>
        </w:rPr>
        <w:t>4</w:t>
      </w:r>
      <w:r>
        <w:rPr>
          <w:rFonts w:hint="eastAsia" w:cs="仿宋" w:asciiTheme="minorEastAsia" w:hAnsiTheme="minorEastAsia" w:eastAsiaTheme="minorEastAsia"/>
          <w:sz w:val="32"/>
          <w:szCs w:val="32"/>
        </w:rPr>
        <w:t>万元。</w:t>
      </w:r>
    </w:p>
    <w:p w14:paraId="320D7920">
      <w:pPr>
        <w:spacing w:line="520" w:lineRule="exact"/>
        <w:ind w:firstLine="640" w:firstLineChars="200"/>
        <w:jc w:val="left"/>
        <w:outlineLvl w:val="0"/>
        <w:rPr>
          <w:rFonts w:asciiTheme="minorEastAsia" w:hAnsiTheme="minorEastAsia" w:eastAsiaTheme="minorEastAsia"/>
          <w:sz w:val="32"/>
          <w:szCs w:val="32"/>
        </w:rPr>
      </w:pPr>
    </w:p>
    <w:p w14:paraId="114B341F">
      <w:pPr>
        <w:spacing w:line="520" w:lineRule="exact"/>
        <w:jc w:val="center"/>
        <w:outlineLvl w:val="0"/>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第四部分：财政拨款“三公”经费预算情况及增减变化原因</w:t>
      </w:r>
    </w:p>
    <w:p w14:paraId="68E7EAEE">
      <w:pPr>
        <w:spacing w:line="520" w:lineRule="exact"/>
        <w:jc w:val="center"/>
        <w:outlineLvl w:val="0"/>
        <w:rPr>
          <w:rFonts w:asciiTheme="minorEastAsia" w:hAnsiTheme="minorEastAsia" w:eastAsiaTheme="minorEastAsia"/>
          <w:b/>
          <w:bCs/>
          <w:sz w:val="32"/>
          <w:szCs w:val="32"/>
        </w:rPr>
      </w:pPr>
    </w:p>
    <w:tbl>
      <w:tblPr>
        <w:tblStyle w:val="4"/>
        <w:tblW w:w="9855" w:type="dxa"/>
        <w:tblInd w:w="-106" w:type="dxa"/>
        <w:tblLayout w:type="fixed"/>
        <w:tblCellMar>
          <w:top w:w="0" w:type="dxa"/>
          <w:left w:w="108" w:type="dxa"/>
          <w:bottom w:w="0" w:type="dxa"/>
          <w:right w:w="108" w:type="dxa"/>
        </w:tblCellMar>
      </w:tblPr>
      <w:tblGrid>
        <w:gridCol w:w="2136"/>
        <w:gridCol w:w="1716"/>
        <w:gridCol w:w="1716"/>
        <w:gridCol w:w="1176"/>
        <w:gridCol w:w="3111"/>
      </w:tblGrid>
      <w:tr w14:paraId="7FB7B6C1">
        <w:tblPrEx>
          <w:tblCellMar>
            <w:top w:w="0" w:type="dxa"/>
            <w:left w:w="108" w:type="dxa"/>
            <w:bottom w:w="0" w:type="dxa"/>
            <w:right w:w="108" w:type="dxa"/>
          </w:tblCellMar>
        </w:tblPrEx>
        <w:trPr>
          <w:trHeight w:val="405" w:hRule="atLeast"/>
        </w:trPr>
        <w:tc>
          <w:tcPr>
            <w:tcW w:w="9855" w:type="dxa"/>
            <w:gridSpan w:val="5"/>
            <w:tcBorders>
              <w:top w:val="nil"/>
              <w:left w:val="nil"/>
              <w:bottom w:val="nil"/>
              <w:right w:val="nil"/>
            </w:tcBorders>
            <w:vAlign w:val="center"/>
          </w:tcPr>
          <w:p w14:paraId="32AF0A20">
            <w:pPr>
              <w:widowControl/>
              <w:spacing w:line="520" w:lineRule="exact"/>
              <w:ind w:firstLine="640" w:firstLineChars="200"/>
              <w:jc w:val="center"/>
              <w:rPr>
                <w:rFonts w:asciiTheme="minorEastAsia" w:hAnsiTheme="minorEastAsia" w:eastAsiaTheme="minorEastAsia"/>
                <w:kern w:val="0"/>
                <w:sz w:val="32"/>
                <w:szCs w:val="32"/>
              </w:rPr>
            </w:pPr>
            <w:r>
              <w:rPr>
                <w:rFonts w:hint="eastAsia" w:cs="黑体" w:asciiTheme="minorEastAsia" w:hAnsiTheme="minorEastAsia" w:eastAsiaTheme="minorEastAsia"/>
                <w:sz w:val="32"/>
                <w:szCs w:val="32"/>
              </w:rPr>
              <w:t>“三公”经费预算情况</w:t>
            </w:r>
          </w:p>
        </w:tc>
      </w:tr>
      <w:tr w14:paraId="63F7656F">
        <w:tblPrEx>
          <w:tblCellMar>
            <w:top w:w="0" w:type="dxa"/>
            <w:left w:w="108" w:type="dxa"/>
            <w:bottom w:w="0" w:type="dxa"/>
            <w:right w:w="108" w:type="dxa"/>
          </w:tblCellMar>
        </w:tblPrEx>
        <w:trPr>
          <w:trHeight w:val="285" w:hRule="atLeast"/>
        </w:trPr>
        <w:tc>
          <w:tcPr>
            <w:tcW w:w="2136" w:type="dxa"/>
            <w:tcBorders>
              <w:top w:val="nil"/>
              <w:left w:val="nil"/>
              <w:bottom w:val="nil"/>
              <w:right w:val="nil"/>
            </w:tcBorders>
            <w:vAlign w:val="center"/>
          </w:tcPr>
          <w:p w14:paraId="10387627">
            <w:pPr>
              <w:widowControl/>
              <w:jc w:val="left"/>
              <w:rPr>
                <w:rFonts w:asciiTheme="minorEastAsia" w:hAnsiTheme="minorEastAsia" w:eastAsiaTheme="minorEastAsia"/>
                <w:kern w:val="0"/>
                <w:sz w:val="24"/>
                <w:szCs w:val="24"/>
              </w:rPr>
            </w:pPr>
          </w:p>
        </w:tc>
        <w:tc>
          <w:tcPr>
            <w:tcW w:w="1716" w:type="dxa"/>
            <w:tcBorders>
              <w:top w:val="nil"/>
              <w:left w:val="nil"/>
              <w:bottom w:val="nil"/>
              <w:right w:val="nil"/>
            </w:tcBorders>
            <w:vAlign w:val="center"/>
          </w:tcPr>
          <w:p w14:paraId="2EA30CE4">
            <w:pPr>
              <w:widowControl/>
              <w:jc w:val="left"/>
              <w:rPr>
                <w:rFonts w:asciiTheme="minorEastAsia" w:hAnsiTheme="minorEastAsia" w:eastAsiaTheme="minorEastAsia"/>
                <w:kern w:val="0"/>
                <w:sz w:val="24"/>
                <w:szCs w:val="24"/>
              </w:rPr>
            </w:pPr>
          </w:p>
        </w:tc>
        <w:tc>
          <w:tcPr>
            <w:tcW w:w="1716" w:type="dxa"/>
            <w:tcBorders>
              <w:top w:val="nil"/>
              <w:left w:val="nil"/>
              <w:bottom w:val="nil"/>
              <w:right w:val="nil"/>
            </w:tcBorders>
            <w:vAlign w:val="center"/>
          </w:tcPr>
          <w:p w14:paraId="70CF9D43">
            <w:pPr>
              <w:widowControl/>
              <w:jc w:val="left"/>
              <w:rPr>
                <w:rFonts w:asciiTheme="minorEastAsia" w:hAnsiTheme="minorEastAsia" w:eastAsiaTheme="minorEastAsia"/>
                <w:kern w:val="0"/>
                <w:sz w:val="24"/>
                <w:szCs w:val="24"/>
              </w:rPr>
            </w:pPr>
          </w:p>
        </w:tc>
        <w:tc>
          <w:tcPr>
            <w:tcW w:w="1176" w:type="dxa"/>
            <w:tcBorders>
              <w:top w:val="nil"/>
              <w:left w:val="nil"/>
              <w:bottom w:val="nil"/>
              <w:right w:val="nil"/>
            </w:tcBorders>
            <w:vAlign w:val="center"/>
          </w:tcPr>
          <w:p w14:paraId="20FA278F">
            <w:pPr>
              <w:widowControl/>
              <w:jc w:val="left"/>
              <w:rPr>
                <w:rFonts w:asciiTheme="minorEastAsia" w:hAnsiTheme="minorEastAsia" w:eastAsiaTheme="minorEastAsia"/>
                <w:kern w:val="0"/>
                <w:sz w:val="24"/>
                <w:szCs w:val="24"/>
              </w:rPr>
            </w:pPr>
          </w:p>
        </w:tc>
        <w:tc>
          <w:tcPr>
            <w:tcW w:w="3111" w:type="dxa"/>
            <w:tcBorders>
              <w:top w:val="nil"/>
              <w:left w:val="nil"/>
              <w:bottom w:val="nil"/>
              <w:right w:val="nil"/>
            </w:tcBorders>
            <w:vAlign w:val="center"/>
          </w:tcPr>
          <w:p w14:paraId="40F09B7D">
            <w:pPr>
              <w:widowControl/>
              <w:jc w:val="right"/>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单位：万元</w:t>
            </w:r>
          </w:p>
        </w:tc>
      </w:tr>
      <w:tr w14:paraId="66E69E37">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14:paraId="59F55441">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项目名称</w:t>
            </w:r>
          </w:p>
        </w:tc>
        <w:tc>
          <w:tcPr>
            <w:tcW w:w="1716" w:type="dxa"/>
            <w:tcBorders>
              <w:top w:val="single" w:color="auto" w:sz="4" w:space="0"/>
              <w:left w:val="nil"/>
              <w:bottom w:val="single" w:color="auto" w:sz="4" w:space="0"/>
              <w:right w:val="single" w:color="auto" w:sz="4" w:space="0"/>
            </w:tcBorders>
            <w:vAlign w:val="center"/>
          </w:tcPr>
          <w:p w14:paraId="479F11A1">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2016</w:t>
            </w:r>
            <w:r>
              <w:rPr>
                <w:rFonts w:hint="eastAsia" w:cs="宋体" w:asciiTheme="minorEastAsia" w:hAnsiTheme="minorEastAsia" w:eastAsiaTheme="minorEastAsia"/>
                <w:kern w:val="0"/>
                <w:sz w:val="24"/>
                <w:szCs w:val="24"/>
              </w:rPr>
              <w:t>年度预算</w:t>
            </w:r>
          </w:p>
        </w:tc>
        <w:tc>
          <w:tcPr>
            <w:tcW w:w="1716" w:type="dxa"/>
            <w:tcBorders>
              <w:top w:val="single" w:color="auto" w:sz="4" w:space="0"/>
              <w:left w:val="nil"/>
              <w:bottom w:val="single" w:color="auto" w:sz="4" w:space="0"/>
              <w:right w:val="single" w:color="auto" w:sz="4" w:space="0"/>
            </w:tcBorders>
            <w:vAlign w:val="center"/>
          </w:tcPr>
          <w:p w14:paraId="14FDFC4D">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2017</w:t>
            </w:r>
            <w:r>
              <w:rPr>
                <w:rFonts w:hint="eastAsia" w:cs="宋体" w:asciiTheme="minorEastAsia" w:hAnsiTheme="minorEastAsia" w:eastAsiaTheme="minorEastAsia"/>
                <w:kern w:val="0"/>
                <w:sz w:val="24"/>
                <w:szCs w:val="24"/>
              </w:rPr>
              <w:t>年度预算</w:t>
            </w:r>
          </w:p>
        </w:tc>
        <w:tc>
          <w:tcPr>
            <w:tcW w:w="1176" w:type="dxa"/>
            <w:tcBorders>
              <w:top w:val="single" w:color="auto" w:sz="4" w:space="0"/>
              <w:left w:val="nil"/>
              <w:bottom w:val="single" w:color="auto" w:sz="4" w:space="0"/>
              <w:right w:val="single" w:color="auto" w:sz="4" w:space="0"/>
            </w:tcBorders>
            <w:vAlign w:val="center"/>
          </w:tcPr>
          <w:p w14:paraId="53B7E428">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增减金额</w:t>
            </w:r>
          </w:p>
        </w:tc>
        <w:tc>
          <w:tcPr>
            <w:tcW w:w="3111" w:type="dxa"/>
            <w:tcBorders>
              <w:top w:val="single" w:color="auto" w:sz="4" w:space="0"/>
              <w:left w:val="nil"/>
              <w:bottom w:val="single" w:color="auto" w:sz="4" w:space="0"/>
              <w:right w:val="single" w:color="auto" w:sz="4" w:space="0"/>
            </w:tcBorders>
            <w:vAlign w:val="center"/>
          </w:tcPr>
          <w:p w14:paraId="57ABCB65">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变化原因</w:t>
            </w:r>
          </w:p>
        </w:tc>
      </w:tr>
      <w:tr w14:paraId="4F6E1207">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14:paraId="2654C11D">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因公出国经费</w:t>
            </w:r>
          </w:p>
        </w:tc>
        <w:tc>
          <w:tcPr>
            <w:tcW w:w="1716" w:type="dxa"/>
            <w:tcBorders>
              <w:top w:val="nil"/>
              <w:left w:val="nil"/>
              <w:bottom w:val="single" w:color="auto" w:sz="4" w:space="0"/>
              <w:right w:val="single" w:color="auto" w:sz="4" w:space="0"/>
            </w:tcBorders>
            <w:vAlign w:val="center"/>
          </w:tcPr>
          <w:p w14:paraId="2A5F80FA">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1716" w:type="dxa"/>
            <w:tcBorders>
              <w:top w:val="nil"/>
              <w:left w:val="nil"/>
              <w:bottom w:val="single" w:color="auto" w:sz="4" w:space="0"/>
              <w:right w:val="single" w:color="auto" w:sz="4" w:space="0"/>
            </w:tcBorders>
            <w:vAlign w:val="center"/>
          </w:tcPr>
          <w:p w14:paraId="48AAC547">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1176" w:type="dxa"/>
            <w:tcBorders>
              <w:top w:val="nil"/>
              <w:left w:val="nil"/>
              <w:bottom w:val="single" w:color="auto" w:sz="4" w:space="0"/>
              <w:right w:val="single" w:color="auto" w:sz="4" w:space="0"/>
            </w:tcBorders>
            <w:vAlign w:val="center"/>
          </w:tcPr>
          <w:p w14:paraId="79E132D7">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3111" w:type="dxa"/>
            <w:tcBorders>
              <w:top w:val="nil"/>
              <w:left w:val="nil"/>
              <w:bottom w:val="single" w:color="auto" w:sz="4" w:space="0"/>
              <w:right w:val="single" w:color="auto" w:sz="4" w:space="0"/>
            </w:tcBorders>
            <w:vAlign w:val="center"/>
          </w:tcPr>
          <w:p w14:paraId="5C85CBCA">
            <w:pPr>
              <w:widowControl/>
              <w:jc w:val="left"/>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无增减变化</w:t>
            </w:r>
          </w:p>
        </w:tc>
      </w:tr>
      <w:tr w14:paraId="0B941103">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14:paraId="6444FB0E">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公务用车购置经费</w:t>
            </w:r>
          </w:p>
        </w:tc>
        <w:tc>
          <w:tcPr>
            <w:tcW w:w="1716" w:type="dxa"/>
            <w:tcBorders>
              <w:top w:val="nil"/>
              <w:left w:val="nil"/>
              <w:bottom w:val="single" w:color="auto" w:sz="4" w:space="0"/>
              <w:right w:val="single" w:color="auto" w:sz="4" w:space="0"/>
            </w:tcBorders>
            <w:vAlign w:val="center"/>
          </w:tcPr>
          <w:p w14:paraId="67526D20">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1716" w:type="dxa"/>
            <w:tcBorders>
              <w:top w:val="nil"/>
              <w:left w:val="nil"/>
              <w:bottom w:val="single" w:color="auto" w:sz="4" w:space="0"/>
              <w:right w:val="single" w:color="auto" w:sz="4" w:space="0"/>
            </w:tcBorders>
            <w:vAlign w:val="center"/>
          </w:tcPr>
          <w:p w14:paraId="5F16703C">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1176" w:type="dxa"/>
            <w:tcBorders>
              <w:top w:val="nil"/>
              <w:left w:val="nil"/>
              <w:bottom w:val="single" w:color="auto" w:sz="4" w:space="0"/>
              <w:right w:val="single" w:color="auto" w:sz="4" w:space="0"/>
            </w:tcBorders>
            <w:vAlign w:val="center"/>
          </w:tcPr>
          <w:p w14:paraId="4EE23046">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3111" w:type="dxa"/>
            <w:tcBorders>
              <w:top w:val="nil"/>
              <w:left w:val="nil"/>
              <w:bottom w:val="single" w:color="auto" w:sz="4" w:space="0"/>
              <w:right w:val="single" w:color="auto" w:sz="4" w:space="0"/>
            </w:tcBorders>
            <w:vAlign w:val="center"/>
          </w:tcPr>
          <w:p w14:paraId="6AC4F4A9">
            <w:pPr>
              <w:widowControl/>
              <w:jc w:val="left"/>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无增减变化</w:t>
            </w:r>
          </w:p>
        </w:tc>
      </w:tr>
      <w:tr w14:paraId="3ED691FB">
        <w:tblPrEx>
          <w:tblCellMar>
            <w:top w:w="0" w:type="dxa"/>
            <w:left w:w="108" w:type="dxa"/>
            <w:bottom w:w="0" w:type="dxa"/>
            <w:right w:w="108" w:type="dxa"/>
          </w:tblCellMar>
        </w:tblPrEx>
        <w:trPr>
          <w:trHeight w:val="570" w:hRule="atLeast"/>
        </w:trPr>
        <w:tc>
          <w:tcPr>
            <w:tcW w:w="2136" w:type="dxa"/>
            <w:tcBorders>
              <w:top w:val="nil"/>
              <w:left w:val="single" w:color="auto" w:sz="4" w:space="0"/>
              <w:bottom w:val="single" w:color="auto" w:sz="4" w:space="0"/>
              <w:right w:val="single" w:color="auto" w:sz="4" w:space="0"/>
            </w:tcBorders>
            <w:vAlign w:val="center"/>
          </w:tcPr>
          <w:p w14:paraId="0EDD08A6">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公务用车运行经费</w:t>
            </w:r>
          </w:p>
        </w:tc>
        <w:tc>
          <w:tcPr>
            <w:tcW w:w="1716" w:type="dxa"/>
            <w:tcBorders>
              <w:top w:val="nil"/>
              <w:left w:val="nil"/>
              <w:bottom w:val="single" w:color="auto" w:sz="4" w:space="0"/>
              <w:right w:val="single" w:color="auto" w:sz="4" w:space="0"/>
            </w:tcBorders>
            <w:vAlign w:val="center"/>
          </w:tcPr>
          <w:p w14:paraId="5FB11E4F">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4</w:t>
            </w:r>
          </w:p>
        </w:tc>
        <w:tc>
          <w:tcPr>
            <w:tcW w:w="1716" w:type="dxa"/>
            <w:tcBorders>
              <w:top w:val="nil"/>
              <w:left w:val="nil"/>
              <w:bottom w:val="single" w:color="auto" w:sz="4" w:space="0"/>
              <w:right w:val="single" w:color="auto" w:sz="4" w:space="0"/>
            </w:tcBorders>
            <w:vAlign w:val="center"/>
          </w:tcPr>
          <w:p w14:paraId="5B723402">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4</w:t>
            </w:r>
          </w:p>
        </w:tc>
        <w:tc>
          <w:tcPr>
            <w:tcW w:w="1176" w:type="dxa"/>
            <w:tcBorders>
              <w:top w:val="nil"/>
              <w:left w:val="nil"/>
              <w:bottom w:val="single" w:color="auto" w:sz="4" w:space="0"/>
              <w:right w:val="single" w:color="auto" w:sz="4" w:space="0"/>
            </w:tcBorders>
            <w:vAlign w:val="center"/>
          </w:tcPr>
          <w:p w14:paraId="05F0AB53">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3111" w:type="dxa"/>
            <w:tcBorders>
              <w:top w:val="nil"/>
              <w:left w:val="nil"/>
              <w:bottom w:val="single" w:color="auto" w:sz="4" w:space="0"/>
              <w:right w:val="single" w:color="auto" w:sz="4" w:space="0"/>
            </w:tcBorders>
            <w:vAlign w:val="center"/>
          </w:tcPr>
          <w:p w14:paraId="71C34262">
            <w:pPr>
              <w:widowControl/>
              <w:jc w:val="left"/>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无增减变化</w:t>
            </w:r>
          </w:p>
        </w:tc>
      </w:tr>
      <w:tr w14:paraId="505D8900">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vAlign w:val="center"/>
          </w:tcPr>
          <w:p w14:paraId="2E1AAB67">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公务接待费支出</w:t>
            </w:r>
          </w:p>
        </w:tc>
        <w:tc>
          <w:tcPr>
            <w:tcW w:w="1716" w:type="dxa"/>
            <w:tcBorders>
              <w:top w:val="nil"/>
              <w:left w:val="nil"/>
              <w:bottom w:val="single" w:color="auto" w:sz="4" w:space="0"/>
              <w:right w:val="single" w:color="auto" w:sz="4" w:space="0"/>
            </w:tcBorders>
            <w:vAlign w:val="center"/>
          </w:tcPr>
          <w:p w14:paraId="1FF26E2D">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20</w:t>
            </w:r>
          </w:p>
        </w:tc>
        <w:tc>
          <w:tcPr>
            <w:tcW w:w="1716" w:type="dxa"/>
            <w:tcBorders>
              <w:top w:val="nil"/>
              <w:left w:val="nil"/>
              <w:bottom w:val="single" w:color="auto" w:sz="4" w:space="0"/>
              <w:right w:val="single" w:color="auto" w:sz="4" w:space="0"/>
            </w:tcBorders>
            <w:vAlign w:val="center"/>
          </w:tcPr>
          <w:p w14:paraId="3A22AC18">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20</w:t>
            </w:r>
          </w:p>
        </w:tc>
        <w:tc>
          <w:tcPr>
            <w:tcW w:w="1176" w:type="dxa"/>
            <w:tcBorders>
              <w:top w:val="nil"/>
              <w:left w:val="nil"/>
              <w:bottom w:val="single" w:color="auto" w:sz="4" w:space="0"/>
              <w:right w:val="single" w:color="auto" w:sz="4" w:space="0"/>
            </w:tcBorders>
            <w:vAlign w:val="center"/>
          </w:tcPr>
          <w:p w14:paraId="47179597">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3111" w:type="dxa"/>
            <w:tcBorders>
              <w:top w:val="nil"/>
              <w:left w:val="nil"/>
              <w:bottom w:val="single" w:color="auto" w:sz="4" w:space="0"/>
              <w:right w:val="single" w:color="auto" w:sz="4" w:space="0"/>
            </w:tcBorders>
            <w:vAlign w:val="center"/>
          </w:tcPr>
          <w:p w14:paraId="01747384">
            <w:pPr>
              <w:widowControl/>
              <w:jc w:val="left"/>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无增减变化</w:t>
            </w:r>
          </w:p>
        </w:tc>
      </w:tr>
      <w:tr w14:paraId="291D4387">
        <w:tblPrEx>
          <w:tblCellMar>
            <w:top w:w="0" w:type="dxa"/>
            <w:left w:w="108" w:type="dxa"/>
            <w:bottom w:w="0" w:type="dxa"/>
            <w:right w:w="108" w:type="dxa"/>
          </w:tblCellMar>
        </w:tblPrEx>
        <w:trPr>
          <w:trHeight w:val="1140" w:hRule="atLeast"/>
        </w:trPr>
        <w:tc>
          <w:tcPr>
            <w:tcW w:w="2136" w:type="dxa"/>
            <w:tcBorders>
              <w:top w:val="nil"/>
              <w:left w:val="single" w:color="auto" w:sz="4" w:space="0"/>
              <w:bottom w:val="single" w:color="auto" w:sz="4" w:space="0"/>
              <w:right w:val="single" w:color="auto" w:sz="4" w:space="0"/>
            </w:tcBorders>
            <w:vAlign w:val="center"/>
          </w:tcPr>
          <w:p w14:paraId="63A52112">
            <w:pPr>
              <w:widowControl/>
              <w:jc w:val="center"/>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合计</w:t>
            </w:r>
          </w:p>
        </w:tc>
        <w:tc>
          <w:tcPr>
            <w:tcW w:w="1716" w:type="dxa"/>
            <w:tcBorders>
              <w:top w:val="nil"/>
              <w:left w:val="nil"/>
              <w:bottom w:val="single" w:color="auto" w:sz="4" w:space="0"/>
              <w:right w:val="single" w:color="auto" w:sz="4" w:space="0"/>
            </w:tcBorders>
            <w:vAlign w:val="center"/>
          </w:tcPr>
          <w:p w14:paraId="34994FAB">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24</w:t>
            </w:r>
          </w:p>
        </w:tc>
        <w:tc>
          <w:tcPr>
            <w:tcW w:w="1716" w:type="dxa"/>
            <w:tcBorders>
              <w:top w:val="nil"/>
              <w:left w:val="nil"/>
              <w:bottom w:val="single" w:color="auto" w:sz="4" w:space="0"/>
              <w:right w:val="single" w:color="auto" w:sz="4" w:space="0"/>
            </w:tcBorders>
            <w:vAlign w:val="center"/>
          </w:tcPr>
          <w:p w14:paraId="6D7C822C">
            <w:pPr>
              <w:widowControl/>
              <w:jc w:val="center"/>
              <w:rPr>
                <w:rFonts w:asciiTheme="minorEastAsia" w:hAnsiTheme="minorEastAsia" w:eastAsiaTheme="minorEastAsia"/>
                <w:kern w:val="0"/>
                <w:sz w:val="24"/>
                <w:szCs w:val="24"/>
              </w:rPr>
            </w:pPr>
            <w:r>
              <w:rPr>
                <w:rFonts w:cs="宋体" w:asciiTheme="minorEastAsia" w:hAnsiTheme="minorEastAsia" w:eastAsiaTheme="minorEastAsia"/>
                <w:kern w:val="0"/>
                <w:sz w:val="24"/>
                <w:szCs w:val="24"/>
              </w:rPr>
              <w:t>24</w:t>
            </w:r>
          </w:p>
        </w:tc>
        <w:tc>
          <w:tcPr>
            <w:tcW w:w="1176" w:type="dxa"/>
            <w:tcBorders>
              <w:top w:val="nil"/>
              <w:left w:val="nil"/>
              <w:bottom w:val="single" w:color="auto" w:sz="4" w:space="0"/>
              <w:right w:val="single" w:color="auto" w:sz="4" w:space="0"/>
            </w:tcBorders>
            <w:vAlign w:val="center"/>
          </w:tcPr>
          <w:p w14:paraId="5A9DCBDA">
            <w:pPr>
              <w:widowControl/>
              <w:jc w:val="center"/>
              <w:rPr>
                <w:rFonts w:cs="宋体" w:asciiTheme="minorEastAsia" w:hAnsiTheme="minorEastAsia" w:eastAsiaTheme="minorEastAsia"/>
                <w:kern w:val="0"/>
                <w:sz w:val="24"/>
                <w:szCs w:val="24"/>
              </w:rPr>
            </w:pPr>
            <w:r>
              <w:rPr>
                <w:rFonts w:cs="宋体" w:asciiTheme="minorEastAsia" w:hAnsiTheme="minorEastAsia" w:eastAsiaTheme="minorEastAsia"/>
                <w:kern w:val="0"/>
                <w:sz w:val="24"/>
                <w:szCs w:val="24"/>
              </w:rPr>
              <w:t>0</w:t>
            </w:r>
          </w:p>
        </w:tc>
        <w:tc>
          <w:tcPr>
            <w:tcW w:w="3111" w:type="dxa"/>
            <w:tcBorders>
              <w:top w:val="nil"/>
              <w:left w:val="nil"/>
              <w:bottom w:val="single" w:color="auto" w:sz="4" w:space="0"/>
              <w:right w:val="single" w:color="auto" w:sz="4" w:space="0"/>
            </w:tcBorders>
            <w:vAlign w:val="center"/>
          </w:tcPr>
          <w:p w14:paraId="1DCD8C30">
            <w:pPr>
              <w:widowControl/>
              <w:jc w:val="left"/>
              <w:rPr>
                <w:rFonts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无增减变化</w:t>
            </w:r>
          </w:p>
        </w:tc>
      </w:tr>
    </w:tbl>
    <w:p w14:paraId="58F9FB09">
      <w:pPr>
        <w:ind w:firstLine="643" w:firstLineChars="200"/>
        <w:jc w:val="center"/>
        <w:rPr>
          <w:rFonts w:asciiTheme="minorEastAsia" w:hAnsiTheme="minorEastAsia" w:eastAsiaTheme="minorEastAsia"/>
          <w:b/>
          <w:bCs/>
          <w:sz w:val="32"/>
          <w:szCs w:val="32"/>
        </w:rPr>
      </w:pPr>
    </w:p>
    <w:p w14:paraId="51A8FC5D">
      <w:pPr>
        <w:ind w:firstLine="643" w:firstLineChars="200"/>
        <w:jc w:val="center"/>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第五部分：绩效预算信息</w:t>
      </w:r>
    </w:p>
    <w:p w14:paraId="5CB83269">
      <w:pPr>
        <w:ind w:firstLine="643" w:firstLineChars="200"/>
        <w:jc w:val="left"/>
        <w:rPr>
          <w:rFonts w:asciiTheme="minorEastAsia" w:hAnsiTheme="minorEastAsia" w:eastAsiaTheme="minorEastAsia"/>
          <w:b/>
          <w:bCs/>
          <w:sz w:val="32"/>
          <w:szCs w:val="32"/>
        </w:rPr>
      </w:pPr>
      <w:r>
        <w:rPr>
          <w:rFonts w:hint="eastAsia" w:cs="仿宋" w:asciiTheme="minorEastAsia" w:hAnsiTheme="minorEastAsia" w:eastAsiaTheme="minorEastAsia"/>
          <w:b/>
          <w:bCs/>
          <w:sz w:val="32"/>
          <w:szCs w:val="32"/>
        </w:rPr>
        <w:t>一、总体绩效目标</w:t>
      </w:r>
    </w:p>
    <w:p w14:paraId="6510CDBD">
      <w:pPr>
        <w:ind w:firstLine="560"/>
        <w:rPr>
          <w:rFonts w:asciiTheme="minorEastAsia" w:hAnsiTheme="minorEastAsia" w:eastAsiaTheme="minorEastAsia"/>
          <w:b/>
          <w:bCs/>
          <w:sz w:val="32"/>
          <w:szCs w:val="32"/>
        </w:rPr>
      </w:pPr>
      <w:r>
        <w:rPr>
          <w:rFonts w:hint="eastAsia" w:cs="仿宋" w:asciiTheme="minorEastAsia" w:hAnsiTheme="minorEastAsia" w:eastAsiaTheme="minorEastAsia"/>
          <w:b/>
          <w:bCs/>
          <w:sz w:val="32"/>
          <w:szCs w:val="32"/>
        </w:rPr>
        <w:t>（一）年度发展规划目标</w:t>
      </w:r>
    </w:p>
    <w:p w14:paraId="4EA4EBF3">
      <w:pPr>
        <w:ind w:firstLine="560"/>
        <w:rPr>
          <w:rFonts w:asciiTheme="minorEastAsia" w:hAnsiTheme="minorEastAsia" w:eastAsiaTheme="minorEastAsia"/>
          <w:sz w:val="32"/>
          <w:szCs w:val="32"/>
        </w:rPr>
      </w:pPr>
      <w:r>
        <w:rPr>
          <w:rFonts w:hint="eastAsia" w:cs="仿宋" w:asciiTheme="minorEastAsia" w:hAnsiTheme="minorEastAsia" w:eastAsiaTheme="minorEastAsia"/>
          <w:sz w:val="32"/>
          <w:szCs w:val="32"/>
        </w:rPr>
        <w:t>以学习贯彻落实党的十八届四中、五中全会、省委八届十二次、市委十届十次全会、县委十二届八次和中央、省、市政法工作会议精神以及习近平总书记系列重要讲话精神为主线，紧紧围绕平安涞源、法治涞源、政法队伍建设三大任务，大力推进政法工作体制、机制和方法创新，凝聚创新发展的共识共举</w:t>
      </w:r>
      <w:r>
        <w:rPr>
          <w:rFonts w:cs="仿宋" w:asciiTheme="minorEastAsia" w:hAnsiTheme="minorEastAsia" w:eastAsiaTheme="minorEastAsia"/>
          <w:sz w:val="32"/>
          <w:szCs w:val="32"/>
        </w:rPr>
        <w:t>,</w:t>
      </w:r>
      <w:r>
        <w:rPr>
          <w:rFonts w:hint="eastAsia" w:cs="仿宋" w:asciiTheme="minorEastAsia" w:hAnsiTheme="minorEastAsia" w:eastAsiaTheme="minorEastAsia"/>
          <w:sz w:val="32"/>
          <w:szCs w:val="32"/>
        </w:rPr>
        <w:t>用法治的思维和方式谋划政法工作</w:t>
      </w:r>
      <w:r>
        <w:rPr>
          <w:rFonts w:cs="仿宋" w:asciiTheme="minorEastAsia" w:hAnsiTheme="minorEastAsia" w:eastAsiaTheme="minorEastAsia"/>
          <w:sz w:val="32"/>
          <w:szCs w:val="32"/>
        </w:rPr>
        <w:t>,</w:t>
      </w:r>
      <w:r>
        <w:rPr>
          <w:rFonts w:hint="eastAsia" w:cs="仿宋" w:asciiTheme="minorEastAsia" w:hAnsiTheme="minorEastAsia" w:eastAsiaTheme="minorEastAsia"/>
          <w:sz w:val="32"/>
          <w:szCs w:val="32"/>
        </w:rPr>
        <w:t>以更实的举措</w:t>
      </w:r>
      <w:r>
        <w:rPr>
          <w:rFonts w:cs="仿宋" w:asciiTheme="minorEastAsia" w:hAnsiTheme="minorEastAsia" w:eastAsiaTheme="minorEastAsia"/>
          <w:sz w:val="32"/>
          <w:szCs w:val="32"/>
        </w:rPr>
        <w:t>,</w:t>
      </w:r>
      <w:r>
        <w:rPr>
          <w:rFonts w:hint="eastAsia" w:cs="仿宋" w:asciiTheme="minorEastAsia" w:hAnsiTheme="minorEastAsia" w:eastAsiaTheme="minorEastAsia"/>
          <w:sz w:val="32"/>
          <w:szCs w:val="32"/>
        </w:rPr>
        <w:t>推进执法司法规范化建设</w:t>
      </w:r>
      <w:r>
        <w:rPr>
          <w:rFonts w:cs="仿宋" w:asciiTheme="minorEastAsia" w:hAnsiTheme="minorEastAsia" w:eastAsiaTheme="minorEastAsia"/>
          <w:sz w:val="32"/>
          <w:szCs w:val="32"/>
        </w:rPr>
        <w:t>,</w:t>
      </w:r>
      <w:r>
        <w:rPr>
          <w:rFonts w:hint="eastAsia" w:cs="仿宋" w:asciiTheme="minorEastAsia" w:hAnsiTheme="minorEastAsia" w:eastAsiaTheme="minorEastAsia"/>
          <w:sz w:val="32"/>
          <w:szCs w:val="32"/>
        </w:rPr>
        <w:t>不断提升执法司法公信力，坚持从严治警不放松</w:t>
      </w:r>
      <w:r>
        <w:rPr>
          <w:rFonts w:cs="仿宋" w:asciiTheme="minorEastAsia" w:hAnsiTheme="minorEastAsia" w:eastAsiaTheme="minorEastAsia"/>
          <w:sz w:val="32"/>
          <w:szCs w:val="32"/>
        </w:rPr>
        <w:t>,</w:t>
      </w:r>
      <w:r>
        <w:rPr>
          <w:rFonts w:hint="eastAsia" w:cs="仿宋" w:asciiTheme="minorEastAsia" w:hAnsiTheme="minorEastAsia" w:eastAsiaTheme="minorEastAsia"/>
          <w:sz w:val="32"/>
          <w:szCs w:val="32"/>
        </w:rPr>
        <w:t>努力建设一支忠诚、担当的政法队伍，积极稳妥推动司法体制改革</w:t>
      </w:r>
      <w:r>
        <w:rPr>
          <w:rFonts w:cs="仿宋" w:asciiTheme="minorEastAsia" w:hAnsiTheme="minorEastAsia" w:eastAsiaTheme="minorEastAsia"/>
          <w:sz w:val="32"/>
          <w:szCs w:val="32"/>
        </w:rPr>
        <w:t>,</w:t>
      </w:r>
      <w:r>
        <w:rPr>
          <w:rFonts w:hint="eastAsia" w:cs="仿宋" w:asciiTheme="minorEastAsia" w:hAnsiTheme="minorEastAsia" w:eastAsiaTheme="minorEastAsia"/>
          <w:sz w:val="32"/>
          <w:szCs w:val="32"/>
        </w:rPr>
        <w:t>促进政法各项工作取得新突破，为经济强县、旅游城市、美丽涞源建设提供保障。</w:t>
      </w:r>
    </w:p>
    <w:p w14:paraId="45DBD719">
      <w:pPr>
        <w:ind w:firstLine="560"/>
        <w:rPr>
          <w:rFonts w:asciiTheme="minorEastAsia" w:hAnsiTheme="minorEastAsia" w:eastAsiaTheme="minorEastAsia"/>
          <w:b/>
          <w:bCs/>
          <w:sz w:val="32"/>
          <w:szCs w:val="32"/>
        </w:rPr>
      </w:pPr>
      <w:r>
        <w:rPr>
          <w:rFonts w:hint="eastAsia" w:cs="仿宋" w:asciiTheme="minorEastAsia" w:hAnsiTheme="minorEastAsia" w:eastAsiaTheme="minorEastAsia"/>
          <w:b/>
          <w:bCs/>
          <w:sz w:val="32"/>
          <w:szCs w:val="32"/>
        </w:rPr>
        <w:t>（二）职责分类绩效目标</w:t>
      </w:r>
    </w:p>
    <w:p w14:paraId="45F32AA3">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1</w:t>
      </w:r>
      <w:r>
        <w:rPr>
          <w:rFonts w:hint="eastAsia" w:cs="仿宋" w:asciiTheme="minorEastAsia" w:hAnsiTheme="minorEastAsia" w:eastAsiaTheme="minorEastAsia"/>
          <w:sz w:val="32"/>
          <w:szCs w:val="32"/>
        </w:rPr>
        <w:t>、维护社会稳定，对全县维护稳定工作部署，统一部署、统一督查，协调全县维护稳定工作，在县委、</w:t>
      </w:r>
      <w:r>
        <w:rPr>
          <w:rFonts w:hint="eastAsia" w:cs="仿宋" w:asciiTheme="minorEastAsia" w:hAnsiTheme="minorEastAsia" w:eastAsiaTheme="minorEastAsia"/>
          <w:sz w:val="32"/>
          <w:szCs w:val="32"/>
          <w:lang w:eastAsia="zh-CN"/>
        </w:rPr>
        <w:t>县</w:t>
      </w:r>
      <w:r>
        <w:rPr>
          <w:rFonts w:hint="eastAsia" w:cs="仿宋" w:asciiTheme="minorEastAsia" w:hAnsiTheme="minorEastAsia" w:eastAsiaTheme="minorEastAsia"/>
          <w:sz w:val="32"/>
          <w:szCs w:val="32"/>
        </w:rPr>
        <w:t>政府统一领导下，协调组织有关部门做好敏感期、国家重大政治活动和重大节假日期间的维护稳定工作。</w:t>
      </w:r>
    </w:p>
    <w:p w14:paraId="6C0E961C">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2</w:t>
      </w:r>
      <w:r>
        <w:rPr>
          <w:rFonts w:hint="eastAsia" w:cs="仿宋" w:asciiTheme="minorEastAsia" w:hAnsiTheme="minorEastAsia" w:eastAsiaTheme="minorEastAsia"/>
          <w:sz w:val="32"/>
          <w:szCs w:val="32"/>
        </w:rPr>
        <w:t>、社会治安综合治理，对全县社会管理综合治理工作进行部署，并负责督导检查。圆满完成全年重要时期铁路护路工作，各类矛盾纠纷得到有效化解，平安创建达到标准。</w:t>
      </w:r>
    </w:p>
    <w:p w14:paraId="300B4F91">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3</w:t>
      </w:r>
      <w:r>
        <w:rPr>
          <w:rFonts w:hint="eastAsia" w:cs="仿宋" w:asciiTheme="minorEastAsia" w:hAnsiTheme="minorEastAsia" w:eastAsiaTheme="minorEastAsia"/>
          <w:sz w:val="32"/>
          <w:szCs w:val="32"/>
        </w:rPr>
        <w:t>、执法监督、纪律检查，督导检查政法各部门贯彻国家法律法规和党的路线方针、政策工作情况，在市委政法委、县委的领导指导下，营造良好的司法执法环境，维护当事人的合法权益，提高全县政法各部门工作质量，建设遵纪守法政法队伍。</w:t>
      </w:r>
    </w:p>
    <w:p w14:paraId="32947E5F">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4</w:t>
      </w:r>
      <w:r>
        <w:rPr>
          <w:rFonts w:hint="eastAsia" w:cs="仿宋" w:asciiTheme="minorEastAsia" w:hAnsiTheme="minorEastAsia" w:eastAsiaTheme="minorEastAsia"/>
          <w:sz w:val="32"/>
          <w:szCs w:val="32"/>
        </w:rPr>
        <w:t>、政法队伍建设，加强政法各部门的队伍建设和对外宣传工作。</w:t>
      </w:r>
    </w:p>
    <w:p w14:paraId="3CDC44C8">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5</w:t>
      </w:r>
      <w:r>
        <w:rPr>
          <w:rFonts w:hint="eastAsia" w:cs="仿宋" w:asciiTheme="minorEastAsia" w:hAnsiTheme="minorEastAsia" w:eastAsiaTheme="minorEastAsia"/>
          <w:sz w:val="32"/>
          <w:szCs w:val="32"/>
        </w:rPr>
        <w:t>、涉法涉诉信访，严格落实涉法涉诉工作改革，提高工作效率。</w:t>
      </w:r>
    </w:p>
    <w:p w14:paraId="1E0915D9">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6</w:t>
      </w:r>
      <w:r>
        <w:rPr>
          <w:rFonts w:hint="eastAsia" w:cs="仿宋" w:asciiTheme="minorEastAsia" w:hAnsiTheme="minorEastAsia" w:eastAsiaTheme="minorEastAsia"/>
          <w:sz w:val="32"/>
          <w:szCs w:val="32"/>
        </w:rPr>
        <w:t>、开展法学研究，充分发挥法学会职能，努力发挥法学会作用，为法治涞源建设作出应有贡献。</w:t>
      </w:r>
    </w:p>
    <w:p w14:paraId="3E86CC05">
      <w:pPr>
        <w:ind w:firstLine="560"/>
        <w:rPr>
          <w:rFonts w:asciiTheme="minorEastAsia" w:hAnsiTheme="minorEastAsia" w:eastAsiaTheme="minorEastAsia"/>
          <w:sz w:val="32"/>
          <w:szCs w:val="32"/>
        </w:rPr>
      </w:pPr>
      <w:r>
        <w:rPr>
          <w:rFonts w:cs="仿宋" w:asciiTheme="minorEastAsia" w:hAnsiTheme="minorEastAsia" w:eastAsiaTheme="minorEastAsia"/>
          <w:sz w:val="32"/>
          <w:szCs w:val="32"/>
        </w:rPr>
        <w:t>7</w:t>
      </w:r>
      <w:r>
        <w:rPr>
          <w:rFonts w:hint="eastAsia" w:cs="仿宋" w:asciiTheme="minorEastAsia" w:hAnsiTheme="minorEastAsia" w:eastAsiaTheme="minorEastAsia"/>
          <w:sz w:val="32"/>
          <w:szCs w:val="32"/>
        </w:rPr>
        <w:t>、铁路护路工作，组织协调各级各部门齐抓共管，组织情况交流和信息反馈。掌握铁路沿线治安情况，组织开展治安隐患排查整治、爱路护路宣传、重要时期护路任务等重点工作，保障省、市、县三级护路组织和护路人员正常工作，具体负责护路联防经费的管理和使用。</w:t>
      </w:r>
    </w:p>
    <w:p w14:paraId="5D6AB653">
      <w:pPr>
        <w:ind w:firstLine="560"/>
        <w:jc w:val="center"/>
        <w:rPr>
          <w:rFonts w:asciiTheme="minorEastAsia" w:hAnsiTheme="minorEastAsia" w:eastAsiaTheme="minorEastAsia"/>
          <w:b/>
          <w:bCs/>
          <w:sz w:val="32"/>
          <w:szCs w:val="32"/>
        </w:rPr>
        <w:sectPr>
          <w:headerReference r:id="rId3" w:type="default"/>
          <w:footerReference r:id="rId4" w:type="default"/>
          <w:pgSz w:w="11906" w:h="16838"/>
          <w:pgMar w:top="1440" w:right="1463" w:bottom="1440" w:left="1463" w:header="851" w:footer="992" w:gutter="0"/>
          <w:cols w:space="0" w:num="1"/>
          <w:docGrid w:type="lines" w:linePitch="312" w:charSpace="0"/>
        </w:sectPr>
      </w:pPr>
    </w:p>
    <w:p w14:paraId="3F5D3EF9">
      <w:pPr>
        <w:ind w:firstLine="560"/>
        <w:jc w:val="center"/>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二、</w:t>
      </w:r>
      <w:r>
        <w:rPr>
          <w:rFonts w:cs="黑体" w:asciiTheme="minorEastAsia" w:hAnsiTheme="minorEastAsia" w:eastAsiaTheme="minorEastAsia"/>
          <w:b/>
          <w:bCs/>
          <w:sz w:val="32"/>
          <w:szCs w:val="32"/>
        </w:rPr>
        <w:t xml:space="preserve"> </w:t>
      </w:r>
      <w:r>
        <w:rPr>
          <w:rFonts w:hint="eastAsia" w:cs="黑体" w:asciiTheme="minorEastAsia" w:hAnsiTheme="minorEastAsia" w:eastAsiaTheme="minorEastAsia"/>
          <w:b/>
          <w:bCs/>
          <w:sz w:val="32"/>
          <w:szCs w:val="32"/>
        </w:rPr>
        <w:t>部门职责</w:t>
      </w:r>
      <w:r>
        <w:rPr>
          <w:rFonts w:cs="黑体" w:asciiTheme="minorEastAsia" w:hAnsiTheme="minorEastAsia" w:eastAsiaTheme="minorEastAsia"/>
          <w:b/>
          <w:bCs/>
          <w:sz w:val="32"/>
          <w:szCs w:val="32"/>
        </w:rPr>
        <w:t>-</w:t>
      </w:r>
      <w:r>
        <w:rPr>
          <w:rFonts w:hint="eastAsia" w:cs="黑体" w:asciiTheme="minorEastAsia" w:hAnsiTheme="minorEastAsia" w:eastAsiaTheme="minorEastAsia"/>
          <w:b/>
          <w:bCs/>
          <w:sz w:val="32"/>
          <w:szCs w:val="32"/>
        </w:rPr>
        <w:t>工作活动绩效目标</w:t>
      </w:r>
    </w:p>
    <w:tbl>
      <w:tblPr>
        <w:tblStyle w:val="4"/>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2D011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31B98A06">
            <w:pPr>
              <w:spacing w:line="300" w:lineRule="exact"/>
              <w:jc w:val="left"/>
              <w:rPr>
                <w:rFonts w:asciiTheme="minorEastAsia" w:hAnsiTheme="minorEastAsia" w:eastAsiaTheme="minorEastAsia"/>
                <w:sz w:val="24"/>
                <w:szCs w:val="24"/>
              </w:rPr>
            </w:pPr>
            <w:r>
              <w:rPr>
                <w:rFonts w:cs="方正小标宋_GBK" w:asciiTheme="minorEastAsia" w:hAnsiTheme="minorEastAsia" w:eastAsiaTheme="minorEastAsia"/>
                <w:sz w:val="24"/>
                <w:szCs w:val="24"/>
              </w:rPr>
              <w:t>216</w:t>
            </w:r>
            <w:r>
              <w:rPr>
                <w:rFonts w:hint="eastAsia" w:cs="方正小标宋_GBK" w:asciiTheme="minorEastAsia" w:hAnsiTheme="minorEastAsia" w:eastAsiaTheme="minorEastAsia"/>
                <w:sz w:val="24"/>
                <w:szCs w:val="24"/>
              </w:rPr>
              <w:t>中共涞源县委政法委员会</w:t>
            </w:r>
          </w:p>
        </w:tc>
        <w:tc>
          <w:tcPr>
            <w:tcW w:w="2948" w:type="dxa"/>
            <w:gridSpan w:val="4"/>
            <w:tcBorders>
              <w:top w:val="single" w:color="FFFFFF" w:sz="6" w:space="0"/>
              <w:left w:val="single" w:color="FFFFFF" w:sz="6" w:space="0"/>
              <w:right w:val="single" w:color="FFFFFF" w:sz="6" w:space="0"/>
            </w:tcBorders>
            <w:vAlign w:val="center"/>
          </w:tcPr>
          <w:p w14:paraId="5AFA67FD">
            <w:pPr>
              <w:spacing w:line="300" w:lineRule="exact"/>
              <w:jc w:val="right"/>
              <w:rPr>
                <w:rFonts w:asciiTheme="minorEastAsia" w:hAnsiTheme="minorEastAsia" w:eastAsiaTheme="minorEastAsia"/>
                <w:sz w:val="24"/>
                <w:szCs w:val="24"/>
              </w:rPr>
            </w:pPr>
            <w:r>
              <w:rPr>
                <w:rFonts w:hint="eastAsia" w:cs="方正书宋_GBK" w:asciiTheme="minorEastAsia" w:hAnsiTheme="minorEastAsia" w:eastAsiaTheme="minorEastAsia"/>
                <w:sz w:val="24"/>
                <w:szCs w:val="24"/>
              </w:rPr>
              <w:t>单位：万元</w:t>
            </w:r>
          </w:p>
        </w:tc>
      </w:tr>
      <w:tr w14:paraId="7F2B4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2CFAE326">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职责活动</w:t>
            </w:r>
          </w:p>
        </w:tc>
        <w:tc>
          <w:tcPr>
            <w:tcW w:w="1276" w:type="dxa"/>
            <w:vMerge w:val="restart"/>
            <w:vAlign w:val="center"/>
          </w:tcPr>
          <w:p w14:paraId="6CD99DC6">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年度预算数</w:t>
            </w:r>
          </w:p>
        </w:tc>
        <w:tc>
          <w:tcPr>
            <w:tcW w:w="2976" w:type="dxa"/>
            <w:vMerge w:val="restart"/>
            <w:vAlign w:val="center"/>
          </w:tcPr>
          <w:p w14:paraId="0D689CC8">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内容描述</w:t>
            </w:r>
          </w:p>
        </w:tc>
        <w:tc>
          <w:tcPr>
            <w:tcW w:w="2976" w:type="dxa"/>
            <w:vMerge w:val="restart"/>
            <w:vAlign w:val="center"/>
          </w:tcPr>
          <w:p w14:paraId="30355D61">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绩效目标</w:t>
            </w:r>
          </w:p>
        </w:tc>
        <w:tc>
          <w:tcPr>
            <w:tcW w:w="1417" w:type="dxa"/>
            <w:vMerge w:val="restart"/>
            <w:vAlign w:val="center"/>
          </w:tcPr>
          <w:p w14:paraId="6FD8A7D5">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绩效指标</w:t>
            </w:r>
          </w:p>
        </w:tc>
        <w:tc>
          <w:tcPr>
            <w:tcW w:w="2948" w:type="dxa"/>
            <w:gridSpan w:val="4"/>
            <w:vAlign w:val="center"/>
          </w:tcPr>
          <w:p w14:paraId="3C90DA1C">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评价标准</w:t>
            </w:r>
          </w:p>
        </w:tc>
      </w:tr>
      <w:tr w14:paraId="4980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363E56C3">
            <w:pPr>
              <w:spacing w:line="300" w:lineRule="exact"/>
              <w:jc w:val="left"/>
              <w:outlineLvl w:val="0"/>
              <w:rPr>
                <w:rFonts w:asciiTheme="minorEastAsia" w:hAnsiTheme="minorEastAsia" w:eastAsiaTheme="minorEastAsia"/>
              </w:rPr>
            </w:pPr>
          </w:p>
        </w:tc>
        <w:tc>
          <w:tcPr>
            <w:tcW w:w="1276" w:type="dxa"/>
            <w:vMerge w:val="continue"/>
            <w:vAlign w:val="center"/>
          </w:tcPr>
          <w:p w14:paraId="2005885D">
            <w:pPr>
              <w:spacing w:line="300" w:lineRule="exact"/>
              <w:jc w:val="left"/>
              <w:outlineLvl w:val="0"/>
              <w:rPr>
                <w:rFonts w:asciiTheme="minorEastAsia" w:hAnsiTheme="minorEastAsia" w:eastAsiaTheme="minorEastAsia"/>
              </w:rPr>
            </w:pPr>
          </w:p>
        </w:tc>
        <w:tc>
          <w:tcPr>
            <w:tcW w:w="2976" w:type="dxa"/>
            <w:vMerge w:val="continue"/>
            <w:vAlign w:val="center"/>
          </w:tcPr>
          <w:p w14:paraId="77688515">
            <w:pPr>
              <w:spacing w:line="300" w:lineRule="exact"/>
              <w:jc w:val="left"/>
              <w:outlineLvl w:val="0"/>
              <w:rPr>
                <w:rFonts w:asciiTheme="minorEastAsia" w:hAnsiTheme="minorEastAsia" w:eastAsiaTheme="minorEastAsia"/>
              </w:rPr>
            </w:pPr>
          </w:p>
        </w:tc>
        <w:tc>
          <w:tcPr>
            <w:tcW w:w="2976" w:type="dxa"/>
            <w:vMerge w:val="continue"/>
            <w:vAlign w:val="center"/>
          </w:tcPr>
          <w:p w14:paraId="45FA92C6">
            <w:pPr>
              <w:spacing w:line="300" w:lineRule="exact"/>
              <w:jc w:val="left"/>
              <w:outlineLvl w:val="0"/>
              <w:rPr>
                <w:rFonts w:asciiTheme="minorEastAsia" w:hAnsiTheme="minorEastAsia" w:eastAsiaTheme="minorEastAsia"/>
              </w:rPr>
            </w:pPr>
          </w:p>
        </w:tc>
        <w:tc>
          <w:tcPr>
            <w:tcW w:w="1417" w:type="dxa"/>
            <w:vMerge w:val="continue"/>
            <w:vAlign w:val="center"/>
          </w:tcPr>
          <w:p w14:paraId="258BE4D4">
            <w:pPr>
              <w:spacing w:line="300" w:lineRule="exact"/>
              <w:jc w:val="left"/>
              <w:outlineLvl w:val="0"/>
              <w:rPr>
                <w:rFonts w:asciiTheme="minorEastAsia" w:hAnsiTheme="minorEastAsia" w:eastAsiaTheme="minorEastAsia"/>
              </w:rPr>
            </w:pPr>
          </w:p>
        </w:tc>
        <w:tc>
          <w:tcPr>
            <w:tcW w:w="737" w:type="dxa"/>
            <w:vAlign w:val="center"/>
          </w:tcPr>
          <w:p w14:paraId="16A353AD">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优</w:t>
            </w:r>
          </w:p>
        </w:tc>
        <w:tc>
          <w:tcPr>
            <w:tcW w:w="737" w:type="dxa"/>
            <w:vAlign w:val="center"/>
          </w:tcPr>
          <w:p w14:paraId="6BB02E19">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良</w:t>
            </w:r>
          </w:p>
        </w:tc>
        <w:tc>
          <w:tcPr>
            <w:tcW w:w="737" w:type="dxa"/>
            <w:vAlign w:val="center"/>
          </w:tcPr>
          <w:p w14:paraId="24AB9AAC">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中</w:t>
            </w:r>
          </w:p>
        </w:tc>
        <w:tc>
          <w:tcPr>
            <w:tcW w:w="737" w:type="dxa"/>
            <w:vAlign w:val="center"/>
          </w:tcPr>
          <w:p w14:paraId="7D1295E8">
            <w:pPr>
              <w:spacing w:line="300" w:lineRule="exact"/>
              <w:jc w:val="center"/>
              <w:rPr>
                <w:rFonts w:asciiTheme="minorEastAsia" w:hAnsiTheme="minorEastAsia" w:eastAsiaTheme="minorEastAsia"/>
                <w:b/>
                <w:bCs/>
              </w:rPr>
            </w:pPr>
            <w:r>
              <w:rPr>
                <w:rFonts w:hint="eastAsia" w:cs="方正书宋_GBK" w:asciiTheme="minorEastAsia" w:hAnsiTheme="minorEastAsia" w:eastAsiaTheme="minorEastAsia"/>
                <w:b/>
                <w:bCs/>
              </w:rPr>
              <w:t>差</w:t>
            </w:r>
          </w:p>
        </w:tc>
      </w:tr>
      <w:tr w14:paraId="54D14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4F4B359">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维护社会稳定</w:t>
            </w:r>
          </w:p>
        </w:tc>
        <w:tc>
          <w:tcPr>
            <w:tcW w:w="1276" w:type="dxa"/>
            <w:vAlign w:val="center"/>
          </w:tcPr>
          <w:p w14:paraId="6D101A08">
            <w:pPr>
              <w:spacing w:line="300" w:lineRule="exact"/>
              <w:jc w:val="left"/>
              <w:rPr>
                <w:rFonts w:asciiTheme="minorEastAsia" w:hAnsiTheme="minorEastAsia" w:eastAsiaTheme="minorEastAsia"/>
              </w:rPr>
            </w:pPr>
          </w:p>
        </w:tc>
        <w:tc>
          <w:tcPr>
            <w:tcW w:w="2976" w:type="dxa"/>
            <w:vAlign w:val="center"/>
          </w:tcPr>
          <w:p w14:paraId="1D9C2277">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指导、协调和督导全县各级各部门排查、化解影响社会的重大不稳定隐患、群体性事件和突发事件及影响社会稳定的事件。</w:t>
            </w:r>
          </w:p>
        </w:tc>
        <w:tc>
          <w:tcPr>
            <w:tcW w:w="2976" w:type="dxa"/>
            <w:vAlign w:val="center"/>
          </w:tcPr>
          <w:p w14:paraId="3475900E">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通过指导、协调和督导各级各部门，预防减少不稳定因素的发生，有效化解不稳定隐患、群体性事件和突发事件，同时全力做好县内各种重大活动安保工作，确保社会稳定。</w:t>
            </w:r>
          </w:p>
        </w:tc>
        <w:tc>
          <w:tcPr>
            <w:tcW w:w="1417" w:type="dxa"/>
            <w:vAlign w:val="center"/>
          </w:tcPr>
          <w:p w14:paraId="4F8765F7">
            <w:pPr>
              <w:spacing w:line="300" w:lineRule="exact"/>
              <w:jc w:val="left"/>
              <w:rPr>
                <w:rFonts w:asciiTheme="minorEastAsia" w:hAnsiTheme="minorEastAsia" w:eastAsiaTheme="minorEastAsia"/>
              </w:rPr>
            </w:pPr>
          </w:p>
        </w:tc>
        <w:tc>
          <w:tcPr>
            <w:tcW w:w="737" w:type="dxa"/>
            <w:vAlign w:val="center"/>
          </w:tcPr>
          <w:p w14:paraId="3A41331E">
            <w:pPr>
              <w:spacing w:line="300" w:lineRule="exact"/>
              <w:jc w:val="center"/>
              <w:rPr>
                <w:rFonts w:asciiTheme="minorEastAsia" w:hAnsiTheme="minorEastAsia" w:eastAsiaTheme="minorEastAsia"/>
              </w:rPr>
            </w:pPr>
          </w:p>
        </w:tc>
        <w:tc>
          <w:tcPr>
            <w:tcW w:w="737" w:type="dxa"/>
            <w:vAlign w:val="center"/>
          </w:tcPr>
          <w:p w14:paraId="48C1E586">
            <w:pPr>
              <w:spacing w:line="300" w:lineRule="exact"/>
              <w:jc w:val="center"/>
              <w:rPr>
                <w:rFonts w:asciiTheme="minorEastAsia" w:hAnsiTheme="minorEastAsia" w:eastAsiaTheme="minorEastAsia"/>
              </w:rPr>
            </w:pPr>
          </w:p>
        </w:tc>
        <w:tc>
          <w:tcPr>
            <w:tcW w:w="737" w:type="dxa"/>
            <w:vAlign w:val="center"/>
          </w:tcPr>
          <w:p w14:paraId="7B30C6DA">
            <w:pPr>
              <w:spacing w:line="300" w:lineRule="exact"/>
              <w:jc w:val="center"/>
              <w:rPr>
                <w:rFonts w:asciiTheme="minorEastAsia" w:hAnsiTheme="minorEastAsia" w:eastAsiaTheme="minorEastAsia"/>
              </w:rPr>
            </w:pPr>
          </w:p>
        </w:tc>
        <w:tc>
          <w:tcPr>
            <w:tcW w:w="737" w:type="dxa"/>
            <w:vAlign w:val="center"/>
          </w:tcPr>
          <w:p w14:paraId="28FDC6DF">
            <w:pPr>
              <w:spacing w:line="300" w:lineRule="exact"/>
              <w:jc w:val="center"/>
              <w:rPr>
                <w:rFonts w:asciiTheme="minorEastAsia" w:hAnsiTheme="minorEastAsia" w:eastAsiaTheme="minorEastAsia"/>
              </w:rPr>
            </w:pPr>
          </w:p>
        </w:tc>
      </w:tr>
      <w:tr w14:paraId="5A4F7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854A833">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协调督导重大不稳定隐患、群体性事件和突发事件的处置化解</w:t>
            </w:r>
          </w:p>
        </w:tc>
        <w:tc>
          <w:tcPr>
            <w:tcW w:w="1276" w:type="dxa"/>
            <w:vAlign w:val="center"/>
          </w:tcPr>
          <w:p w14:paraId="249AE440">
            <w:pPr>
              <w:spacing w:line="300" w:lineRule="exact"/>
              <w:jc w:val="left"/>
              <w:rPr>
                <w:rFonts w:asciiTheme="minorEastAsia" w:hAnsiTheme="minorEastAsia" w:eastAsiaTheme="minorEastAsia"/>
              </w:rPr>
            </w:pPr>
          </w:p>
        </w:tc>
        <w:tc>
          <w:tcPr>
            <w:tcW w:w="2976" w:type="dxa"/>
            <w:vAlign w:val="center"/>
          </w:tcPr>
          <w:p w14:paraId="1BF304B3">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对可能影响社会稳定的各种因素进行分析和评估，协调督导有关乡镇和相关职能部门对重大不稳定隐患、群体性事件和突发事件进行妥善处置。</w:t>
            </w:r>
          </w:p>
        </w:tc>
        <w:tc>
          <w:tcPr>
            <w:tcW w:w="2976" w:type="dxa"/>
            <w:vAlign w:val="center"/>
          </w:tcPr>
          <w:p w14:paraId="0B6F1231">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有效化解妥善处置重大不稳定隐患、群体性事件和突发事件；有效维护我县社会大局稳定，确保社会秩序良好。</w:t>
            </w:r>
          </w:p>
        </w:tc>
        <w:tc>
          <w:tcPr>
            <w:tcW w:w="1417" w:type="dxa"/>
            <w:vAlign w:val="center"/>
          </w:tcPr>
          <w:p w14:paraId="5E675263">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3476512B">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化解事项占督导事项总数的比例</w:t>
            </w:r>
          </w:p>
        </w:tc>
        <w:tc>
          <w:tcPr>
            <w:tcW w:w="737" w:type="dxa"/>
            <w:vAlign w:val="center"/>
          </w:tcPr>
          <w:p w14:paraId="4D96E8F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85%</w:t>
            </w:r>
          </w:p>
        </w:tc>
        <w:tc>
          <w:tcPr>
            <w:tcW w:w="737" w:type="dxa"/>
            <w:vAlign w:val="center"/>
          </w:tcPr>
          <w:p w14:paraId="5272E793">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75%</w:t>
            </w:r>
          </w:p>
        </w:tc>
        <w:tc>
          <w:tcPr>
            <w:tcW w:w="737" w:type="dxa"/>
            <w:vAlign w:val="center"/>
          </w:tcPr>
          <w:p w14:paraId="53489DF5">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261D2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FEE719F">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对各类涉稳情报信息收集、研判、通报</w:t>
            </w:r>
          </w:p>
        </w:tc>
        <w:tc>
          <w:tcPr>
            <w:tcW w:w="1276" w:type="dxa"/>
            <w:vAlign w:val="center"/>
          </w:tcPr>
          <w:p w14:paraId="63C71D65">
            <w:pPr>
              <w:spacing w:line="300" w:lineRule="exact"/>
              <w:jc w:val="left"/>
              <w:rPr>
                <w:rFonts w:asciiTheme="minorEastAsia" w:hAnsiTheme="minorEastAsia" w:eastAsiaTheme="minorEastAsia"/>
              </w:rPr>
            </w:pPr>
          </w:p>
        </w:tc>
        <w:tc>
          <w:tcPr>
            <w:tcW w:w="2976" w:type="dxa"/>
            <w:vAlign w:val="center"/>
          </w:tcPr>
          <w:p w14:paraId="4EE6CC9D">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搜集、综合、核实、研判影响我县社会稳定的各种情报信息，对社情、民情、敌情、舆情进行分析、研判、通报。</w:t>
            </w:r>
          </w:p>
        </w:tc>
        <w:tc>
          <w:tcPr>
            <w:tcW w:w="2976" w:type="dxa"/>
            <w:vAlign w:val="center"/>
          </w:tcPr>
          <w:p w14:paraId="61ABDDAE">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及时发现各类涉稳信息，有效化解妥善处置重大不稳定隐患、群体性事件和突发事件。</w:t>
            </w:r>
          </w:p>
        </w:tc>
        <w:tc>
          <w:tcPr>
            <w:tcW w:w="1417" w:type="dxa"/>
            <w:vAlign w:val="center"/>
          </w:tcPr>
          <w:p w14:paraId="78C9E6CB">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69E03E94">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研判信息占搜集信息总数的比例</w:t>
            </w:r>
          </w:p>
        </w:tc>
        <w:tc>
          <w:tcPr>
            <w:tcW w:w="737" w:type="dxa"/>
            <w:vAlign w:val="center"/>
          </w:tcPr>
          <w:p w14:paraId="6FD94D12">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7C0B3359">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378FF3B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70%</w:t>
            </w:r>
          </w:p>
        </w:tc>
      </w:tr>
      <w:tr w14:paraId="2E368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7C64810">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网络舆情应对处置</w:t>
            </w:r>
          </w:p>
        </w:tc>
        <w:tc>
          <w:tcPr>
            <w:tcW w:w="1276" w:type="dxa"/>
            <w:vAlign w:val="center"/>
          </w:tcPr>
          <w:p w14:paraId="7085777B">
            <w:pPr>
              <w:spacing w:line="300" w:lineRule="exact"/>
              <w:jc w:val="left"/>
              <w:rPr>
                <w:rFonts w:asciiTheme="minorEastAsia" w:hAnsiTheme="minorEastAsia" w:eastAsiaTheme="minorEastAsia"/>
              </w:rPr>
            </w:pPr>
          </w:p>
        </w:tc>
        <w:tc>
          <w:tcPr>
            <w:tcW w:w="2976" w:type="dxa"/>
            <w:vAlign w:val="center"/>
          </w:tcPr>
          <w:p w14:paraId="29CE400E">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在重大安保活动、重点时段、敏感节点期间针对网上涉及政治稳定、重大敏感问题或可能引发大面积炒作的问题启动战时应对处置机制，妥善应对处置。</w:t>
            </w:r>
          </w:p>
        </w:tc>
        <w:tc>
          <w:tcPr>
            <w:tcW w:w="2976" w:type="dxa"/>
            <w:vAlign w:val="center"/>
          </w:tcPr>
          <w:p w14:paraId="7746D48E">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对发现的各类涉稳舆情做到及时发现、及时处置、及时督办，充分发挥各职能部门职能优势，最大限度减少涉及县舆情炒作。</w:t>
            </w:r>
          </w:p>
        </w:tc>
        <w:tc>
          <w:tcPr>
            <w:tcW w:w="1417" w:type="dxa"/>
            <w:vAlign w:val="center"/>
          </w:tcPr>
          <w:p w14:paraId="4A932B8E">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020712D9">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处置的涉稳舆情数占涉稳网络舆情总数的比例</w:t>
            </w:r>
          </w:p>
        </w:tc>
        <w:tc>
          <w:tcPr>
            <w:tcW w:w="737" w:type="dxa"/>
            <w:vAlign w:val="center"/>
          </w:tcPr>
          <w:p w14:paraId="3263CE9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0933302D">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53BDA4EF">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70%</w:t>
            </w:r>
          </w:p>
        </w:tc>
      </w:tr>
      <w:tr w14:paraId="1A69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9D1BF66">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重大活动安保</w:t>
            </w:r>
          </w:p>
        </w:tc>
        <w:tc>
          <w:tcPr>
            <w:tcW w:w="1276" w:type="dxa"/>
            <w:vMerge w:val="restart"/>
            <w:vAlign w:val="center"/>
          </w:tcPr>
          <w:p w14:paraId="1BB4ED57">
            <w:pPr>
              <w:spacing w:line="300" w:lineRule="exact"/>
              <w:jc w:val="left"/>
              <w:rPr>
                <w:rFonts w:asciiTheme="minorEastAsia" w:hAnsiTheme="minorEastAsia" w:eastAsiaTheme="minorEastAsia"/>
              </w:rPr>
            </w:pPr>
          </w:p>
        </w:tc>
        <w:tc>
          <w:tcPr>
            <w:tcW w:w="2976" w:type="dxa"/>
            <w:vMerge w:val="restart"/>
            <w:vAlign w:val="center"/>
          </w:tcPr>
          <w:p w14:paraId="38561EA3">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做好我县各类重大活动间的安全保卫工作，不断完善相关工作机制。</w:t>
            </w:r>
          </w:p>
        </w:tc>
        <w:tc>
          <w:tcPr>
            <w:tcW w:w="2976" w:type="dxa"/>
            <w:vMerge w:val="restart"/>
            <w:vAlign w:val="center"/>
          </w:tcPr>
          <w:p w14:paraId="74B46220">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各项工作机制进一步完善健全，有效维护我省社会大局稳定，确保社会秩序良好。</w:t>
            </w:r>
          </w:p>
        </w:tc>
        <w:tc>
          <w:tcPr>
            <w:tcW w:w="1417" w:type="dxa"/>
            <w:vAlign w:val="center"/>
          </w:tcPr>
          <w:p w14:paraId="3A9D6EB1">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效果指标</w:t>
            </w:r>
          </w:p>
        </w:tc>
        <w:tc>
          <w:tcPr>
            <w:tcW w:w="737" w:type="dxa"/>
            <w:vAlign w:val="center"/>
          </w:tcPr>
          <w:p w14:paraId="43A7132B">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发生突发事件的重大活动数量占全部重大活动的比例</w:t>
            </w:r>
          </w:p>
        </w:tc>
        <w:tc>
          <w:tcPr>
            <w:tcW w:w="737" w:type="dxa"/>
            <w:vAlign w:val="center"/>
          </w:tcPr>
          <w:p w14:paraId="3446B02A">
            <w:pPr>
              <w:spacing w:line="300" w:lineRule="exact"/>
              <w:jc w:val="center"/>
              <w:rPr>
                <w:rFonts w:asciiTheme="minorEastAsia" w:hAnsiTheme="minorEastAsia" w:eastAsiaTheme="minorEastAsia"/>
              </w:rPr>
            </w:pPr>
          </w:p>
        </w:tc>
        <w:tc>
          <w:tcPr>
            <w:tcW w:w="737" w:type="dxa"/>
            <w:vAlign w:val="center"/>
          </w:tcPr>
          <w:p w14:paraId="28C39053">
            <w:pPr>
              <w:spacing w:line="300" w:lineRule="exact"/>
              <w:jc w:val="center"/>
              <w:rPr>
                <w:rFonts w:asciiTheme="minorEastAsia" w:hAnsiTheme="minorEastAsia" w:eastAsiaTheme="minorEastAsia"/>
              </w:rPr>
            </w:pPr>
          </w:p>
        </w:tc>
        <w:tc>
          <w:tcPr>
            <w:tcW w:w="737" w:type="dxa"/>
            <w:vAlign w:val="center"/>
          </w:tcPr>
          <w:p w14:paraId="5B4BBA2F">
            <w:pPr>
              <w:spacing w:line="300" w:lineRule="exact"/>
              <w:jc w:val="center"/>
              <w:rPr>
                <w:rFonts w:asciiTheme="minorEastAsia" w:hAnsiTheme="minorEastAsia" w:eastAsiaTheme="minorEastAsia"/>
              </w:rPr>
            </w:pPr>
          </w:p>
        </w:tc>
      </w:tr>
      <w:tr w14:paraId="21104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1AAF1F0">
            <w:pPr>
              <w:spacing w:line="300" w:lineRule="exact"/>
              <w:jc w:val="left"/>
              <w:rPr>
                <w:rFonts w:asciiTheme="minorEastAsia" w:hAnsiTheme="minorEastAsia" w:eastAsiaTheme="minorEastAsia"/>
                <w:b/>
                <w:bCs/>
              </w:rPr>
            </w:pPr>
          </w:p>
        </w:tc>
        <w:tc>
          <w:tcPr>
            <w:tcW w:w="1276" w:type="dxa"/>
            <w:vMerge w:val="continue"/>
            <w:vAlign w:val="center"/>
          </w:tcPr>
          <w:p w14:paraId="74A60083">
            <w:pPr>
              <w:spacing w:line="300" w:lineRule="exact"/>
              <w:jc w:val="left"/>
              <w:rPr>
                <w:rFonts w:asciiTheme="minorEastAsia" w:hAnsiTheme="minorEastAsia" w:eastAsiaTheme="minorEastAsia"/>
              </w:rPr>
            </w:pPr>
          </w:p>
        </w:tc>
        <w:tc>
          <w:tcPr>
            <w:tcW w:w="2976" w:type="dxa"/>
            <w:vMerge w:val="continue"/>
            <w:vAlign w:val="center"/>
          </w:tcPr>
          <w:p w14:paraId="34B68EF1">
            <w:pPr>
              <w:spacing w:line="300" w:lineRule="exact"/>
              <w:jc w:val="left"/>
              <w:rPr>
                <w:rFonts w:asciiTheme="minorEastAsia" w:hAnsiTheme="minorEastAsia" w:eastAsiaTheme="minorEastAsia"/>
              </w:rPr>
            </w:pPr>
          </w:p>
        </w:tc>
        <w:tc>
          <w:tcPr>
            <w:tcW w:w="2976" w:type="dxa"/>
            <w:vMerge w:val="continue"/>
            <w:vAlign w:val="center"/>
          </w:tcPr>
          <w:p w14:paraId="4422F8FE">
            <w:pPr>
              <w:spacing w:line="300" w:lineRule="exact"/>
              <w:jc w:val="left"/>
              <w:rPr>
                <w:rFonts w:asciiTheme="minorEastAsia" w:hAnsiTheme="minorEastAsia" w:eastAsiaTheme="minorEastAsia"/>
              </w:rPr>
            </w:pPr>
          </w:p>
        </w:tc>
        <w:tc>
          <w:tcPr>
            <w:tcW w:w="1417" w:type="dxa"/>
            <w:vAlign w:val="center"/>
          </w:tcPr>
          <w:p w14:paraId="60300E00">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3409217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完成的安保任务占任务总数的比例</w:t>
            </w:r>
          </w:p>
        </w:tc>
        <w:tc>
          <w:tcPr>
            <w:tcW w:w="737" w:type="dxa"/>
            <w:vAlign w:val="center"/>
          </w:tcPr>
          <w:p w14:paraId="614036BA">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04DC2988">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07DFF74C">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70%</w:t>
            </w:r>
          </w:p>
        </w:tc>
      </w:tr>
      <w:tr w14:paraId="3B3FB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F6C0E3E">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社会治安综合治理</w:t>
            </w:r>
          </w:p>
        </w:tc>
        <w:tc>
          <w:tcPr>
            <w:tcW w:w="1276" w:type="dxa"/>
            <w:vAlign w:val="center"/>
          </w:tcPr>
          <w:p w14:paraId="250DD9E9">
            <w:pPr>
              <w:spacing w:line="300" w:lineRule="exact"/>
              <w:jc w:val="left"/>
              <w:rPr>
                <w:rFonts w:asciiTheme="minorEastAsia" w:hAnsiTheme="minorEastAsia" w:eastAsiaTheme="minorEastAsia"/>
              </w:rPr>
            </w:pPr>
            <w:r>
              <w:rPr>
                <w:rFonts w:cs="方正书宋_GBK" w:asciiTheme="minorEastAsia" w:hAnsiTheme="minorEastAsia" w:eastAsiaTheme="minorEastAsia"/>
              </w:rPr>
              <w:t>45.27</w:t>
            </w:r>
          </w:p>
        </w:tc>
        <w:tc>
          <w:tcPr>
            <w:tcW w:w="2976" w:type="dxa"/>
            <w:vAlign w:val="center"/>
          </w:tcPr>
          <w:p w14:paraId="1333A4C9">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负责全县社会治安综合治理工作，推动各项措施的落实。</w:t>
            </w:r>
          </w:p>
        </w:tc>
        <w:tc>
          <w:tcPr>
            <w:tcW w:w="2976" w:type="dxa"/>
            <w:vAlign w:val="center"/>
          </w:tcPr>
          <w:p w14:paraId="0666C1DC">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社会治安突出问题得以解决，社会矛盾纠纷得以排查和调处，社会治安形势得以好转。</w:t>
            </w:r>
          </w:p>
        </w:tc>
        <w:tc>
          <w:tcPr>
            <w:tcW w:w="1417" w:type="dxa"/>
            <w:vAlign w:val="center"/>
          </w:tcPr>
          <w:p w14:paraId="3D6E3816">
            <w:pPr>
              <w:spacing w:line="300" w:lineRule="exact"/>
              <w:jc w:val="left"/>
              <w:rPr>
                <w:rFonts w:asciiTheme="minorEastAsia" w:hAnsiTheme="minorEastAsia" w:eastAsiaTheme="minorEastAsia"/>
              </w:rPr>
            </w:pPr>
          </w:p>
        </w:tc>
        <w:tc>
          <w:tcPr>
            <w:tcW w:w="737" w:type="dxa"/>
            <w:vAlign w:val="center"/>
          </w:tcPr>
          <w:p w14:paraId="0FD39A38">
            <w:pPr>
              <w:spacing w:line="300" w:lineRule="exact"/>
              <w:jc w:val="center"/>
              <w:rPr>
                <w:rFonts w:asciiTheme="minorEastAsia" w:hAnsiTheme="minorEastAsia" w:eastAsiaTheme="minorEastAsia"/>
              </w:rPr>
            </w:pPr>
          </w:p>
        </w:tc>
        <w:tc>
          <w:tcPr>
            <w:tcW w:w="737" w:type="dxa"/>
            <w:vAlign w:val="center"/>
          </w:tcPr>
          <w:p w14:paraId="617318B0">
            <w:pPr>
              <w:spacing w:line="300" w:lineRule="exact"/>
              <w:jc w:val="center"/>
              <w:rPr>
                <w:rFonts w:asciiTheme="minorEastAsia" w:hAnsiTheme="minorEastAsia" w:eastAsiaTheme="minorEastAsia"/>
              </w:rPr>
            </w:pPr>
          </w:p>
        </w:tc>
        <w:tc>
          <w:tcPr>
            <w:tcW w:w="737" w:type="dxa"/>
            <w:vAlign w:val="center"/>
          </w:tcPr>
          <w:p w14:paraId="3328C459">
            <w:pPr>
              <w:spacing w:line="300" w:lineRule="exact"/>
              <w:jc w:val="center"/>
              <w:rPr>
                <w:rFonts w:asciiTheme="minorEastAsia" w:hAnsiTheme="minorEastAsia" w:eastAsiaTheme="minorEastAsia"/>
              </w:rPr>
            </w:pPr>
          </w:p>
        </w:tc>
        <w:tc>
          <w:tcPr>
            <w:tcW w:w="737" w:type="dxa"/>
            <w:vAlign w:val="center"/>
          </w:tcPr>
          <w:p w14:paraId="1C73621D">
            <w:pPr>
              <w:spacing w:line="300" w:lineRule="exact"/>
              <w:jc w:val="center"/>
              <w:rPr>
                <w:rFonts w:asciiTheme="minorEastAsia" w:hAnsiTheme="minorEastAsia" w:eastAsiaTheme="minorEastAsia"/>
              </w:rPr>
            </w:pPr>
          </w:p>
        </w:tc>
      </w:tr>
      <w:tr w14:paraId="75AFD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73F0700">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创新社会管理方式</w:t>
            </w:r>
          </w:p>
        </w:tc>
        <w:tc>
          <w:tcPr>
            <w:tcW w:w="1276" w:type="dxa"/>
            <w:vMerge w:val="restart"/>
            <w:vAlign w:val="center"/>
          </w:tcPr>
          <w:p w14:paraId="17ABC1EA">
            <w:pPr>
              <w:spacing w:line="300" w:lineRule="exact"/>
              <w:jc w:val="left"/>
              <w:rPr>
                <w:rFonts w:cs="方正书宋_GBK" w:asciiTheme="minorEastAsia" w:hAnsiTheme="minorEastAsia" w:eastAsiaTheme="minorEastAsia"/>
              </w:rPr>
            </w:pPr>
            <w:r>
              <w:rPr>
                <w:rFonts w:cs="方正书宋_GBK" w:asciiTheme="minorEastAsia" w:hAnsiTheme="minorEastAsia" w:eastAsiaTheme="minorEastAsia"/>
              </w:rPr>
              <w:t>27.00</w:t>
            </w:r>
          </w:p>
        </w:tc>
        <w:tc>
          <w:tcPr>
            <w:tcW w:w="2976" w:type="dxa"/>
            <w:vMerge w:val="restart"/>
            <w:vAlign w:val="center"/>
          </w:tcPr>
          <w:p w14:paraId="3C6645A4">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开展政法干警人身保险参保工作，推动严重精神病障碍患者群体帮扶救助工作，为社会管理工作提供新模式</w:t>
            </w:r>
          </w:p>
        </w:tc>
        <w:tc>
          <w:tcPr>
            <w:tcW w:w="2976" w:type="dxa"/>
            <w:vMerge w:val="restart"/>
            <w:vAlign w:val="center"/>
          </w:tcPr>
          <w:p w14:paraId="4B06D8A9">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各项创新社会管理工作能够有效开展，为社会稳定提供新的管理模式</w:t>
            </w:r>
          </w:p>
        </w:tc>
        <w:tc>
          <w:tcPr>
            <w:tcW w:w="1417" w:type="dxa"/>
            <w:vAlign w:val="center"/>
          </w:tcPr>
          <w:p w14:paraId="2DD24FBF">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2B8D8DE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为严重精神障碍患者群体提供救助服务的人数占严重精神障碍患者总人数的比例</w:t>
            </w:r>
          </w:p>
        </w:tc>
        <w:tc>
          <w:tcPr>
            <w:tcW w:w="737" w:type="dxa"/>
            <w:vAlign w:val="center"/>
          </w:tcPr>
          <w:p w14:paraId="077C004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3092DDF3">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48BBA5D4">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1BD57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FDFC743">
            <w:pPr>
              <w:spacing w:line="300" w:lineRule="exact"/>
              <w:jc w:val="left"/>
              <w:rPr>
                <w:rFonts w:asciiTheme="minorEastAsia" w:hAnsiTheme="minorEastAsia" w:eastAsiaTheme="minorEastAsia"/>
                <w:b/>
                <w:bCs/>
              </w:rPr>
            </w:pPr>
          </w:p>
        </w:tc>
        <w:tc>
          <w:tcPr>
            <w:tcW w:w="1276" w:type="dxa"/>
            <w:vMerge w:val="continue"/>
            <w:vAlign w:val="center"/>
          </w:tcPr>
          <w:p w14:paraId="0914BF45">
            <w:pPr>
              <w:spacing w:line="300" w:lineRule="exact"/>
              <w:jc w:val="left"/>
              <w:rPr>
                <w:rFonts w:asciiTheme="minorEastAsia" w:hAnsiTheme="minorEastAsia" w:eastAsiaTheme="minorEastAsia"/>
              </w:rPr>
            </w:pPr>
          </w:p>
        </w:tc>
        <w:tc>
          <w:tcPr>
            <w:tcW w:w="2976" w:type="dxa"/>
            <w:vMerge w:val="continue"/>
            <w:vAlign w:val="center"/>
          </w:tcPr>
          <w:p w14:paraId="691973D1">
            <w:pPr>
              <w:spacing w:line="300" w:lineRule="exact"/>
              <w:jc w:val="left"/>
              <w:rPr>
                <w:rFonts w:asciiTheme="minorEastAsia" w:hAnsiTheme="minorEastAsia" w:eastAsiaTheme="minorEastAsia"/>
              </w:rPr>
            </w:pPr>
          </w:p>
        </w:tc>
        <w:tc>
          <w:tcPr>
            <w:tcW w:w="2976" w:type="dxa"/>
            <w:vMerge w:val="continue"/>
            <w:vAlign w:val="center"/>
          </w:tcPr>
          <w:p w14:paraId="4D8E366D">
            <w:pPr>
              <w:spacing w:line="300" w:lineRule="exact"/>
              <w:jc w:val="left"/>
              <w:rPr>
                <w:rFonts w:asciiTheme="minorEastAsia" w:hAnsiTheme="minorEastAsia" w:eastAsiaTheme="minorEastAsia"/>
              </w:rPr>
            </w:pPr>
          </w:p>
        </w:tc>
        <w:tc>
          <w:tcPr>
            <w:tcW w:w="1417" w:type="dxa"/>
            <w:vAlign w:val="center"/>
          </w:tcPr>
          <w:p w14:paraId="2754DEC3">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4C52E40D">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全县政法干警人身意外险参保人数占全县政法干警总人数的比例</w:t>
            </w:r>
          </w:p>
        </w:tc>
        <w:tc>
          <w:tcPr>
            <w:tcW w:w="737" w:type="dxa"/>
            <w:vAlign w:val="center"/>
          </w:tcPr>
          <w:p w14:paraId="253B9113">
            <w:pPr>
              <w:spacing w:line="300" w:lineRule="exact"/>
              <w:jc w:val="center"/>
              <w:rPr>
                <w:rFonts w:asciiTheme="minorEastAsia" w:hAnsiTheme="minorEastAsia" w:eastAsiaTheme="minorEastAsia"/>
              </w:rPr>
            </w:pPr>
            <w:r>
              <w:rPr>
                <w:rFonts w:cs="方正书宋_GBK" w:asciiTheme="minorEastAsia" w:hAnsiTheme="minorEastAsia" w:eastAsiaTheme="minorEastAsia"/>
              </w:rPr>
              <w:t>100%</w:t>
            </w:r>
          </w:p>
        </w:tc>
        <w:tc>
          <w:tcPr>
            <w:tcW w:w="737" w:type="dxa"/>
            <w:vAlign w:val="center"/>
          </w:tcPr>
          <w:p w14:paraId="10CB3BC6">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95%</w:t>
            </w:r>
          </w:p>
        </w:tc>
        <w:tc>
          <w:tcPr>
            <w:tcW w:w="737" w:type="dxa"/>
            <w:vAlign w:val="center"/>
          </w:tcPr>
          <w:p w14:paraId="6AF2F759">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r>
      <w:tr w14:paraId="719D0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55326A6">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平安建设</w:t>
            </w:r>
          </w:p>
        </w:tc>
        <w:tc>
          <w:tcPr>
            <w:tcW w:w="1276" w:type="dxa"/>
            <w:vMerge w:val="restart"/>
            <w:vAlign w:val="center"/>
          </w:tcPr>
          <w:p w14:paraId="5853271B">
            <w:pPr>
              <w:spacing w:line="300" w:lineRule="exact"/>
              <w:jc w:val="left"/>
              <w:rPr>
                <w:rFonts w:asciiTheme="minorEastAsia" w:hAnsiTheme="minorEastAsia" w:eastAsiaTheme="minorEastAsia"/>
              </w:rPr>
            </w:pPr>
          </w:p>
        </w:tc>
        <w:tc>
          <w:tcPr>
            <w:tcW w:w="2976" w:type="dxa"/>
            <w:vMerge w:val="restart"/>
            <w:vAlign w:val="center"/>
          </w:tcPr>
          <w:p w14:paraId="03F69B21">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为重大案件顺利侦破提供相应的支持，开展司法救助等活动，确保平安建设顺利开展。</w:t>
            </w:r>
          </w:p>
        </w:tc>
        <w:tc>
          <w:tcPr>
            <w:tcW w:w="2976" w:type="dxa"/>
            <w:vMerge w:val="restart"/>
            <w:vAlign w:val="center"/>
          </w:tcPr>
          <w:p w14:paraId="44E49427">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实现政治安定、社会稳定和人民生活和谐有序。</w:t>
            </w:r>
          </w:p>
        </w:tc>
        <w:tc>
          <w:tcPr>
            <w:tcW w:w="1417" w:type="dxa"/>
            <w:vAlign w:val="center"/>
          </w:tcPr>
          <w:p w14:paraId="3337883F">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效果指标</w:t>
            </w:r>
          </w:p>
        </w:tc>
        <w:tc>
          <w:tcPr>
            <w:tcW w:w="737" w:type="dxa"/>
            <w:vAlign w:val="center"/>
          </w:tcPr>
          <w:p w14:paraId="03BAEDDA">
            <w:pPr>
              <w:spacing w:line="300" w:lineRule="exact"/>
              <w:jc w:val="center"/>
              <w:rPr>
                <w:rFonts w:asciiTheme="minorEastAsia" w:hAnsiTheme="minorEastAsia" w:eastAsiaTheme="minorEastAsia"/>
              </w:rPr>
            </w:pPr>
            <w:r>
              <w:rPr>
                <w:rFonts w:asciiTheme="minorEastAsia" w:hAnsiTheme="minorEastAsia" w:eastAsiaTheme="minorEastAsia"/>
              </w:rPr>
              <w:t>“</w:t>
            </w:r>
            <w:r>
              <w:rPr>
                <w:rFonts w:hint="eastAsia" w:cs="方正书宋_GBK" w:asciiTheme="minorEastAsia" w:hAnsiTheme="minorEastAsia" w:eastAsiaTheme="minorEastAsia"/>
              </w:rPr>
              <w:t>民转刑</w:t>
            </w:r>
            <w:r>
              <w:rPr>
                <w:rFonts w:asciiTheme="minorEastAsia" w:hAnsiTheme="minorEastAsia" w:eastAsiaTheme="minorEastAsia"/>
              </w:rPr>
              <w:t>”</w:t>
            </w:r>
            <w:r>
              <w:rPr>
                <w:rFonts w:hint="eastAsia" w:cs="方正书宋_GBK" w:asciiTheme="minorEastAsia" w:hAnsiTheme="minorEastAsia" w:eastAsiaTheme="minorEastAsia"/>
              </w:rPr>
              <w:t>命案发生数量的减少比率</w:t>
            </w:r>
          </w:p>
        </w:tc>
        <w:tc>
          <w:tcPr>
            <w:tcW w:w="737" w:type="dxa"/>
            <w:vAlign w:val="center"/>
          </w:tcPr>
          <w:p w14:paraId="5547CB96">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4E7AE25D">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61FF382C">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6A0E4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9A6F77A">
            <w:pPr>
              <w:spacing w:line="300" w:lineRule="exact"/>
              <w:jc w:val="left"/>
              <w:rPr>
                <w:rFonts w:asciiTheme="minorEastAsia" w:hAnsiTheme="minorEastAsia" w:eastAsiaTheme="minorEastAsia"/>
                <w:b/>
                <w:bCs/>
              </w:rPr>
            </w:pPr>
          </w:p>
        </w:tc>
        <w:tc>
          <w:tcPr>
            <w:tcW w:w="1276" w:type="dxa"/>
            <w:vMerge w:val="continue"/>
            <w:vAlign w:val="center"/>
          </w:tcPr>
          <w:p w14:paraId="54DBB669">
            <w:pPr>
              <w:spacing w:line="300" w:lineRule="exact"/>
              <w:jc w:val="left"/>
              <w:rPr>
                <w:rFonts w:asciiTheme="minorEastAsia" w:hAnsiTheme="minorEastAsia" w:eastAsiaTheme="minorEastAsia"/>
              </w:rPr>
            </w:pPr>
          </w:p>
        </w:tc>
        <w:tc>
          <w:tcPr>
            <w:tcW w:w="2976" w:type="dxa"/>
            <w:vMerge w:val="continue"/>
            <w:vAlign w:val="center"/>
          </w:tcPr>
          <w:p w14:paraId="32C412D6">
            <w:pPr>
              <w:spacing w:line="300" w:lineRule="exact"/>
              <w:jc w:val="left"/>
              <w:rPr>
                <w:rFonts w:asciiTheme="minorEastAsia" w:hAnsiTheme="minorEastAsia" w:eastAsiaTheme="minorEastAsia"/>
              </w:rPr>
            </w:pPr>
          </w:p>
        </w:tc>
        <w:tc>
          <w:tcPr>
            <w:tcW w:w="2976" w:type="dxa"/>
            <w:vMerge w:val="continue"/>
            <w:vAlign w:val="center"/>
          </w:tcPr>
          <w:p w14:paraId="399747C1">
            <w:pPr>
              <w:spacing w:line="300" w:lineRule="exact"/>
              <w:jc w:val="left"/>
              <w:rPr>
                <w:rFonts w:asciiTheme="minorEastAsia" w:hAnsiTheme="minorEastAsia" w:eastAsiaTheme="minorEastAsia"/>
              </w:rPr>
            </w:pPr>
          </w:p>
        </w:tc>
        <w:tc>
          <w:tcPr>
            <w:tcW w:w="1417" w:type="dxa"/>
            <w:vAlign w:val="center"/>
          </w:tcPr>
          <w:p w14:paraId="2DD3E83E">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360F52F6">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调处矛盾纠纷数量占排查矛盾纠纷总数的比率</w:t>
            </w:r>
          </w:p>
        </w:tc>
        <w:tc>
          <w:tcPr>
            <w:tcW w:w="737" w:type="dxa"/>
            <w:vAlign w:val="center"/>
          </w:tcPr>
          <w:p w14:paraId="236E93FF">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6B59AE32">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5B57BD5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7B9B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EE9B591">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铁路护路联防</w:t>
            </w:r>
          </w:p>
        </w:tc>
        <w:tc>
          <w:tcPr>
            <w:tcW w:w="1276" w:type="dxa"/>
            <w:vAlign w:val="center"/>
          </w:tcPr>
          <w:p w14:paraId="5A239404">
            <w:pPr>
              <w:spacing w:line="300" w:lineRule="exact"/>
              <w:jc w:val="left"/>
              <w:rPr>
                <w:rFonts w:cs="方正书宋_GBK" w:asciiTheme="minorEastAsia" w:hAnsiTheme="minorEastAsia" w:eastAsiaTheme="minorEastAsia"/>
              </w:rPr>
            </w:pPr>
            <w:r>
              <w:rPr>
                <w:rFonts w:cs="方正书宋_GBK" w:asciiTheme="minorEastAsia" w:hAnsiTheme="minorEastAsia" w:eastAsiaTheme="minorEastAsia"/>
              </w:rPr>
              <w:t>18.27</w:t>
            </w:r>
          </w:p>
        </w:tc>
        <w:tc>
          <w:tcPr>
            <w:tcW w:w="2976" w:type="dxa"/>
            <w:vAlign w:val="center"/>
          </w:tcPr>
          <w:p w14:paraId="7A000333">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组织协调各级各部门齐抓共管，组织情况交流和信息反馈。掌握铁路沿线治安情况，组织开展治安隐患排查整治、爱路护路宣传、重要时期护路任务等重点工作，保障省、市、县三级护路组织和护路人员正常开展工作，具体负责护路联防经费的管理和使用。</w:t>
            </w:r>
          </w:p>
        </w:tc>
        <w:tc>
          <w:tcPr>
            <w:tcW w:w="2976" w:type="dxa"/>
            <w:vAlign w:val="center"/>
          </w:tcPr>
          <w:p w14:paraId="72DFA2E9">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深化平安铁路建设，健全治安防控体系，夯实基层基础，确保年内不发生爆炸铁路和颠覆列车重大案事件，不发生群体性冲击铁路、拦车断道事件，不发生破坏铁路设施和影响列车行车安全的重大事件，铁路护路联防工作得到落实，净化沿线治安和列车运行安全环境，确保省内铁路沿线治安秩序稳定。</w:t>
            </w:r>
          </w:p>
        </w:tc>
        <w:tc>
          <w:tcPr>
            <w:tcW w:w="1417" w:type="dxa"/>
            <w:vAlign w:val="center"/>
          </w:tcPr>
          <w:p w14:paraId="65723E05">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16671C97">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重要时期完成省委省政府专项护路任务目标情况</w:t>
            </w:r>
          </w:p>
        </w:tc>
        <w:tc>
          <w:tcPr>
            <w:tcW w:w="737" w:type="dxa"/>
            <w:vAlign w:val="center"/>
          </w:tcPr>
          <w:p w14:paraId="74A08EB9">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3DDD984A">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251615CD">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6D888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C084BEC">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见义勇为基金经费管理</w:t>
            </w:r>
          </w:p>
        </w:tc>
        <w:tc>
          <w:tcPr>
            <w:tcW w:w="1276" w:type="dxa"/>
            <w:vMerge w:val="restart"/>
            <w:vAlign w:val="center"/>
          </w:tcPr>
          <w:p w14:paraId="59ADF4C9">
            <w:pPr>
              <w:spacing w:line="300" w:lineRule="exact"/>
              <w:jc w:val="left"/>
              <w:rPr>
                <w:rFonts w:asciiTheme="minorEastAsia" w:hAnsiTheme="minorEastAsia" w:eastAsiaTheme="minorEastAsia"/>
              </w:rPr>
            </w:pPr>
          </w:p>
        </w:tc>
        <w:tc>
          <w:tcPr>
            <w:tcW w:w="2976" w:type="dxa"/>
            <w:vMerge w:val="restart"/>
            <w:vAlign w:val="center"/>
          </w:tcPr>
          <w:p w14:paraId="17ED30FB">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奖励、抚恤、慰问见义勇为人员。</w:t>
            </w:r>
          </w:p>
        </w:tc>
        <w:tc>
          <w:tcPr>
            <w:tcW w:w="2976" w:type="dxa"/>
            <w:vMerge w:val="restart"/>
            <w:vAlign w:val="center"/>
          </w:tcPr>
          <w:p w14:paraId="613A0F08">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表彰奖励、抚恤、慰问见义勇为人员，对见义勇为人员进行助困、助学等帮扶工作，确保见义勇为英雄</w:t>
            </w:r>
            <w:r>
              <w:rPr>
                <w:rFonts w:asciiTheme="minorEastAsia" w:hAnsiTheme="minorEastAsia" w:eastAsiaTheme="minorEastAsia"/>
              </w:rPr>
              <w:t>“</w:t>
            </w:r>
            <w:r>
              <w:rPr>
                <w:rFonts w:hint="eastAsia" w:cs="方正书宋_GBK" w:asciiTheme="minorEastAsia" w:hAnsiTheme="minorEastAsia" w:eastAsiaTheme="minorEastAsia"/>
              </w:rPr>
              <w:t>流血不流泪</w:t>
            </w:r>
            <w:r>
              <w:rPr>
                <w:rFonts w:asciiTheme="minorEastAsia" w:hAnsiTheme="minorEastAsia" w:eastAsiaTheme="minorEastAsia"/>
              </w:rPr>
              <w:t>”</w:t>
            </w:r>
            <w:r>
              <w:rPr>
                <w:rFonts w:hint="eastAsia" w:cs="方正书宋_GBK" w:asciiTheme="minorEastAsia" w:hAnsiTheme="minorEastAsia" w:eastAsiaTheme="minorEastAsia"/>
              </w:rPr>
              <w:t>，解除后顾之忧。</w:t>
            </w:r>
          </w:p>
        </w:tc>
        <w:tc>
          <w:tcPr>
            <w:tcW w:w="1417" w:type="dxa"/>
            <w:vAlign w:val="center"/>
          </w:tcPr>
          <w:p w14:paraId="66BAF7F7">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1D132147">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利用各种媒体和形式宣传见义勇为（次数）</w:t>
            </w:r>
          </w:p>
        </w:tc>
        <w:tc>
          <w:tcPr>
            <w:tcW w:w="737" w:type="dxa"/>
            <w:vAlign w:val="center"/>
          </w:tcPr>
          <w:p w14:paraId="5CC2A094">
            <w:pPr>
              <w:spacing w:line="300" w:lineRule="exact"/>
              <w:jc w:val="center"/>
              <w:rPr>
                <w:rFonts w:asciiTheme="minorEastAsia" w:hAnsiTheme="minorEastAsia" w:eastAsiaTheme="minorEastAsia"/>
              </w:rPr>
            </w:pPr>
            <w:r>
              <w:rPr>
                <w:rFonts w:cs="方正书宋_GBK" w:asciiTheme="minorEastAsia" w:hAnsiTheme="minorEastAsia" w:eastAsiaTheme="minorEastAsia"/>
              </w:rPr>
              <w:t>10</w:t>
            </w:r>
            <w:r>
              <w:rPr>
                <w:rFonts w:hint="eastAsia" w:cs="方正书宋_GBK" w:asciiTheme="minorEastAsia" w:hAnsiTheme="minorEastAsia" w:eastAsiaTheme="minorEastAsia"/>
              </w:rPr>
              <w:t>次及以上</w:t>
            </w:r>
          </w:p>
        </w:tc>
        <w:tc>
          <w:tcPr>
            <w:tcW w:w="737" w:type="dxa"/>
            <w:vAlign w:val="center"/>
          </w:tcPr>
          <w:p w14:paraId="182C25B3">
            <w:pPr>
              <w:spacing w:line="300" w:lineRule="exact"/>
              <w:jc w:val="center"/>
              <w:rPr>
                <w:rFonts w:asciiTheme="minorEastAsia" w:hAnsiTheme="minorEastAsia" w:eastAsiaTheme="minorEastAsia"/>
              </w:rPr>
            </w:pPr>
            <w:r>
              <w:rPr>
                <w:rFonts w:cs="方正书宋_GBK" w:asciiTheme="minorEastAsia" w:hAnsiTheme="minorEastAsia" w:eastAsiaTheme="minorEastAsia"/>
              </w:rPr>
              <w:t>8</w:t>
            </w:r>
            <w:r>
              <w:rPr>
                <w:rFonts w:hint="eastAsia" w:cs="方正书宋_GBK" w:asciiTheme="minorEastAsia" w:hAnsiTheme="minorEastAsia" w:eastAsiaTheme="minorEastAsia"/>
              </w:rPr>
              <w:t>次</w:t>
            </w:r>
            <w:r>
              <w:rPr>
                <w:rFonts w:cs="方正书宋_GBK" w:asciiTheme="minorEastAsia" w:hAnsiTheme="minorEastAsia" w:eastAsiaTheme="minorEastAsia"/>
              </w:rPr>
              <w:t>-10</w:t>
            </w:r>
            <w:r>
              <w:rPr>
                <w:rFonts w:hint="eastAsia" w:cs="方正书宋_GBK" w:asciiTheme="minorEastAsia" w:hAnsiTheme="minorEastAsia" w:eastAsiaTheme="minorEastAsia"/>
              </w:rPr>
              <w:t>次</w:t>
            </w:r>
          </w:p>
        </w:tc>
        <w:tc>
          <w:tcPr>
            <w:tcW w:w="737" w:type="dxa"/>
            <w:vAlign w:val="center"/>
          </w:tcPr>
          <w:p w14:paraId="14E0EA1E">
            <w:pPr>
              <w:spacing w:line="300" w:lineRule="exact"/>
              <w:jc w:val="center"/>
              <w:rPr>
                <w:rFonts w:asciiTheme="minorEastAsia" w:hAnsiTheme="minorEastAsia" w:eastAsiaTheme="minorEastAsia"/>
              </w:rPr>
            </w:pPr>
            <w:r>
              <w:rPr>
                <w:rFonts w:cs="方正书宋_GBK" w:asciiTheme="minorEastAsia" w:hAnsiTheme="minorEastAsia" w:eastAsiaTheme="minorEastAsia"/>
              </w:rPr>
              <w:t>6</w:t>
            </w:r>
            <w:r>
              <w:rPr>
                <w:rFonts w:hint="eastAsia" w:cs="方正书宋_GBK" w:asciiTheme="minorEastAsia" w:hAnsiTheme="minorEastAsia" w:eastAsiaTheme="minorEastAsia"/>
              </w:rPr>
              <w:t>次</w:t>
            </w:r>
            <w:r>
              <w:rPr>
                <w:rFonts w:cs="方正书宋_GBK" w:asciiTheme="minorEastAsia" w:hAnsiTheme="minorEastAsia" w:eastAsiaTheme="minorEastAsia"/>
              </w:rPr>
              <w:t>-8</w:t>
            </w:r>
            <w:r>
              <w:rPr>
                <w:rFonts w:hint="eastAsia" w:cs="方正书宋_GBK" w:asciiTheme="minorEastAsia" w:hAnsiTheme="minorEastAsia" w:eastAsiaTheme="minorEastAsia"/>
              </w:rPr>
              <w:t>次</w:t>
            </w:r>
          </w:p>
        </w:tc>
      </w:tr>
      <w:tr w14:paraId="52427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B2759D5">
            <w:pPr>
              <w:spacing w:line="300" w:lineRule="exact"/>
              <w:jc w:val="left"/>
              <w:rPr>
                <w:rFonts w:asciiTheme="minorEastAsia" w:hAnsiTheme="minorEastAsia" w:eastAsiaTheme="minorEastAsia"/>
                <w:b/>
                <w:bCs/>
              </w:rPr>
            </w:pPr>
          </w:p>
        </w:tc>
        <w:tc>
          <w:tcPr>
            <w:tcW w:w="1276" w:type="dxa"/>
            <w:vMerge w:val="continue"/>
            <w:vAlign w:val="center"/>
          </w:tcPr>
          <w:p w14:paraId="46A34CC5">
            <w:pPr>
              <w:spacing w:line="300" w:lineRule="exact"/>
              <w:jc w:val="left"/>
              <w:rPr>
                <w:rFonts w:asciiTheme="minorEastAsia" w:hAnsiTheme="minorEastAsia" w:eastAsiaTheme="minorEastAsia"/>
              </w:rPr>
            </w:pPr>
          </w:p>
        </w:tc>
        <w:tc>
          <w:tcPr>
            <w:tcW w:w="2976" w:type="dxa"/>
            <w:vMerge w:val="continue"/>
            <w:vAlign w:val="center"/>
          </w:tcPr>
          <w:p w14:paraId="18CBDAF0">
            <w:pPr>
              <w:spacing w:line="300" w:lineRule="exact"/>
              <w:jc w:val="left"/>
              <w:rPr>
                <w:rFonts w:asciiTheme="minorEastAsia" w:hAnsiTheme="minorEastAsia" w:eastAsiaTheme="minorEastAsia"/>
              </w:rPr>
            </w:pPr>
          </w:p>
        </w:tc>
        <w:tc>
          <w:tcPr>
            <w:tcW w:w="2976" w:type="dxa"/>
            <w:vMerge w:val="continue"/>
            <w:vAlign w:val="center"/>
          </w:tcPr>
          <w:p w14:paraId="51B7A3E2">
            <w:pPr>
              <w:spacing w:line="300" w:lineRule="exact"/>
              <w:jc w:val="left"/>
              <w:rPr>
                <w:rFonts w:asciiTheme="minorEastAsia" w:hAnsiTheme="minorEastAsia" w:eastAsiaTheme="minorEastAsia"/>
              </w:rPr>
            </w:pPr>
          </w:p>
        </w:tc>
        <w:tc>
          <w:tcPr>
            <w:tcW w:w="1417" w:type="dxa"/>
            <w:vAlign w:val="center"/>
          </w:tcPr>
          <w:p w14:paraId="3FE0CD3C">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效果指标</w:t>
            </w:r>
          </w:p>
        </w:tc>
        <w:tc>
          <w:tcPr>
            <w:tcW w:w="737" w:type="dxa"/>
            <w:vAlign w:val="center"/>
          </w:tcPr>
          <w:p w14:paraId="0CD77693">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奖励、帮扶见义勇为人员人次占总人次的比率</w:t>
            </w:r>
          </w:p>
        </w:tc>
        <w:tc>
          <w:tcPr>
            <w:tcW w:w="737" w:type="dxa"/>
            <w:vAlign w:val="center"/>
          </w:tcPr>
          <w:p w14:paraId="0A07CFA9">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1C1E2260">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05B6BB94">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0C033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5D29081">
            <w:pPr>
              <w:spacing w:line="300" w:lineRule="exact"/>
              <w:jc w:val="left"/>
              <w:rPr>
                <w:rFonts w:asciiTheme="minorEastAsia" w:hAnsiTheme="minorEastAsia" w:eastAsiaTheme="minorEastAsia"/>
                <w:b/>
                <w:bCs/>
              </w:rPr>
            </w:pPr>
          </w:p>
        </w:tc>
        <w:tc>
          <w:tcPr>
            <w:tcW w:w="1276" w:type="dxa"/>
            <w:vMerge w:val="continue"/>
            <w:vAlign w:val="center"/>
          </w:tcPr>
          <w:p w14:paraId="6B14CF84">
            <w:pPr>
              <w:spacing w:line="300" w:lineRule="exact"/>
              <w:jc w:val="left"/>
              <w:rPr>
                <w:rFonts w:asciiTheme="minorEastAsia" w:hAnsiTheme="minorEastAsia" w:eastAsiaTheme="minorEastAsia"/>
              </w:rPr>
            </w:pPr>
          </w:p>
        </w:tc>
        <w:tc>
          <w:tcPr>
            <w:tcW w:w="2976" w:type="dxa"/>
            <w:vMerge w:val="continue"/>
            <w:vAlign w:val="center"/>
          </w:tcPr>
          <w:p w14:paraId="15483ED6">
            <w:pPr>
              <w:spacing w:line="300" w:lineRule="exact"/>
              <w:jc w:val="left"/>
              <w:rPr>
                <w:rFonts w:asciiTheme="minorEastAsia" w:hAnsiTheme="minorEastAsia" w:eastAsiaTheme="minorEastAsia"/>
              </w:rPr>
            </w:pPr>
          </w:p>
        </w:tc>
        <w:tc>
          <w:tcPr>
            <w:tcW w:w="2976" w:type="dxa"/>
            <w:vMerge w:val="continue"/>
            <w:vAlign w:val="center"/>
          </w:tcPr>
          <w:p w14:paraId="5CF4EAEF">
            <w:pPr>
              <w:spacing w:line="300" w:lineRule="exact"/>
              <w:jc w:val="left"/>
              <w:rPr>
                <w:rFonts w:asciiTheme="minorEastAsia" w:hAnsiTheme="minorEastAsia" w:eastAsiaTheme="minorEastAsia"/>
              </w:rPr>
            </w:pPr>
          </w:p>
        </w:tc>
        <w:tc>
          <w:tcPr>
            <w:tcW w:w="1417" w:type="dxa"/>
            <w:vAlign w:val="center"/>
          </w:tcPr>
          <w:p w14:paraId="63151A4D">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267183F6">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奖励、抚恤、慰问见义勇为人员人次</w:t>
            </w:r>
          </w:p>
        </w:tc>
        <w:tc>
          <w:tcPr>
            <w:tcW w:w="737" w:type="dxa"/>
            <w:vAlign w:val="center"/>
          </w:tcPr>
          <w:p w14:paraId="0686565A">
            <w:pPr>
              <w:spacing w:line="300" w:lineRule="exact"/>
              <w:jc w:val="center"/>
              <w:rPr>
                <w:rFonts w:asciiTheme="minorEastAsia" w:hAnsiTheme="minorEastAsia" w:eastAsiaTheme="minorEastAsia"/>
              </w:rPr>
            </w:pPr>
            <w:r>
              <w:rPr>
                <w:rFonts w:cs="方正书宋_GBK" w:asciiTheme="minorEastAsia" w:hAnsiTheme="minorEastAsia" w:eastAsiaTheme="minorEastAsia"/>
              </w:rPr>
              <w:t>20</w:t>
            </w:r>
            <w:r>
              <w:rPr>
                <w:rFonts w:hint="eastAsia" w:cs="方正书宋_GBK" w:asciiTheme="minorEastAsia" w:hAnsiTheme="minorEastAsia" w:eastAsiaTheme="minorEastAsia"/>
              </w:rPr>
              <w:t>人次及以上</w:t>
            </w:r>
          </w:p>
        </w:tc>
        <w:tc>
          <w:tcPr>
            <w:tcW w:w="737" w:type="dxa"/>
            <w:vAlign w:val="center"/>
          </w:tcPr>
          <w:p w14:paraId="2F019224">
            <w:pPr>
              <w:spacing w:line="300" w:lineRule="exact"/>
              <w:jc w:val="center"/>
              <w:rPr>
                <w:rFonts w:asciiTheme="minorEastAsia" w:hAnsiTheme="minorEastAsia" w:eastAsiaTheme="minorEastAsia"/>
              </w:rPr>
            </w:pPr>
            <w:r>
              <w:rPr>
                <w:rFonts w:cs="方正书宋_GBK" w:asciiTheme="minorEastAsia" w:hAnsiTheme="minorEastAsia" w:eastAsiaTheme="minorEastAsia"/>
              </w:rPr>
              <w:t>15</w:t>
            </w:r>
            <w:r>
              <w:rPr>
                <w:rFonts w:hint="eastAsia" w:cs="方正书宋_GBK" w:asciiTheme="minorEastAsia" w:hAnsiTheme="minorEastAsia" w:eastAsiaTheme="minorEastAsia"/>
              </w:rPr>
              <w:t>人次</w:t>
            </w:r>
            <w:r>
              <w:rPr>
                <w:rFonts w:cs="方正书宋_GBK" w:asciiTheme="minorEastAsia" w:hAnsiTheme="minorEastAsia" w:eastAsiaTheme="minorEastAsia"/>
              </w:rPr>
              <w:t>-20</w:t>
            </w:r>
            <w:r>
              <w:rPr>
                <w:rFonts w:hint="eastAsia" w:cs="方正书宋_GBK" w:asciiTheme="minorEastAsia" w:hAnsiTheme="minorEastAsia" w:eastAsiaTheme="minorEastAsia"/>
              </w:rPr>
              <w:t>人次</w:t>
            </w:r>
          </w:p>
        </w:tc>
        <w:tc>
          <w:tcPr>
            <w:tcW w:w="737" w:type="dxa"/>
            <w:vAlign w:val="center"/>
          </w:tcPr>
          <w:p w14:paraId="641E1976">
            <w:pPr>
              <w:spacing w:line="300" w:lineRule="exact"/>
              <w:jc w:val="center"/>
              <w:rPr>
                <w:rFonts w:asciiTheme="minorEastAsia" w:hAnsiTheme="minorEastAsia" w:eastAsiaTheme="minorEastAsia"/>
              </w:rPr>
            </w:pPr>
            <w:r>
              <w:rPr>
                <w:rFonts w:cs="方正书宋_GBK" w:asciiTheme="minorEastAsia" w:hAnsiTheme="minorEastAsia" w:eastAsiaTheme="minorEastAsia"/>
              </w:rPr>
              <w:t>10</w:t>
            </w:r>
            <w:r>
              <w:rPr>
                <w:rFonts w:hint="eastAsia" w:cs="方正书宋_GBK" w:asciiTheme="minorEastAsia" w:hAnsiTheme="minorEastAsia" w:eastAsiaTheme="minorEastAsia"/>
              </w:rPr>
              <w:t>人次</w:t>
            </w:r>
            <w:r>
              <w:rPr>
                <w:rFonts w:cs="方正书宋_GBK" w:asciiTheme="minorEastAsia" w:hAnsiTheme="minorEastAsia" w:eastAsiaTheme="minorEastAsia"/>
              </w:rPr>
              <w:t>-15</w:t>
            </w:r>
            <w:r>
              <w:rPr>
                <w:rFonts w:hint="eastAsia" w:cs="方正书宋_GBK" w:asciiTheme="minorEastAsia" w:hAnsiTheme="minorEastAsia" w:eastAsiaTheme="minorEastAsia"/>
              </w:rPr>
              <w:t>人次</w:t>
            </w:r>
          </w:p>
        </w:tc>
      </w:tr>
      <w:tr w14:paraId="723B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8F5B3F2">
            <w:pPr>
              <w:spacing w:line="300" w:lineRule="exact"/>
              <w:jc w:val="left"/>
              <w:rPr>
                <w:rFonts w:asciiTheme="minorEastAsia" w:hAnsiTheme="minorEastAsia" w:eastAsiaTheme="minorEastAsia"/>
                <w:b/>
                <w:bCs/>
              </w:rPr>
            </w:pPr>
          </w:p>
        </w:tc>
        <w:tc>
          <w:tcPr>
            <w:tcW w:w="1276" w:type="dxa"/>
            <w:vMerge w:val="continue"/>
            <w:vAlign w:val="center"/>
          </w:tcPr>
          <w:p w14:paraId="5E574F27">
            <w:pPr>
              <w:spacing w:line="300" w:lineRule="exact"/>
              <w:jc w:val="left"/>
              <w:rPr>
                <w:rFonts w:asciiTheme="minorEastAsia" w:hAnsiTheme="minorEastAsia" w:eastAsiaTheme="minorEastAsia"/>
              </w:rPr>
            </w:pPr>
          </w:p>
        </w:tc>
        <w:tc>
          <w:tcPr>
            <w:tcW w:w="2976" w:type="dxa"/>
            <w:vMerge w:val="continue"/>
            <w:vAlign w:val="center"/>
          </w:tcPr>
          <w:p w14:paraId="177DA0FF">
            <w:pPr>
              <w:spacing w:line="300" w:lineRule="exact"/>
              <w:jc w:val="left"/>
              <w:rPr>
                <w:rFonts w:asciiTheme="minorEastAsia" w:hAnsiTheme="minorEastAsia" w:eastAsiaTheme="minorEastAsia"/>
              </w:rPr>
            </w:pPr>
          </w:p>
        </w:tc>
        <w:tc>
          <w:tcPr>
            <w:tcW w:w="2976" w:type="dxa"/>
            <w:vMerge w:val="continue"/>
            <w:vAlign w:val="center"/>
          </w:tcPr>
          <w:p w14:paraId="4A1D3F3E">
            <w:pPr>
              <w:spacing w:line="300" w:lineRule="exact"/>
              <w:jc w:val="left"/>
              <w:rPr>
                <w:rFonts w:asciiTheme="minorEastAsia" w:hAnsiTheme="minorEastAsia" w:eastAsiaTheme="minorEastAsia"/>
              </w:rPr>
            </w:pPr>
          </w:p>
        </w:tc>
        <w:tc>
          <w:tcPr>
            <w:tcW w:w="1417" w:type="dxa"/>
            <w:vAlign w:val="center"/>
          </w:tcPr>
          <w:p w14:paraId="051574EC">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0113AEAC">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帮扶见义勇为人员人次</w:t>
            </w:r>
          </w:p>
        </w:tc>
        <w:tc>
          <w:tcPr>
            <w:tcW w:w="737" w:type="dxa"/>
            <w:vAlign w:val="center"/>
          </w:tcPr>
          <w:p w14:paraId="2F568329">
            <w:pPr>
              <w:spacing w:line="300" w:lineRule="exact"/>
              <w:jc w:val="center"/>
              <w:rPr>
                <w:rFonts w:asciiTheme="minorEastAsia" w:hAnsiTheme="minorEastAsia" w:eastAsiaTheme="minorEastAsia"/>
              </w:rPr>
            </w:pPr>
            <w:r>
              <w:rPr>
                <w:rFonts w:cs="方正书宋_GBK" w:asciiTheme="minorEastAsia" w:hAnsiTheme="minorEastAsia" w:eastAsiaTheme="minorEastAsia"/>
              </w:rPr>
              <w:t>80</w:t>
            </w:r>
            <w:r>
              <w:rPr>
                <w:rFonts w:hint="eastAsia" w:cs="方正书宋_GBK" w:asciiTheme="minorEastAsia" w:hAnsiTheme="minorEastAsia" w:eastAsiaTheme="minorEastAsia"/>
              </w:rPr>
              <w:t>人次及以上</w:t>
            </w:r>
          </w:p>
        </w:tc>
        <w:tc>
          <w:tcPr>
            <w:tcW w:w="737" w:type="dxa"/>
            <w:vAlign w:val="center"/>
          </w:tcPr>
          <w:p w14:paraId="2EF42606">
            <w:pPr>
              <w:spacing w:line="300" w:lineRule="exact"/>
              <w:jc w:val="center"/>
              <w:rPr>
                <w:rFonts w:asciiTheme="minorEastAsia" w:hAnsiTheme="minorEastAsia" w:eastAsiaTheme="minorEastAsia"/>
              </w:rPr>
            </w:pPr>
            <w:r>
              <w:rPr>
                <w:rFonts w:cs="方正书宋_GBK" w:asciiTheme="minorEastAsia" w:hAnsiTheme="minorEastAsia" w:eastAsiaTheme="minorEastAsia"/>
              </w:rPr>
              <w:t>70</w:t>
            </w:r>
            <w:r>
              <w:rPr>
                <w:rFonts w:hint="eastAsia" w:cs="方正书宋_GBK" w:asciiTheme="minorEastAsia" w:hAnsiTheme="minorEastAsia" w:eastAsiaTheme="minorEastAsia"/>
              </w:rPr>
              <w:t>人次</w:t>
            </w:r>
            <w:r>
              <w:rPr>
                <w:rFonts w:cs="方正书宋_GBK" w:asciiTheme="minorEastAsia" w:hAnsiTheme="minorEastAsia" w:eastAsiaTheme="minorEastAsia"/>
              </w:rPr>
              <w:t>-80</w:t>
            </w:r>
            <w:r>
              <w:rPr>
                <w:rFonts w:hint="eastAsia" w:cs="方正书宋_GBK" w:asciiTheme="minorEastAsia" w:hAnsiTheme="minorEastAsia" w:eastAsiaTheme="minorEastAsia"/>
              </w:rPr>
              <w:t>人次</w:t>
            </w:r>
          </w:p>
        </w:tc>
        <w:tc>
          <w:tcPr>
            <w:tcW w:w="737" w:type="dxa"/>
            <w:vAlign w:val="center"/>
          </w:tcPr>
          <w:p w14:paraId="4DEB0671">
            <w:pPr>
              <w:spacing w:line="300" w:lineRule="exact"/>
              <w:jc w:val="center"/>
              <w:rPr>
                <w:rFonts w:asciiTheme="minorEastAsia" w:hAnsiTheme="minorEastAsia" w:eastAsiaTheme="minorEastAsia"/>
              </w:rPr>
            </w:pPr>
            <w:r>
              <w:rPr>
                <w:rFonts w:cs="方正书宋_GBK" w:asciiTheme="minorEastAsia" w:hAnsiTheme="minorEastAsia" w:eastAsiaTheme="minorEastAsia"/>
              </w:rPr>
              <w:t>60</w:t>
            </w:r>
            <w:r>
              <w:rPr>
                <w:rFonts w:hint="eastAsia" w:cs="方正书宋_GBK" w:asciiTheme="minorEastAsia" w:hAnsiTheme="minorEastAsia" w:eastAsiaTheme="minorEastAsia"/>
              </w:rPr>
              <w:t>人次</w:t>
            </w:r>
            <w:r>
              <w:rPr>
                <w:rFonts w:cs="方正书宋_GBK" w:asciiTheme="minorEastAsia" w:hAnsiTheme="minorEastAsia" w:eastAsiaTheme="minorEastAsia"/>
              </w:rPr>
              <w:t>-70</w:t>
            </w:r>
            <w:r>
              <w:rPr>
                <w:rFonts w:hint="eastAsia" w:cs="方正书宋_GBK" w:asciiTheme="minorEastAsia" w:hAnsiTheme="minorEastAsia" w:eastAsiaTheme="minorEastAsia"/>
              </w:rPr>
              <w:t>人次</w:t>
            </w:r>
          </w:p>
        </w:tc>
      </w:tr>
      <w:tr w14:paraId="3DBC0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335588C">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政法政务管理</w:t>
            </w:r>
          </w:p>
        </w:tc>
        <w:tc>
          <w:tcPr>
            <w:tcW w:w="1276" w:type="dxa"/>
            <w:vAlign w:val="center"/>
          </w:tcPr>
          <w:p w14:paraId="390E3D6B">
            <w:pPr>
              <w:spacing w:line="300" w:lineRule="exact"/>
              <w:jc w:val="left"/>
              <w:rPr>
                <w:rFonts w:asciiTheme="minorEastAsia" w:hAnsiTheme="minorEastAsia" w:eastAsiaTheme="minorEastAsia"/>
              </w:rPr>
            </w:pPr>
          </w:p>
        </w:tc>
        <w:tc>
          <w:tcPr>
            <w:tcW w:w="2976" w:type="dxa"/>
            <w:vAlign w:val="center"/>
          </w:tcPr>
          <w:p w14:paraId="4AE3D28F">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协调落实机关专项资金，对各项经费使用进行审批。</w:t>
            </w:r>
          </w:p>
        </w:tc>
        <w:tc>
          <w:tcPr>
            <w:tcW w:w="2976" w:type="dxa"/>
            <w:vAlign w:val="center"/>
          </w:tcPr>
          <w:p w14:paraId="098ED75C">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保障机关日常工作正常运行，确保各项专项资金得到合理利用，推进各项工作扎实开展。</w:t>
            </w:r>
          </w:p>
        </w:tc>
        <w:tc>
          <w:tcPr>
            <w:tcW w:w="1417" w:type="dxa"/>
            <w:vAlign w:val="center"/>
          </w:tcPr>
          <w:p w14:paraId="09AF0C85">
            <w:pPr>
              <w:spacing w:line="300" w:lineRule="exact"/>
              <w:jc w:val="left"/>
              <w:rPr>
                <w:rFonts w:asciiTheme="minorEastAsia" w:hAnsiTheme="minorEastAsia" w:eastAsiaTheme="minorEastAsia"/>
              </w:rPr>
            </w:pPr>
          </w:p>
        </w:tc>
        <w:tc>
          <w:tcPr>
            <w:tcW w:w="737" w:type="dxa"/>
            <w:vAlign w:val="center"/>
          </w:tcPr>
          <w:p w14:paraId="791F843A">
            <w:pPr>
              <w:spacing w:line="300" w:lineRule="exact"/>
              <w:jc w:val="center"/>
              <w:rPr>
                <w:rFonts w:asciiTheme="minorEastAsia" w:hAnsiTheme="minorEastAsia" w:eastAsiaTheme="minorEastAsia"/>
              </w:rPr>
            </w:pPr>
          </w:p>
        </w:tc>
        <w:tc>
          <w:tcPr>
            <w:tcW w:w="737" w:type="dxa"/>
            <w:vAlign w:val="center"/>
          </w:tcPr>
          <w:p w14:paraId="38EABC65">
            <w:pPr>
              <w:spacing w:line="300" w:lineRule="exact"/>
              <w:jc w:val="center"/>
              <w:rPr>
                <w:rFonts w:asciiTheme="minorEastAsia" w:hAnsiTheme="minorEastAsia" w:eastAsiaTheme="minorEastAsia"/>
              </w:rPr>
            </w:pPr>
          </w:p>
        </w:tc>
        <w:tc>
          <w:tcPr>
            <w:tcW w:w="737" w:type="dxa"/>
            <w:vAlign w:val="center"/>
          </w:tcPr>
          <w:p w14:paraId="45C8919B">
            <w:pPr>
              <w:spacing w:line="300" w:lineRule="exact"/>
              <w:jc w:val="center"/>
              <w:rPr>
                <w:rFonts w:asciiTheme="minorEastAsia" w:hAnsiTheme="minorEastAsia" w:eastAsiaTheme="minorEastAsia"/>
              </w:rPr>
            </w:pPr>
          </w:p>
        </w:tc>
        <w:tc>
          <w:tcPr>
            <w:tcW w:w="737" w:type="dxa"/>
            <w:vAlign w:val="center"/>
          </w:tcPr>
          <w:p w14:paraId="413961F8">
            <w:pPr>
              <w:spacing w:line="300" w:lineRule="exact"/>
              <w:jc w:val="center"/>
              <w:rPr>
                <w:rFonts w:asciiTheme="minorEastAsia" w:hAnsiTheme="minorEastAsia" w:eastAsiaTheme="minorEastAsia"/>
              </w:rPr>
            </w:pPr>
          </w:p>
        </w:tc>
      </w:tr>
      <w:tr w14:paraId="7EBB7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AAF4693">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综合业务管理</w:t>
            </w:r>
          </w:p>
        </w:tc>
        <w:tc>
          <w:tcPr>
            <w:tcW w:w="1276" w:type="dxa"/>
            <w:vMerge w:val="restart"/>
            <w:vAlign w:val="center"/>
          </w:tcPr>
          <w:p w14:paraId="11B88AAF">
            <w:pPr>
              <w:spacing w:line="300" w:lineRule="exact"/>
              <w:jc w:val="left"/>
              <w:rPr>
                <w:rFonts w:asciiTheme="minorEastAsia" w:hAnsiTheme="minorEastAsia" w:eastAsiaTheme="minorEastAsia"/>
              </w:rPr>
            </w:pPr>
          </w:p>
        </w:tc>
        <w:tc>
          <w:tcPr>
            <w:tcW w:w="2976" w:type="dxa"/>
            <w:vMerge w:val="restart"/>
            <w:vAlign w:val="center"/>
          </w:tcPr>
          <w:p w14:paraId="3C06EB66">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落实从优待警政策，对干警资助资金审核把关，及时发放。组织政法系统英模先进典型宣传，做好机关干部选学工作。做好全县政法系统宣传教育工作。</w:t>
            </w:r>
          </w:p>
        </w:tc>
        <w:tc>
          <w:tcPr>
            <w:tcW w:w="2976" w:type="dxa"/>
            <w:vMerge w:val="restart"/>
            <w:vAlign w:val="center"/>
          </w:tcPr>
          <w:p w14:paraId="0900F168">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政法队伍整体素质和工作水平得到提高。</w:t>
            </w:r>
          </w:p>
        </w:tc>
        <w:tc>
          <w:tcPr>
            <w:tcW w:w="1417" w:type="dxa"/>
            <w:vAlign w:val="center"/>
          </w:tcPr>
          <w:p w14:paraId="1E64EF54">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4A952C18">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个别案件中，以及重点检查类型案件的监督检查完成比例</w:t>
            </w:r>
          </w:p>
        </w:tc>
        <w:tc>
          <w:tcPr>
            <w:tcW w:w="737" w:type="dxa"/>
            <w:vAlign w:val="center"/>
          </w:tcPr>
          <w:p w14:paraId="2CAAD8F7">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2177EBD6">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55FC3A6E">
            <w:pPr>
              <w:spacing w:line="300" w:lineRule="exact"/>
              <w:jc w:val="center"/>
              <w:rPr>
                <w:rFonts w:cs="方正书宋_GBK"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79E7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B2530F7">
            <w:pPr>
              <w:spacing w:line="300" w:lineRule="exact"/>
              <w:jc w:val="left"/>
              <w:rPr>
                <w:rFonts w:asciiTheme="minorEastAsia" w:hAnsiTheme="minorEastAsia" w:eastAsiaTheme="minorEastAsia"/>
                <w:b/>
                <w:bCs/>
              </w:rPr>
            </w:pPr>
          </w:p>
        </w:tc>
        <w:tc>
          <w:tcPr>
            <w:tcW w:w="1276" w:type="dxa"/>
            <w:vMerge w:val="continue"/>
            <w:vAlign w:val="center"/>
          </w:tcPr>
          <w:p w14:paraId="36566042">
            <w:pPr>
              <w:spacing w:line="300" w:lineRule="exact"/>
              <w:jc w:val="left"/>
              <w:rPr>
                <w:rFonts w:asciiTheme="minorEastAsia" w:hAnsiTheme="minorEastAsia" w:eastAsiaTheme="minorEastAsia"/>
              </w:rPr>
            </w:pPr>
          </w:p>
        </w:tc>
        <w:tc>
          <w:tcPr>
            <w:tcW w:w="2976" w:type="dxa"/>
            <w:vMerge w:val="continue"/>
            <w:vAlign w:val="center"/>
          </w:tcPr>
          <w:p w14:paraId="220CA7AB">
            <w:pPr>
              <w:spacing w:line="300" w:lineRule="exact"/>
              <w:jc w:val="left"/>
              <w:rPr>
                <w:rFonts w:asciiTheme="minorEastAsia" w:hAnsiTheme="minorEastAsia" w:eastAsiaTheme="minorEastAsia"/>
              </w:rPr>
            </w:pPr>
          </w:p>
        </w:tc>
        <w:tc>
          <w:tcPr>
            <w:tcW w:w="2976" w:type="dxa"/>
            <w:vMerge w:val="continue"/>
            <w:vAlign w:val="center"/>
          </w:tcPr>
          <w:p w14:paraId="746C58CF">
            <w:pPr>
              <w:spacing w:line="300" w:lineRule="exact"/>
              <w:jc w:val="left"/>
              <w:rPr>
                <w:rFonts w:asciiTheme="minorEastAsia" w:hAnsiTheme="minorEastAsia" w:eastAsiaTheme="minorEastAsia"/>
              </w:rPr>
            </w:pPr>
          </w:p>
        </w:tc>
        <w:tc>
          <w:tcPr>
            <w:tcW w:w="1417" w:type="dxa"/>
            <w:vAlign w:val="center"/>
          </w:tcPr>
          <w:p w14:paraId="61A68BBD">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50A3EE1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法学研究、调研完成比例</w:t>
            </w:r>
          </w:p>
        </w:tc>
        <w:tc>
          <w:tcPr>
            <w:tcW w:w="737" w:type="dxa"/>
            <w:vAlign w:val="center"/>
          </w:tcPr>
          <w:p w14:paraId="48EA501A">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5011C5FD">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3E01F579">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406B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6B03581">
            <w:pPr>
              <w:spacing w:line="300" w:lineRule="exact"/>
              <w:jc w:val="left"/>
              <w:rPr>
                <w:rFonts w:asciiTheme="minorEastAsia" w:hAnsiTheme="minorEastAsia" w:eastAsiaTheme="minorEastAsia"/>
                <w:b/>
                <w:bCs/>
              </w:rPr>
            </w:pPr>
          </w:p>
        </w:tc>
        <w:tc>
          <w:tcPr>
            <w:tcW w:w="1276" w:type="dxa"/>
            <w:vMerge w:val="continue"/>
            <w:vAlign w:val="center"/>
          </w:tcPr>
          <w:p w14:paraId="3CBADEE8">
            <w:pPr>
              <w:spacing w:line="300" w:lineRule="exact"/>
              <w:jc w:val="left"/>
              <w:rPr>
                <w:rFonts w:asciiTheme="minorEastAsia" w:hAnsiTheme="minorEastAsia" w:eastAsiaTheme="minorEastAsia"/>
              </w:rPr>
            </w:pPr>
          </w:p>
        </w:tc>
        <w:tc>
          <w:tcPr>
            <w:tcW w:w="2976" w:type="dxa"/>
            <w:vMerge w:val="continue"/>
            <w:vAlign w:val="center"/>
          </w:tcPr>
          <w:p w14:paraId="4280A04E">
            <w:pPr>
              <w:spacing w:line="300" w:lineRule="exact"/>
              <w:jc w:val="left"/>
              <w:rPr>
                <w:rFonts w:asciiTheme="minorEastAsia" w:hAnsiTheme="minorEastAsia" w:eastAsiaTheme="minorEastAsia"/>
              </w:rPr>
            </w:pPr>
          </w:p>
        </w:tc>
        <w:tc>
          <w:tcPr>
            <w:tcW w:w="2976" w:type="dxa"/>
            <w:vMerge w:val="continue"/>
            <w:vAlign w:val="center"/>
          </w:tcPr>
          <w:p w14:paraId="1B6DD49E">
            <w:pPr>
              <w:spacing w:line="300" w:lineRule="exact"/>
              <w:jc w:val="left"/>
              <w:rPr>
                <w:rFonts w:asciiTheme="minorEastAsia" w:hAnsiTheme="minorEastAsia" w:eastAsiaTheme="minorEastAsia"/>
              </w:rPr>
            </w:pPr>
          </w:p>
        </w:tc>
        <w:tc>
          <w:tcPr>
            <w:tcW w:w="1417" w:type="dxa"/>
            <w:vAlign w:val="center"/>
          </w:tcPr>
          <w:p w14:paraId="63494D68">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3CA2C27F">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落实中央、省市及县委依法处理涉法涉诉信访工作任务完成情况占任务总量的比例</w:t>
            </w:r>
          </w:p>
        </w:tc>
        <w:tc>
          <w:tcPr>
            <w:tcW w:w="737" w:type="dxa"/>
            <w:vAlign w:val="center"/>
          </w:tcPr>
          <w:p w14:paraId="6A9DDE6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440D9E65">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1CCCD93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2F03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18F4D98">
            <w:pPr>
              <w:spacing w:line="300" w:lineRule="exact"/>
              <w:jc w:val="left"/>
              <w:rPr>
                <w:rFonts w:asciiTheme="minorEastAsia" w:hAnsiTheme="minorEastAsia" w:eastAsiaTheme="minorEastAsia"/>
                <w:b/>
                <w:bCs/>
              </w:rPr>
            </w:pPr>
          </w:p>
        </w:tc>
        <w:tc>
          <w:tcPr>
            <w:tcW w:w="1276" w:type="dxa"/>
            <w:vMerge w:val="continue"/>
            <w:vAlign w:val="center"/>
          </w:tcPr>
          <w:p w14:paraId="1A11F2A2">
            <w:pPr>
              <w:spacing w:line="300" w:lineRule="exact"/>
              <w:jc w:val="left"/>
              <w:rPr>
                <w:rFonts w:asciiTheme="minorEastAsia" w:hAnsiTheme="minorEastAsia" w:eastAsiaTheme="minorEastAsia"/>
              </w:rPr>
            </w:pPr>
          </w:p>
        </w:tc>
        <w:tc>
          <w:tcPr>
            <w:tcW w:w="2976" w:type="dxa"/>
            <w:vMerge w:val="continue"/>
            <w:vAlign w:val="center"/>
          </w:tcPr>
          <w:p w14:paraId="135F5E28">
            <w:pPr>
              <w:spacing w:line="300" w:lineRule="exact"/>
              <w:jc w:val="left"/>
              <w:rPr>
                <w:rFonts w:asciiTheme="minorEastAsia" w:hAnsiTheme="minorEastAsia" w:eastAsiaTheme="minorEastAsia"/>
              </w:rPr>
            </w:pPr>
          </w:p>
        </w:tc>
        <w:tc>
          <w:tcPr>
            <w:tcW w:w="2976" w:type="dxa"/>
            <w:vMerge w:val="continue"/>
            <w:vAlign w:val="center"/>
          </w:tcPr>
          <w:p w14:paraId="7978E1CC">
            <w:pPr>
              <w:spacing w:line="300" w:lineRule="exact"/>
              <w:jc w:val="left"/>
              <w:rPr>
                <w:rFonts w:asciiTheme="minorEastAsia" w:hAnsiTheme="minorEastAsia" w:eastAsiaTheme="minorEastAsia"/>
              </w:rPr>
            </w:pPr>
          </w:p>
        </w:tc>
        <w:tc>
          <w:tcPr>
            <w:tcW w:w="1417" w:type="dxa"/>
            <w:vAlign w:val="center"/>
          </w:tcPr>
          <w:p w14:paraId="4F73B68A">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6C762D94">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政法网络视频培训期数、培训政法系统领导干部的人次（期，人，次）</w:t>
            </w:r>
          </w:p>
        </w:tc>
        <w:tc>
          <w:tcPr>
            <w:tcW w:w="737" w:type="dxa"/>
            <w:vAlign w:val="center"/>
          </w:tcPr>
          <w:p w14:paraId="64FB499A">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07157CA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6653DB2F">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3CF5A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97DB584">
            <w:pPr>
              <w:spacing w:line="300" w:lineRule="exact"/>
              <w:jc w:val="left"/>
              <w:rPr>
                <w:rFonts w:asciiTheme="minorEastAsia" w:hAnsiTheme="minorEastAsia" w:eastAsiaTheme="minorEastAsia"/>
                <w:b/>
                <w:bCs/>
              </w:rPr>
            </w:pPr>
          </w:p>
        </w:tc>
        <w:tc>
          <w:tcPr>
            <w:tcW w:w="1276" w:type="dxa"/>
            <w:vMerge w:val="continue"/>
            <w:vAlign w:val="center"/>
          </w:tcPr>
          <w:p w14:paraId="36708145">
            <w:pPr>
              <w:spacing w:line="300" w:lineRule="exact"/>
              <w:jc w:val="left"/>
              <w:rPr>
                <w:rFonts w:asciiTheme="minorEastAsia" w:hAnsiTheme="minorEastAsia" w:eastAsiaTheme="minorEastAsia"/>
              </w:rPr>
            </w:pPr>
          </w:p>
        </w:tc>
        <w:tc>
          <w:tcPr>
            <w:tcW w:w="2976" w:type="dxa"/>
            <w:vMerge w:val="continue"/>
            <w:vAlign w:val="center"/>
          </w:tcPr>
          <w:p w14:paraId="3FA97C63">
            <w:pPr>
              <w:spacing w:line="300" w:lineRule="exact"/>
              <w:jc w:val="left"/>
              <w:rPr>
                <w:rFonts w:asciiTheme="minorEastAsia" w:hAnsiTheme="minorEastAsia" w:eastAsiaTheme="minorEastAsia"/>
              </w:rPr>
            </w:pPr>
          </w:p>
        </w:tc>
        <w:tc>
          <w:tcPr>
            <w:tcW w:w="2976" w:type="dxa"/>
            <w:vMerge w:val="continue"/>
            <w:vAlign w:val="center"/>
          </w:tcPr>
          <w:p w14:paraId="3F471900">
            <w:pPr>
              <w:spacing w:line="300" w:lineRule="exact"/>
              <w:jc w:val="left"/>
              <w:rPr>
                <w:rFonts w:asciiTheme="minorEastAsia" w:hAnsiTheme="minorEastAsia" w:eastAsiaTheme="minorEastAsia"/>
              </w:rPr>
            </w:pPr>
          </w:p>
        </w:tc>
        <w:tc>
          <w:tcPr>
            <w:tcW w:w="1417" w:type="dxa"/>
            <w:vAlign w:val="center"/>
          </w:tcPr>
          <w:p w14:paraId="50809258">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756E0F32">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全年因公牺牲、特困伤残干警及家庭资助审核资助人次（人，次）</w:t>
            </w:r>
          </w:p>
        </w:tc>
        <w:tc>
          <w:tcPr>
            <w:tcW w:w="737" w:type="dxa"/>
            <w:vAlign w:val="center"/>
          </w:tcPr>
          <w:p w14:paraId="696C0623">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05ADF238">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66F52840">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347CB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5917EF8">
            <w:pPr>
              <w:spacing w:line="300" w:lineRule="exact"/>
              <w:jc w:val="left"/>
              <w:rPr>
                <w:rFonts w:asciiTheme="minorEastAsia" w:hAnsiTheme="minorEastAsia" w:eastAsiaTheme="minorEastAsia"/>
                <w:b/>
                <w:bCs/>
              </w:rPr>
            </w:pPr>
            <w:r>
              <w:rPr>
                <w:rFonts w:hint="eastAsia" w:cs="方正书宋_GBK" w:asciiTheme="minorEastAsia" w:hAnsiTheme="minorEastAsia" w:eastAsiaTheme="minorEastAsia"/>
                <w:b/>
                <w:bCs/>
              </w:rPr>
              <w:t>　　综合事务管理</w:t>
            </w:r>
          </w:p>
        </w:tc>
        <w:tc>
          <w:tcPr>
            <w:tcW w:w="1276" w:type="dxa"/>
            <w:vMerge w:val="restart"/>
            <w:vAlign w:val="center"/>
          </w:tcPr>
          <w:p w14:paraId="048EA340">
            <w:pPr>
              <w:spacing w:line="300" w:lineRule="exact"/>
              <w:jc w:val="left"/>
              <w:rPr>
                <w:rFonts w:asciiTheme="minorEastAsia" w:hAnsiTheme="minorEastAsia" w:eastAsiaTheme="minorEastAsia"/>
              </w:rPr>
            </w:pPr>
          </w:p>
        </w:tc>
        <w:tc>
          <w:tcPr>
            <w:tcW w:w="2976" w:type="dxa"/>
            <w:vMerge w:val="restart"/>
            <w:vAlign w:val="center"/>
          </w:tcPr>
          <w:p w14:paraId="62537B20">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加强机关事务性管理，开展机关自身能力建设。</w:t>
            </w:r>
          </w:p>
        </w:tc>
        <w:tc>
          <w:tcPr>
            <w:tcW w:w="2976" w:type="dxa"/>
            <w:vMerge w:val="restart"/>
            <w:vAlign w:val="center"/>
          </w:tcPr>
          <w:p w14:paraId="764B5B82">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加强机关事务性管理，提高机关自身工作能力。</w:t>
            </w:r>
          </w:p>
        </w:tc>
        <w:tc>
          <w:tcPr>
            <w:tcW w:w="1417" w:type="dxa"/>
            <w:vAlign w:val="center"/>
          </w:tcPr>
          <w:p w14:paraId="6B3FD551">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效果指标</w:t>
            </w:r>
          </w:p>
        </w:tc>
        <w:tc>
          <w:tcPr>
            <w:tcW w:w="737" w:type="dxa"/>
            <w:vAlign w:val="center"/>
          </w:tcPr>
          <w:p w14:paraId="208578EA">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年度政法网络正常运行天数与全年自然天数的比例</w:t>
            </w:r>
          </w:p>
        </w:tc>
        <w:tc>
          <w:tcPr>
            <w:tcW w:w="737" w:type="dxa"/>
            <w:vAlign w:val="center"/>
          </w:tcPr>
          <w:p w14:paraId="02CDF678">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3D4D5B7C">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52D93441">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6D94E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4AB421B">
            <w:pPr>
              <w:spacing w:line="300" w:lineRule="exact"/>
              <w:jc w:val="left"/>
              <w:rPr>
                <w:rFonts w:asciiTheme="minorEastAsia" w:hAnsiTheme="minorEastAsia" w:eastAsiaTheme="minorEastAsia"/>
                <w:b/>
                <w:bCs/>
              </w:rPr>
            </w:pPr>
          </w:p>
        </w:tc>
        <w:tc>
          <w:tcPr>
            <w:tcW w:w="1276" w:type="dxa"/>
            <w:vMerge w:val="continue"/>
            <w:vAlign w:val="center"/>
          </w:tcPr>
          <w:p w14:paraId="30CA046C">
            <w:pPr>
              <w:spacing w:line="300" w:lineRule="exact"/>
              <w:jc w:val="left"/>
              <w:rPr>
                <w:rFonts w:asciiTheme="minorEastAsia" w:hAnsiTheme="minorEastAsia" w:eastAsiaTheme="minorEastAsia"/>
              </w:rPr>
            </w:pPr>
          </w:p>
        </w:tc>
        <w:tc>
          <w:tcPr>
            <w:tcW w:w="2976" w:type="dxa"/>
            <w:vMerge w:val="continue"/>
            <w:vAlign w:val="center"/>
          </w:tcPr>
          <w:p w14:paraId="2F77EB40">
            <w:pPr>
              <w:spacing w:line="300" w:lineRule="exact"/>
              <w:jc w:val="left"/>
              <w:rPr>
                <w:rFonts w:asciiTheme="minorEastAsia" w:hAnsiTheme="minorEastAsia" w:eastAsiaTheme="minorEastAsia"/>
              </w:rPr>
            </w:pPr>
          </w:p>
        </w:tc>
        <w:tc>
          <w:tcPr>
            <w:tcW w:w="2976" w:type="dxa"/>
            <w:vMerge w:val="continue"/>
            <w:vAlign w:val="center"/>
          </w:tcPr>
          <w:p w14:paraId="7E17033A">
            <w:pPr>
              <w:spacing w:line="300" w:lineRule="exact"/>
              <w:jc w:val="left"/>
              <w:rPr>
                <w:rFonts w:asciiTheme="minorEastAsia" w:hAnsiTheme="minorEastAsia" w:eastAsiaTheme="minorEastAsia"/>
              </w:rPr>
            </w:pPr>
          </w:p>
        </w:tc>
        <w:tc>
          <w:tcPr>
            <w:tcW w:w="1417" w:type="dxa"/>
            <w:vAlign w:val="center"/>
          </w:tcPr>
          <w:p w14:paraId="377149FC">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2CAC6BD3">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保障政法业务工作网上运行情况占政法业务工作网上需求量的比例</w:t>
            </w:r>
          </w:p>
        </w:tc>
        <w:tc>
          <w:tcPr>
            <w:tcW w:w="737" w:type="dxa"/>
            <w:vAlign w:val="center"/>
          </w:tcPr>
          <w:p w14:paraId="38936EF9">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14388BB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6494AB18">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r w14:paraId="2E17C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6C3950E">
            <w:pPr>
              <w:spacing w:line="300" w:lineRule="exact"/>
              <w:jc w:val="left"/>
              <w:rPr>
                <w:rFonts w:asciiTheme="minorEastAsia" w:hAnsiTheme="minorEastAsia" w:eastAsiaTheme="minorEastAsia"/>
                <w:b/>
                <w:bCs/>
              </w:rPr>
            </w:pPr>
          </w:p>
        </w:tc>
        <w:tc>
          <w:tcPr>
            <w:tcW w:w="1276" w:type="dxa"/>
            <w:vMerge w:val="continue"/>
            <w:vAlign w:val="center"/>
          </w:tcPr>
          <w:p w14:paraId="7B505DB3">
            <w:pPr>
              <w:spacing w:line="300" w:lineRule="exact"/>
              <w:jc w:val="left"/>
              <w:rPr>
                <w:rFonts w:asciiTheme="minorEastAsia" w:hAnsiTheme="minorEastAsia" w:eastAsiaTheme="minorEastAsia"/>
              </w:rPr>
            </w:pPr>
          </w:p>
        </w:tc>
        <w:tc>
          <w:tcPr>
            <w:tcW w:w="2976" w:type="dxa"/>
            <w:vMerge w:val="continue"/>
            <w:vAlign w:val="center"/>
          </w:tcPr>
          <w:p w14:paraId="1DC08E29">
            <w:pPr>
              <w:spacing w:line="300" w:lineRule="exact"/>
              <w:jc w:val="left"/>
              <w:rPr>
                <w:rFonts w:asciiTheme="minorEastAsia" w:hAnsiTheme="minorEastAsia" w:eastAsiaTheme="minorEastAsia"/>
              </w:rPr>
            </w:pPr>
          </w:p>
        </w:tc>
        <w:tc>
          <w:tcPr>
            <w:tcW w:w="2976" w:type="dxa"/>
            <w:vMerge w:val="continue"/>
            <w:vAlign w:val="center"/>
          </w:tcPr>
          <w:p w14:paraId="4A91109F">
            <w:pPr>
              <w:spacing w:line="300" w:lineRule="exact"/>
              <w:jc w:val="left"/>
              <w:rPr>
                <w:rFonts w:asciiTheme="minorEastAsia" w:hAnsiTheme="minorEastAsia" w:eastAsiaTheme="minorEastAsia"/>
              </w:rPr>
            </w:pPr>
          </w:p>
        </w:tc>
        <w:tc>
          <w:tcPr>
            <w:tcW w:w="1417" w:type="dxa"/>
            <w:vAlign w:val="center"/>
          </w:tcPr>
          <w:p w14:paraId="51D61903">
            <w:pPr>
              <w:spacing w:line="300" w:lineRule="exact"/>
              <w:jc w:val="left"/>
              <w:rPr>
                <w:rFonts w:asciiTheme="minorEastAsia" w:hAnsiTheme="minorEastAsia" w:eastAsiaTheme="minorEastAsia"/>
              </w:rPr>
            </w:pPr>
            <w:r>
              <w:rPr>
                <w:rFonts w:hint="eastAsia" w:cs="方正书宋_GBK" w:asciiTheme="minorEastAsia" w:hAnsiTheme="minorEastAsia" w:eastAsiaTheme="minorEastAsia"/>
              </w:rPr>
              <w:t>产出指标</w:t>
            </w:r>
          </w:p>
        </w:tc>
        <w:tc>
          <w:tcPr>
            <w:tcW w:w="737" w:type="dxa"/>
            <w:vAlign w:val="center"/>
          </w:tcPr>
          <w:p w14:paraId="18D542A3">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实际公开数量占应公开事项总数比例</w:t>
            </w:r>
          </w:p>
        </w:tc>
        <w:tc>
          <w:tcPr>
            <w:tcW w:w="737" w:type="dxa"/>
            <w:vAlign w:val="center"/>
          </w:tcPr>
          <w:p w14:paraId="2BF238DB">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90%</w:t>
            </w:r>
          </w:p>
        </w:tc>
        <w:tc>
          <w:tcPr>
            <w:tcW w:w="737" w:type="dxa"/>
            <w:vAlign w:val="center"/>
          </w:tcPr>
          <w:p w14:paraId="0B2A90C7">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80%</w:t>
            </w:r>
          </w:p>
        </w:tc>
        <w:tc>
          <w:tcPr>
            <w:tcW w:w="737" w:type="dxa"/>
            <w:vAlign w:val="center"/>
          </w:tcPr>
          <w:p w14:paraId="5E17A09E">
            <w:pPr>
              <w:spacing w:line="300" w:lineRule="exact"/>
              <w:jc w:val="center"/>
              <w:rPr>
                <w:rFonts w:asciiTheme="minorEastAsia" w:hAnsiTheme="minorEastAsia" w:eastAsiaTheme="minorEastAsia"/>
              </w:rPr>
            </w:pPr>
            <w:r>
              <w:rPr>
                <w:rFonts w:hint="eastAsia" w:cs="方正书宋_GBK" w:asciiTheme="minorEastAsia" w:hAnsiTheme="minorEastAsia" w:eastAsiaTheme="minorEastAsia"/>
              </w:rPr>
              <w:t>≥</w:t>
            </w:r>
            <w:r>
              <w:rPr>
                <w:rFonts w:cs="方正书宋_GBK" w:asciiTheme="minorEastAsia" w:hAnsiTheme="minorEastAsia" w:eastAsiaTheme="minorEastAsia"/>
              </w:rPr>
              <w:t>65%</w:t>
            </w:r>
          </w:p>
        </w:tc>
      </w:tr>
    </w:tbl>
    <w:p w14:paraId="3DC4C716">
      <w:pPr>
        <w:ind w:firstLine="560"/>
        <w:jc w:val="center"/>
        <w:rPr>
          <w:rFonts w:asciiTheme="minorEastAsia" w:hAnsiTheme="minorEastAsia" w:eastAsiaTheme="minorEastAsia"/>
          <w:b/>
          <w:bCs/>
          <w:sz w:val="32"/>
          <w:szCs w:val="32"/>
        </w:rPr>
      </w:pPr>
    </w:p>
    <w:p w14:paraId="6B94CD34">
      <w:pPr>
        <w:ind w:firstLine="560"/>
        <w:rPr>
          <w:rFonts w:asciiTheme="minorEastAsia" w:hAnsiTheme="minorEastAsia" w:eastAsiaTheme="minorEastAsia"/>
          <w:sz w:val="32"/>
          <w:szCs w:val="32"/>
        </w:rPr>
        <w:sectPr>
          <w:pgSz w:w="16838" w:h="11906" w:orient="landscape"/>
          <w:pgMar w:top="1463" w:right="1440" w:bottom="1463" w:left="1440" w:header="851" w:footer="992" w:gutter="0"/>
          <w:cols w:space="0" w:num="1"/>
          <w:docGrid w:type="linesAndChars" w:linePitch="312" w:charSpace="0"/>
        </w:sectPr>
      </w:pPr>
    </w:p>
    <w:p w14:paraId="79D5B6FA">
      <w:pPr>
        <w:ind w:firstLine="720" w:firstLineChars="224"/>
        <w:jc w:val="center"/>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第六部分：政府采购预算情况</w:t>
      </w:r>
    </w:p>
    <w:p w14:paraId="2AED73F0">
      <w:pPr>
        <w:ind w:firstLine="640" w:firstLineChars="200"/>
        <w:rPr>
          <w:rFonts w:asciiTheme="minorEastAsia" w:hAnsiTheme="minorEastAsia" w:eastAsiaTheme="minorEastAsia"/>
          <w:sz w:val="32"/>
          <w:szCs w:val="32"/>
        </w:rPr>
      </w:pPr>
      <w:r>
        <w:rPr>
          <w:rFonts w:cs="仿宋" w:asciiTheme="minorEastAsia" w:hAnsiTheme="minorEastAsia" w:eastAsiaTheme="minorEastAsia"/>
          <w:sz w:val="32"/>
          <w:szCs w:val="32"/>
        </w:rPr>
        <w:t>2017</w:t>
      </w:r>
      <w:r>
        <w:rPr>
          <w:rFonts w:hint="eastAsia" w:cs="仿宋" w:asciiTheme="minorEastAsia" w:hAnsiTheme="minorEastAsia" w:eastAsiaTheme="minorEastAsia"/>
          <w:sz w:val="32"/>
          <w:szCs w:val="32"/>
        </w:rPr>
        <w:t>年我部门无政府采购预算。</w:t>
      </w:r>
    </w:p>
    <w:p w14:paraId="01B340B1">
      <w:pPr>
        <w:ind w:firstLine="560"/>
        <w:jc w:val="center"/>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第七部分：国有资产信息情况说明</w:t>
      </w:r>
    </w:p>
    <w:p w14:paraId="1D45A980">
      <w:pPr>
        <w:spacing w:line="520" w:lineRule="exact"/>
        <w:ind w:firstLine="640" w:firstLineChars="200"/>
        <w:rPr>
          <w:rFonts w:asciiTheme="minorEastAsia" w:hAnsiTheme="minorEastAsia" w:eastAsiaTheme="minorEastAsia"/>
          <w:sz w:val="32"/>
          <w:szCs w:val="32"/>
        </w:rPr>
      </w:pPr>
      <w:r>
        <w:rPr>
          <w:rFonts w:hint="eastAsia" w:cs="仿宋" w:asciiTheme="minorEastAsia" w:hAnsiTheme="minorEastAsia" w:eastAsiaTheme="minorEastAsia"/>
          <w:sz w:val="32"/>
          <w:szCs w:val="32"/>
        </w:rPr>
        <w:t>涞源县</w:t>
      </w:r>
      <w:r>
        <w:rPr>
          <w:rFonts w:hint="eastAsia" w:cs="仿宋" w:asciiTheme="minorEastAsia" w:hAnsiTheme="minorEastAsia" w:eastAsiaTheme="minorEastAsia"/>
          <w:sz w:val="32"/>
          <w:szCs w:val="32"/>
          <w:lang w:eastAsia="zh-CN"/>
        </w:rPr>
        <w:t>委</w:t>
      </w:r>
      <w:r>
        <w:rPr>
          <w:rFonts w:hint="eastAsia" w:cs="仿宋" w:asciiTheme="minorEastAsia" w:hAnsiTheme="minorEastAsia" w:eastAsiaTheme="minorEastAsia"/>
          <w:sz w:val="32"/>
          <w:szCs w:val="32"/>
        </w:rPr>
        <w:t>政法委</w:t>
      </w:r>
      <w:r>
        <w:rPr>
          <w:rFonts w:cs="仿宋" w:asciiTheme="minorEastAsia" w:hAnsiTheme="minorEastAsia" w:eastAsiaTheme="minorEastAsia"/>
          <w:sz w:val="32"/>
          <w:szCs w:val="32"/>
        </w:rPr>
        <w:t>2016</w:t>
      </w:r>
      <w:r>
        <w:rPr>
          <w:rFonts w:hint="eastAsia" w:cs="仿宋" w:asciiTheme="minorEastAsia" w:hAnsiTheme="minorEastAsia" w:eastAsiaTheme="minorEastAsia"/>
          <w:sz w:val="32"/>
          <w:szCs w:val="32"/>
        </w:rPr>
        <w:t>年末固定资产总金额</w:t>
      </w:r>
      <w:r>
        <w:rPr>
          <w:rFonts w:cs="仿宋" w:asciiTheme="minorEastAsia" w:hAnsiTheme="minorEastAsia" w:eastAsiaTheme="minorEastAsia"/>
          <w:sz w:val="32"/>
          <w:szCs w:val="32"/>
        </w:rPr>
        <w:t>73.22</w:t>
      </w:r>
      <w:r>
        <w:rPr>
          <w:rFonts w:hint="eastAsia" w:cs="仿宋" w:asciiTheme="minorEastAsia" w:hAnsiTheme="minorEastAsia" w:eastAsiaTheme="minorEastAsia"/>
          <w:sz w:val="32"/>
          <w:szCs w:val="32"/>
        </w:rPr>
        <w:t>万元（详见下表）。</w:t>
      </w:r>
      <w:r>
        <w:rPr>
          <w:rFonts w:cs="仿宋" w:asciiTheme="minorEastAsia" w:hAnsiTheme="minorEastAsia" w:eastAsiaTheme="minorEastAsia"/>
          <w:sz w:val="32"/>
          <w:szCs w:val="32"/>
        </w:rPr>
        <w:t xml:space="preserve"> 2017</w:t>
      </w:r>
      <w:r>
        <w:rPr>
          <w:rFonts w:hint="eastAsia" w:cs="仿宋" w:asciiTheme="minorEastAsia" w:hAnsiTheme="minorEastAsia" w:eastAsiaTheme="minorEastAsia"/>
          <w:sz w:val="32"/>
          <w:szCs w:val="32"/>
        </w:rPr>
        <w:t>年无拟购置固定资产。</w:t>
      </w:r>
    </w:p>
    <w:tbl>
      <w:tblPr>
        <w:tblStyle w:val="4"/>
        <w:tblW w:w="8804" w:type="dxa"/>
        <w:tblInd w:w="-106" w:type="dxa"/>
        <w:tblLayout w:type="autofit"/>
        <w:tblCellMar>
          <w:top w:w="0" w:type="dxa"/>
          <w:left w:w="108" w:type="dxa"/>
          <w:bottom w:w="0" w:type="dxa"/>
          <w:right w:w="108" w:type="dxa"/>
        </w:tblCellMar>
      </w:tblPr>
      <w:tblGrid>
        <w:gridCol w:w="3811"/>
        <w:gridCol w:w="1591"/>
        <w:gridCol w:w="3402"/>
      </w:tblGrid>
      <w:tr w14:paraId="0CAA69CB">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noWrap/>
            <w:vAlign w:val="center"/>
          </w:tcPr>
          <w:p w14:paraId="6D9E6106">
            <w:pPr>
              <w:widowControl/>
              <w:jc w:val="center"/>
              <w:rPr>
                <w:rFonts w:asciiTheme="minorEastAsia" w:hAnsiTheme="minorEastAsia" w:eastAsiaTheme="minorEastAsia"/>
                <w:color w:val="000000"/>
                <w:kern w:val="0"/>
                <w:sz w:val="28"/>
                <w:szCs w:val="28"/>
              </w:rPr>
            </w:pPr>
            <w:r>
              <w:rPr>
                <w:rFonts w:hint="eastAsia" w:cs="仿宋" w:asciiTheme="minorEastAsia" w:hAnsiTheme="minorEastAsia" w:eastAsiaTheme="minorEastAsia"/>
                <w:sz w:val="32"/>
                <w:szCs w:val="32"/>
              </w:rPr>
              <w:t>涞源县</w:t>
            </w:r>
            <w:r>
              <w:rPr>
                <w:rFonts w:hint="eastAsia" w:cs="仿宋" w:asciiTheme="minorEastAsia" w:hAnsiTheme="minorEastAsia" w:eastAsiaTheme="minorEastAsia"/>
                <w:sz w:val="32"/>
                <w:szCs w:val="32"/>
                <w:lang w:eastAsia="zh-CN"/>
              </w:rPr>
              <w:t>委</w:t>
            </w:r>
            <w:r>
              <w:rPr>
                <w:rFonts w:hint="eastAsia" w:cs="仿宋" w:asciiTheme="minorEastAsia" w:hAnsiTheme="minorEastAsia" w:eastAsiaTheme="minorEastAsia"/>
                <w:sz w:val="32"/>
                <w:szCs w:val="32"/>
              </w:rPr>
              <w:t>政法委固定资产占用情况表</w:t>
            </w:r>
          </w:p>
        </w:tc>
      </w:tr>
      <w:tr w14:paraId="3BD38126">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noWrap/>
            <w:vAlign w:val="center"/>
          </w:tcPr>
          <w:p w14:paraId="7BFE182E">
            <w:pPr>
              <w:widowControl/>
              <w:jc w:val="center"/>
              <w:rPr>
                <w:rFonts w:asciiTheme="minorEastAsia" w:hAnsiTheme="minorEastAsia" w:eastAsiaTheme="minorEastAsia"/>
                <w:color w:val="000000"/>
                <w:kern w:val="0"/>
                <w:sz w:val="32"/>
                <w:szCs w:val="32"/>
              </w:rPr>
            </w:pPr>
            <w:r>
              <w:rPr>
                <w:rFonts w:cs="仿宋_GB2312" w:asciiTheme="minorEastAsia" w:hAnsiTheme="minorEastAsia" w:eastAsiaTheme="minorEastAsia"/>
                <w:color w:val="000000"/>
                <w:kern w:val="0"/>
                <w:sz w:val="32"/>
                <w:szCs w:val="32"/>
              </w:rPr>
              <w:t xml:space="preserve">                          </w:t>
            </w:r>
            <w:r>
              <w:rPr>
                <w:rFonts w:hint="eastAsia" w:cs="仿宋_GB2312" w:asciiTheme="minorEastAsia" w:hAnsiTheme="minorEastAsia" w:eastAsiaTheme="minorEastAsia"/>
                <w:color w:val="000000"/>
                <w:kern w:val="0"/>
                <w:sz w:val="32"/>
                <w:szCs w:val="32"/>
              </w:rPr>
              <w:t>截止时间：</w:t>
            </w:r>
            <w:r>
              <w:rPr>
                <w:rFonts w:cs="仿宋_GB2312" w:asciiTheme="minorEastAsia" w:hAnsiTheme="minorEastAsia" w:eastAsiaTheme="minorEastAsia"/>
                <w:color w:val="000000"/>
                <w:kern w:val="0"/>
                <w:sz w:val="32"/>
                <w:szCs w:val="32"/>
              </w:rPr>
              <w:t>2016</w:t>
            </w:r>
            <w:r>
              <w:rPr>
                <w:rFonts w:hint="eastAsia" w:cs="仿宋_GB2312" w:asciiTheme="minorEastAsia" w:hAnsiTheme="minorEastAsia" w:eastAsiaTheme="minorEastAsia"/>
                <w:color w:val="000000"/>
                <w:kern w:val="0"/>
                <w:sz w:val="32"/>
                <w:szCs w:val="32"/>
              </w:rPr>
              <w:t>年</w:t>
            </w:r>
            <w:r>
              <w:rPr>
                <w:rFonts w:cs="仿宋_GB2312" w:asciiTheme="minorEastAsia" w:hAnsiTheme="minorEastAsia" w:eastAsiaTheme="minorEastAsia"/>
                <w:color w:val="000000"/>
                <w:kern w:val="0"/>
                <w:sz w:val="32"/>
                <w:szCs w:val="32"/>
              </w:rPr>
              <w:t>12</w:t>
            </w:r>
            <w:r>
              <w:rPr>
                <w:rFonts w:hint="eastAsia" w:cs="仿宋_GB2312" w:asciiTheme="minorEastAsia" w:hAnsiTheme="minorEastAsia" w:eastAsiaTheme="minorEastAsia"/>
                <w:color w:val="000000"/>
                <w:kern w:val="0"/>
                <w:sz w:val="32"/>
                <w:szCs w:val="32"/>
              </w:rPr>
              <w:t>月</w:t>
            </w:r>
            <w:r>
              <w:rPr>
                <w:rFonts w:cs="仿宋_GB2312" w:asciiTheme="minorEastAsia" w:hAnsiTheme="minorEastAsia" w:eastAsiaTheme="minorEastAsia"/>
                <w:color w:val="000000"/>
                <w:kern w:val="0"/>
                <w:sz w:val="32"/>
                <w:szCs w:val="32"/>
              </w:rPr>
              <w:t>31</w:t>
            </w:r>
            <w:r>
              <w:rPr>
                <w:rFonts w:hint="eastAsia" w:cs="仿宋_GB2312" w:asciiTheme="minorEastAsia" w:hAnsiTheme="minorEastAsia" w:eastAsiaTheme="minorEastAsia"/>
                <w:color w:val="000000"/>
                <w:kern w:val="0"/>
                <w:sz w:val="32"/>
                <w:szCs w:val="32"/>
              </w:rPr>
              <w:t>日</w:t>
            </w:r>
          </w:p>
        </w:tc>
      </w:tr>
      <w:tr w14:paraId="655045B0">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noWrap/>
            <w:vAlign w:val="center"/>
          </w:tcPr>
          <w:p w14:paraId="7A201FA0">
            <w:pPr>
              <w:widowControl/>
              <w:jc w:val="center"/>
              <w:rPr>
                <w:rFonts w:asciiTheme="minorEastAsia" w:hAnsiTheme="minorEastAsia" w:eastAsiaTheme="minorEastAsia"/>
                <w:b/>
                <w:bCs/>
                <w:color w:val="000000"/>
                <w:kern w:val="0"/>
                <w:sz w:val="24"/>
                <w:szCs w:val="24"/>
              </w:rPr>
            </w:pPr>
            <w:r>
              <w:rPr>
                <w:rFonts w:hint="eastAsia" w:cs="宋体" w:asciiTheme="minorEastAsia" w:hAnsiTheme="minorEastAsia" w:eastAsiaTheme="minorEastAsia"/>
                <w:b/>
                <w:bCs/>
                <w:color w:val="000000"/>
                <w:kern w:val="0"/>
                <w:sz w:val="24"/>
                <w:szCs w:val="24"/>
              </w:rPr>
              <w:t>项　　目</w:t>
            </w:r>
          </w:p>
        </w:tc>
        <w:tc>
          <w:tcPr>
            <w:tcW w:w="1591" w:type="dxa"/>
            <w:tcBorders>
              <w:top w:val="nil"/>
              <w:left w:val="nil"/>
              <w:bottom w:val="single" w:color="auto" w:sz="4" w:space="0"/>
              <w:right w:val="single" w:color="auto" w:sz="4" w:space="0"/>
            </w:tcBorders>
            <w:noWrap/>
            <w:vAlign w:val="center"/>
          </w:tcPr>
          <w:p w14:paraId="54292A64">
            <w:pPr>
              <w:widowControl/>
              <w:jc w:val="center"/>
              <w:rPr>
                <w:rFonts w:asciiTheme="minorEastAsia" w:hAnsiTheme="minorEastAsia" w:eastAsiaTheme="minorEastAsia"/>
                <w:b/>
                <w:bCs/>
                <w:color w:val="000000"/>
                <w:kern w:val="0"/>
                <w:sz w:val="24"/>
                <w:szCs w:val="24"/>
              </w:rPr>
            </w:pPr>
            <w:r>
              <w:rPr>
                <w:rFonts w:hint="eastAsia" w:cs="宋体" w:asciiTheme="minorEastAsia" w:hAnsiTheme="minorEastAsia" w:eastAsiaTheme="minorEastAsia"/>
                <w:b/>
                <w:bCs/>
                <w:color w:val="000000"/>
                <w:kern w:val="0"/>
                <w:sz w:val="24"/>
                <w:szCs w:val="24"/>
              </w:rPr>
              <w:t>数量</w:t>
            </w:r>
          </w:p>
        </w:tc>
        <w:tc>
          <w:tcPr>
            <w:tcW w:w="3402" w:type="dxa"/>
            <w:tcBorders>
              <w:top w:val="nil"/>
              <w:left w:val="nil"/>
              <w:bottom w:val="single" w:color="auto" w:sz="4" w:space="0"/>
              <w:right w:val="single" w:color="auto" w:sz="4" w:space="0"/>
            </w:tcBorders>
            <w:noWrap/>
            <w:vAlign w:val="center"/>
          </w:tcPr>
          <w:p w14:paraId="3EB06BAA">
            <w:pPr>
              <w:widowControl/>
              <w:jc w:val="center"/>
              <w:rPr>
                <w:rFonts w:asciiTheme="minorEastAsia" w:hAnsiTheme="minorEastAsia" w:eastAsiaTheme="minorEastAsia"/>
                <w:b/>
                <w:bCs/>
                <w:color w:val="000000"/>
                <w:kern w:val="0"/>
                <w:sz w:val="24"/>
                <w:szCs w:val="24"/>
              </w:rPr>
            </w:pPr>
            <w:r>
              <w:rPr>
                <w:rFonts w:hint="eastAsia" w:cs="宋体" w:asciiTheme="minorEastAsia" w:hAnsiTheme="minorEastAsia" w:eastAsiaTheme="minorEastAsia"/>
                <w:b/>
                <w:bCs/>
                <w:color w:val="000000"/>
                <w:kern w:val="0"/>
                <w:sz w:val="24"/>
                <w:szCs w:val="24"/>
              </w:rPr>
              <w:t>价值（单位：万元）</w:t>
            </w:r>
          </w:p>
        </w:tc>
      </w:tr>
      <w:tr w14:paraId="76E8E202">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153BEEFD">
            <w:pPr>
              <w:widowControl/>
              <w:jc w:val="center"/>
              <w:rPr>
                <w:rFonts w:asciiTheme="minorEastAsia" w:hAnsiTheme="minorEastAsia" w:eastAsiaTheme="minorEastAsia"/>
                <w:b/>
                <w:bCs/>
                <w:color w:val="000000"/>
                <w:kern w:val="0"/>
                <w:sz w:val="24"/>
                <w:szCs w:val="24"/>
              </w:rPr>
            </w:pPr>
            <w:r>
              <w:rPr>
                <w:rFonts w:hint="eastAsia" w:cs="宋体" w:asciiTheme="minorEastAsia" w:hAnsiTheme="minorEastAsia" w:eastAsiaTheme="minorEastAsia"/>
                <w:b/>
                <w:bCs/>
                <w:color w:val="000000"/>
                <w:kern w:val="0"/>
                <w:sz w:val="24"/>
                <w:szCs w:val="24"/>
              </w:rPr>
              <w:t>固定资产总额</w:t>
            </w:r>
          </w:p>
        </w:tc>
        <w:tc>
          <w:tcPr>
            <w:tcW w:w="1591" w:type="dxa"/>
            <w:tcBorders>
              <w:top w:val="nil"/>
              <w:left w:val="nil"/>
              <w:bottom w:val="single" w:color="auto" w:sz="4" w:space="0"/>
              <w:right w:val="single" w:color="auto" w:sz="4" w:space="0"/>
            </w:tcBorders>
            <w:noWrap/>
            <w:vAlign w:val="center"/>
          </w:tcPr>
          <w:p w14:paraId="4D6C7153">
            <w:pPr>
              <w:widowControl/>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w:t>
            </w:r>
          </w:p>
        </w:tc>
        <w:tc>
          <w:tcPr>
            <w:tcW w:w="3402" w:type="dxa"/>
            <w:tcBorders>
              <w:top w:val="nil"/>
              <w:left w:val="nil"/>
              <w:bottom w:val="single" w:color="auto" w:sz="4" w:space="0"/>
              <w:right w:val="single" w:color="auto" w:sz="4" w:space="0"/>
            </w:tcBorders>
            <w:noWrap/>
            <w:vAlign w:val="center"/>
          </w:tcPr>
          <w:p w14:paraId="378C2BDD">
            <w:pPr>
              <w:widowControl/>
              <w:jc w:val="center"/>
              <w:rPr>
                <w:rFonts w:asciiTheme="minorEastAsia" w:hAnsiTheme="minorEastAsia" w:eastAsiaTheme="minorEastAsia"/>
                <w:color w:val="000000"/>
                <w:kern w:val="0"/>
                <w:sz w:val="24"/>
                <w:szCs w:val="24"/>
              </w:rPr>
            </w:pPr>
            <w:r>
              <w:rPr>
                <w:rFonts w:cs="仿宋" w:asciiTheme="minorEastAsia" w:hAnsiTheme="minorEastAsia" w:eastAsiaTheme="minorEastAsia"/>
                <w:sz w:val="32"/>
                <w:szCs w:val="32"/>
              </w:rPr>
              <w:t>73.22</w:t>
            </w:r>
          </w:p>
        </w:tc>
      </w:tr>
      <w:tr w14:paraId="5F76178D">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noWrap/>
            <w:vAlign w:val="center"/>
          </w:tcPr>
          <w:p w14:paraId="28953490">
            <w:pPr>
              <w:widowControl/>
              <w:jc w:val="left"/>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 xml:space="preserve">  1</w:t>
            </w:r>
            <w:r>
              <w:rPr>
                <w:rFonts w:hint="eastAsia" w:cs="宋体" w:asciiTheme="minorEastAsia" w:hAnsiTheme="minorEastAsia" w:eastAsiaTheme="minorEastAsia"/>
                <w:color w:val="000000"/>
                <w:kern w:val="0"/>
                <w:sz w:val="24"/>
                <w:szCs w:val="24"/>
              </w:rPr>
              <w:t>、房屋（平方米）</w:t>
            </w:r>
          </w:p>
        </w:tc>
        <w:tc>
          <w:tcPr>
            <w:tcW w:w="1591" w:type="dxa"/>
            <w:tcBorders>
              <w:top w:val="nil"/>
              <w:left w:val="nil"/>
              <w:bottom w:val="single" w:color="auto" w:sz="4" w:space="0"/>
              <w:right w:val="single" w:color="auto" w:sz="4" w:space="0"/>
            </w:tcBorders>
            <w:noWrap/>
            <w:vAlign w:val="center"/>
          </w:tcPr>
          <w:p w14:paraId="4C61B867">
            <w:pPr>
              <w:widowControl/>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0</w:t>
            </w:r>
          </w:p>
        </w:tc>
        <w:tc>
          <w:tcPr>
            <w:tcW w:w="3402" w:type="dxa"/>
            <w:tcBorders>
              <w:top w:val="nil"/>
              <w:left w:val="nil"/>
              <w:bottom w:val="single" w:color="auto" w:sz="4" w:space="0"/>
              <w:right w:val="single" w:color="auto" w:sz="4" w:space="0"/>
            </w:tcBorders>
            <w:noWrap/>
            <w:vAlign w:val="center"/>
          </w:tcPr>
          <w:p w14:paraId="266C82E7">
            <w:pPr>
              <w:widowControl/>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0</w:t>
            </w:r>
          </w:p>
        </w:tc>
      </w:tr>
      <w:tr w14:paraId="63E2EDD9">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7573084B">
            <w:pPr>
              <w:jc w:val="left"/>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 xml:space="preserve">   </w:t>
            </w:r>
            <w:r>
              <w:rPr>
                <w:rFonts w:hint="eastAsia" w:cs="宋体" w:asciiTheme="minorEastAsia" w:hAnsiTheme="minorEastAsia" w:eastAsiaTheme="minorEastAsia"/>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noWrap/>
            <w:vAlign w:val="center"/>
          </w:tcPr>
          <w:p w14:paraId="27AB41FA">
            <w:pPr>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0</w:t>
            </w:r>
          </w:p>
        </w:tc>
        <w:tc>
          <w:tcPr>
            <w:tcW w:w="3402" w:type="dxa"/>
            <w:tcBorders>
              <w:top w:val="single" w:color="auto" w:sz="4" w:space="0"/>
              <w:left w:val="nil"/>
              <w:bottom w:val="single" w:color="auto" w:sz="4" w:space="0"/>
              <w:right w:val="single" w:color="auto" w:sz="4" w:space="0"/>
            </w:tcBorders>
            <w:noWrap/>
            <w:vAlign w:val="center"/>
          </w:tcPr>
          <w:p w14:paraId="0FC3CE88">
            <w:pPr>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0</w:t>
            </w:r>
          </w:p>
        </w:tc>
      </w:tr>
      <w:tr w14:paraId="6049283E">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4D873D37">
            <w:pPr>
              <w:widowControl/>
              <w:jc w:val="left"/>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 xml:space="preserve">  2</w:t>
            </w:r>
            <w:r>
              <w:rPr>
                <w:rFonts w:hint="eastAsia" w:cs="宋体" w:asciiTheme="minorEastAsia" w:hAnsiTheme="minorEastAsia" w:eastAsiaTheme="minorEastAsia"/>
                <w:color w:val="000000"/>
                <w:kern w:val="0"/>
                <w:sz w:val="24"/>
                <w:szCs w:val="24"/>
              </w:rPr>
              <w:t>、车辆（台、辆）</w:t>
            </w:r>
          </w:p>
        </w:tc>
        <w:tc>
          <w:tcPr>
            <w:tcW w:w="1591" w:type="dxa"/>
            <w:tcBorders>
              <w:top w:val="nil"/>
              <w:left w:val="nil"/>
              <w:bottom w:val="single" w:color="auto" w:sz="4" w:space="0"/>
              <w:right w:val="single" w:color="auto" w:sz="4" w:space="0"/>
            </w:tcBorders>
            <w:noWrap/>
            <w:vAlign w:val="center"/>
          </w:tcPr>
          <w:p w14:paraId="5C77099B">
            <w:pPr>
              <w:widowControl/>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3</w:t>
            </w:r>
          </w:p>
        </w:tc>
        <w:tc>
          <w:tcPr>
            <w:tcW w:w="3402" w:type="dxa"/>
            <w:tcBorders>
              <w:top w:val="nil"/>
              <w:left w:val="nil"/>
              <w:bottom w:val="single" w:color="auto" w:sz="4" w:space="0"/>
              <w:right w:val="single" w:color="auto" w:sz="4" w:space="0"/>
            </w:tcBorders>
            <w:noWrap/>
            <w:vAlign w:val="center"/>
          </w:tcPr>
          <w:p w14:paraId="603AF2B3">
            <w:pPr>
              <w:widowControl/>
              <w:jc w:val="center"/>
              <w:rPr>
                <w:rFonts w:cs="宋体"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51.68</w:t>
            </w:r>
          </w:p>
        </w:tc>
      </w:tr>
      <w:tr w14:paraId="39EE548E">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noWrap/>
            <w:vAlign w:val="center"/>
          </w:tcPr>
          <w:p w14:paraId="02E2CD30">
            <w:pPr>
              <w:widowControl/>
              <w:jc w:val="left"/>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 xml:space="preserve">  3</w:t>
            </w:r>
            <w:r>
              <w:rPr>
                <w:rFonts w:hint="eastAsia" w:cs="宋体" w:asciiTheme="minorEastAsia" w:hAnsiTheme="minorEastAsia" w:eastAsiaTheme="minorEastAsia"/>
                <w:color w:val="000000"/>
                <w:kern w:val="0"/>
                <w:sz w:val="24"/>
                <w:szCs w:val="24"/>
              </w:rPr>
              <w:t>、单价在</w:t>
            </w:r>
            <w:r>
              <w:rPr>
                <w:rFonts w:cs="宋体" w:asciiTheme="minorEastAsia" w:hAnsiTheme="minorEastAsia" w:eastAsiaTheme="minorEastAsia"/>
                <w:color w:val="000000"/>
                <w:kern w:val="0"/>
                <w:sz w:val="24"/>
                <w:szCs w:val="24"/>
              </w:rPr>
              <w:t>20</w:t>
            </w:r>
            <w:r>
              <w:rPr>
                <w:rFonts w:hint="eastAsia" w:cs="宋体" w:asciiTheme="minorEastAsia" w:hAnsiTheme="minorEastAsia" w:eastAsiaTheme="minorEastAsia"/>
                <w:color w:val="000000"/>
                <w:kern w:val="0"/>
                <w:sz w:val="24"/>
                <w:szCs w:val="24"/>
              </w:rPr>
              <w:t>万元以上的设备</w:t>
            </w:r>
          </w:p>
        </w:tc>
        <w:tc>
          <w:tcPr>
            <w:tcW w:w="1591" w:type="dxa"/>
            <w:tcBorders>
              <w:top w:val="nil"/>
              <w:left w:val="nil"/>
              <w:bottom w:val="single" w:color="auto" w:sz="4" w:space="0"/>
              <w:right w:val="single" w:color="auto" w:sz="4" w:space="0"/>
            </w:tcBorders>
            <w:noWrap/>
            <w:vAlign w:val="center"/>
          </w:tcPr>
          <w:p w14:paraId="743D19B9">
            <w:pPr>
              <w:widowControl/>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w:t>
            </w:r>
          </w:p>
        </w:tc>
        <w:tc>
          <w:tcPr>
            <w:tcW w:w="3402" w:type="dxa"/>
            <w:tcBorders>
              <w:top w:val="nil"/>
              <w:left w:val="nil"/>
              <w:bottom w:val="single" w:color="auto" w:sz="4" w:space="0"/>
              <w:right w:val="single" w:color="auto" w:sz="4" w:space="0"/>
            </w:tcBorders>
            <w:noWrap/>
            <w:vAlign w:val="center"/>
          </w:tcPr>
          <w:p w14:paraId="2C5D0C25">
            <w:pPr>
              <w:widowControl/>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0.00</w:t>
            </w:r>
          </w:p>
        </w:tc>
      </w:tr>
      <w:tr w14:paraId="62F74CC9">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1DFFDCF7">
            <w:pPr>
              <w:jc w:val="left"/>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 xml:space="preserve">  4</w:t>
            </w:r>
            <w:r>
              <w:rPr>
                <w:rFonts w:hint="eastAsia" w:cs="宋体" w:asciiTheme="minorEastAsia" w:hAnsiTheme="minorEastAsia" w:eastAsiaTheme="minorEastAsia"/>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noWrap/>
            <w:vAlign w:val="center"/>
          </w:tcPr>
          <w:p w14:paraId="0EEB10F6">
            <w:pPr>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w:t>
            </w:r>
          </w:p>
        </w:tc>
        <w:tc>
          <w:tcPr>
            <w:tcW w:w="3402" w:type="dxa"/>
            <w:tcBorders>
              <w:top w:val="single" w:color="auto" w:sz="4" w:space="0"/>
              <w:left w:val="nil"/>
              <w:bottom w:val="single" w:color="auto" w:sz="4" w:space="0"/>
              <w:right w:val="single" w:color="auto" w:sz="4" w:space="0"/>
            </w:tcBorders>
            <w:noWrap/>
            <w:vAlign w:val="center"/>
          </w:tcPr>
          <w:p w14:paraId="48FB37B6">
            <w:pPr>
              <w:jc w:val="center"/>
              <w:rPr>
                <w:rFonts w:asciiTheme="minorEastAsia" w:hAnsiTheme="minorEastAsia" w:eastAsiaTheme="minorEastAsia"/>
                <w:color w:val="000000"/>
                <w:kern w:val="0"/>
                <w:sz w:val="24"/>
                <w:szCs w:val="24"/>
              </w:rPr>
            </w:pPr>
            <w:r>
              <w:rPr>
                <w:rFonts w:cs="宋体" w:asciiTheme="minorEastAsia" w:hAnsiTheme="minorEastAsia" w:eastAsiaTheme="minorEastAsia"/>
                <w:color w:val="000000"/>
                <w:kern w:val="0"/>
                <w:sz w:val="24"/>
                <w:szCs w:val="24"/>
              </w:rPr>
              <w:t>21.54</w:t>
            </w:r>
          </w:p>
        </w:tc>
      </w:tr>
    </w:tbl>
    <w:p w14:paraId="1A38DA20">
      <w:pPr>
        <w:spacing w:line="520" w:lineRule="exact"/>
        <w:ind w:firstLine="640" w:firstLineChars="200"/>
        <w:jc w:val="center"/>
        <w:rPr>
          <w:rFonts w:asciiTheme="minorEastAsia" w:hAnsiTheme="minorEastAsia" w:eastAsiaTheme="minorEastAsia"/>
          <w:sz w:val="32"/>
          <w:szCs w:val="32"/>
        </w:rPr>
      </w:pPr>
    </w:p>
    <w:p w14:paraId="63648CAE">
      <w:pPr>
        <w:spacing w:line="500" w:lineRule="exact"/>
        <w:jc w:val="center"/>
        <w:outlineLvl w:val="0"/>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第八部分：名词解释</w:t>
      </w:r>
    </w:p>
    <w:p w14:paraId="439C5CBE">
      <w:pPr>
        <w:spacing w:line="500" w:lineRule="exact"/>
        <w:jc w:val="center"/>
        <w:outlineLvl w:val="0"/>
        <w:rPr>
          <w:rFonts w:asciiTheme="minorEastAsia" w:hAnsiTheme="minorEastAsia" w:eastAsiaTheme="minorEastAsia"/>
          <w:b/>
          <w:bCs/>
          <w:sz w:val="32"/>
          <w:szCs w:val="32"/>
        </w:rPr>
      </w:pPr>
    </w:p>
    <w:p w14:paraId="279A23CE">
      <w:pPr>
        <w:spacing w:line="500" w:lineRule="exact"/>
        <w:ind w:firstLine="643" w:firstLineChars="200"/>
        <w:jc w:val="left"/>
        <w:outlineLvl w:val="0"/>
        <w:rPr>
          <w:rFonts w:asciiTheme="minorEastAsia" w:hAnsiTheme="minorEastAsia" w:eastAsiaTheme="minorEastAsia"/>
          <w:sz w:val="32"/>
          <w:szCs w:val="32"/>
        </w:rPr>
      </w:pPr>
      <w:r>
        <w:rPr>
          <w:rFonts w:cs="仿宋" w:asciiTheme="minorEastAsia" w:hAnsiTheme="minorEastAsia" w:eastAsiaTheme="minorEastAsia"/>
          <w:b/>
          <w:bCs/>
          <w:sz w:val="32"/>
          <w:szCs w:val="32"/>
        </w:rPr>
        <w:t>1</w:t>
      </w:r>
      <w:r>
        <w:rPr>
          <w:rFonts w:hint="eastAsia" w:cs="仿宋" w:asciiTheme="minorEastAsia" w:hAnsiTheme="minorEastAsia" w:eastAsiaTheme="minorEastAsia"/>
          <w:b/>
          <w:bCs/>
          <w:sz w:val="32"/>
          <w:szCs w:val="32"/>
        </w:rPr>
        <w:t>、财政拨款收入：</w:t>
      </w:r>
      <w:r>
        <w:rPr>
          <w:rFonts w:hint="eastAsia" w:cs="仿宋" w:asciiTheme="minorEastAsia" w:hAnsiTheme="minorEastAsia" w:eastAsiaTheme="minorEastAsia"/>
          <w:sz w:val="32"/>
          <w:szCs w:val="32"/>
        </w:rPr>
        <w:t>指县级财政当年拨付的资金。</w:t>
      </w:r>
    </w:p>
    <w:p w14:paraId="2AD95710">
      <w:pPr>
        <w:spacing w:line="500" w:lineRule="exact"/>
        <w:ind w:firstLine="643" w:firstLineChars="200"/>
        <w:jc w:val="left"/>
        <w:outlineLvl w:val="0"/>
        <w:rPr>
          <w:rFonts w:asciiTheme="minorEastAsia" w:hAnsiTheme="minorEastAsia" w:eastAsiaTheme="minorEastAsia"/>
          <w:sz w:val="32"/>
          <w:szCs w:val="32"/>
        </w:rPr>
      </w:pPr>
      <w:r>
        <w:rPr>
          <w:rFonts w:cs="仿宋" w:asciiTheme="minorEastAsia" w:hAnsiTheme="minorEastAsia" w:eastAsiaTheme="minorEastAsia"/>
          <w:b/>
          <w:bCs/>
          <w:sz w:val="32"/>
          <w:szCs w:val="32"/>
        </w:rPr>
        <w:t>2</w:t>
      </w:r>
      <w:r>
        <w:rPr>
          <w:rFonts w:hint="eastAsia" w:cs="仿宋" w:asciiTheme="minorEastAsia" w:hAnsiTheme="minorEastAsia" w:eastAsiaTheme="minorEastAsia"/>
          <w:b/>
          <w:bCs/>
          <w:sz w:val="32"/>
          <w:szCs w:val="32"/>
        </w:rPr>
        <w:t>、其他收入：</w:t>
      </w:r>
      <w:r>
        <w:rPr>
          <w:rFonts w:hint="eastAsia" w:cs="仿宋" w:asciiTheme="minorEastAsia" w:hAnsiTheme="minorEastAsia" w:eastAsiaTheme="minorEastAsia"/>
          <w:sz w:val="32"/>
          <w:szCs w:val="32"/>
        </w:rPr>
        <w:t>指除上述“财政拨款收入”、“事业收入”等以外的收入。</w:t>
      </w:r>
    </w:p>
    <w:p w14:paraId="1B5A37E5">
      <w:pPr>
        <w:spacing w:line="500" w:lineRule="exact"/>
        <w:ind w:firstLine="643" w:firstLineChars="200"/>
        <w:jc w:val="left"/>
        <w:outlineLvl w:val="0"/>
        <w:rPr>
          <w:rFonts w:asciiTheme="minorEastAsia" w:hAnsiTheme="minorEastAsia" w:eastAsiaTheme="minorEastAsia"/>
          <w:sz w:val="32"/>
          <w:szCs w:val="32"/>
        </w:rPr>
      </w:pPr>
      <w:r>
        <w:rPr>
          <w:rFonts w:cs="仿宋" w:asciiTheme="minorEastAsia" w:hAnsiTheme="minorEastAsia" w:eastAsiaTheme="minorEastAsia"/>
          <w:b/>
          <w:bCs/>
          <w:sz w:val="32"/>
          <w:szCs w:val="32"/>
        </w:rPr>
        <w:t>3</w:t>
      </w:r>
      <w:r>
        <w:rPr>
          <w:rFonts w:hint="eastAsia" w:cs="仿宋" w:asciiTheme="minorEastAsia" w:hAnsiTheme="minorEastAsia" w:eastAsiaTheme="minorEastAsia"/>
          <w:b/>
          <w:bCs/>
          <w:sz w:val="32"/>
          <w:szCs w:val="32"/>
        </w:rPr>
        <w:t>、基本支出：</w:t>
      </w:r>
      <w:r>
        <w:rPr>
          <w:rFonts w:hint="eastAsia" w:cs="仿宋" w:asciiTheme="minorEastAsia" w:hAnsiTheme="minorEastAsia" w:eastAsiaTheme="minorEastAsia"/>
          <w:sz w:val="32"/>
          <w:szCs w:val="32"/>
        </w:rPr>
        <w:t>指为保障机构正常运转、完成日常工作任务而发生的人员支出和公用支出。</w:t>
      </w:r>
    </w:p>
    <w:p w14:paraId="039FB014">
      <w:pPr>
        <w:spacing w:line="500" w:lineRule="exact"/>
        <w:ind w:firstLine="643" w:firstLineChars="200"/>
        <w:jc w:val="left"/>
        <w:outlineLvl w:val="0"/>
        <w:rPr>
          <w:rFonts w:asciiTheme="minorEastAsia" w:hAnsiTheme="minorEastAsia" w:eastAsiaTheme="minorEastAsia"/>
          <w:sz w:val="32"/>
          <w:szCs w:val="32"/>
        </w:rPr>
      </w:pPr>
      <w:r>
        <w:rPr>
          <w:rFonts w:cs="仿宋" w:asciiTheme="minorEastAsia" w:hAnsiTheme="minorEastAsia" w:eastAsiaTheme="minorEastAsia"/>
          <w:b/>
          <w:bCs/>
          <w:sz w:val="32"/>
          <w:szCs w:val="32"/>
        </w:rPr>
        <w:t>4</w:t>
      </w:r>
      <w:r>
        <w:rPr>
          <w:rFonts w:hint="eastAsia" w:cs="仿宋" w:asciiTheme="minorEastAsia" w:hAnsiTheme="minorEastAsia" w:eastAsiaTheme="minorEastAsia"/>
          <w:b/>
          <w:bCs/>
          <w:sz w:val="32"/>
          <w:szCs w:val="32"/>
        </w:rPr>
        <w:t>、项目支出：</w:t>
      </w:r>
      <w:r>
        <w:rPr>
          <w:rFonts w:hint="eastAsia" w:cs="仿宋" w:asciiTheme="minorEastAsia" w:hAnsiTheme="minorEastAsia" w:eastAsiaTheme="minorEastAsia"/>
          <w:sz w:val="32"/>
          <w:szCs w:val="32"/>
        </w:rPr>
        <w:t>指在基本支出之外为完成特定行政任务和事业发展目标所发生的支出。</w:t>
      </w:r>
    </w:p>
    <w:p w14:paraId="5A7A3B8E">
      <w:pPr>
        <w:spacing w:line="500" w:lineRule="exact"/>
        <w:ind w:firstLine="643" w:firstLineChars="200"/>
        <w:jc w:val="left"/>
        <w:outlineLvl w:val="0"/>
        <w:rPr>
          <w:rFonts w:asciiTheme="minorEastAsia" w:hAnsiTheme="minorEastAsia" w:eastAsiaTheme="minorEastAsia"/>
          <w:sz w:val="32"/>
          <w:szCs w:val="32"/>
        </w:rPr>
      </w:pPr>
      <w:r>
        <w:rPr>
          <w:rFonts w:cs="仿宋" w:asciiTheme="minorEastAsia" w:hAnsiTheme="minorEastAsia" w:eastAsiaTheme="minorEastAsia"/>
          <w:b/>
          <w:bCs/>
          <w:sz w:val="32"/>
          <w:szCs w:val="32"/>
        </w:rPr>
        <w:t>5</w:t>
      </w:r>
      <w:r>
        <w:rPr>
          <w:rFonts w:hint="eastAsia" w:cs="仿宋" w:asciiTheme="minorEastAsia" w:hAnsiTheme="minorEastAsia" w:eastAsiaTheme="minorEastAsia"/>
          <w:b/>
          <w:bCs/>
          <w:sz w:val="32"/>
          <w:szCs w:val="32"/>
        </w:rPr>
        <w:t>、“三公”经费：</w:t>
      </w:r>
      <w:r>
        <w:rPr>
          <w:rFonts w:hint="eastAsia" w:cs="仿宋" w:asciiTheme="minorEastAsia" w:hAnsiTheme="minorEastAsia" w:eastAsiaTheme="minorEastAsia"/>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6AAA03D">
      <w:pPr>
        <w:ind w:firstLine="803" w:firstLineChars="250"/>
        <w:rPr>
          <w:rFonts w:asciiTheme="minorEastAsia" w:hAnsiTheme="minorEastAsia" w:eastAsiaTheme="minorEastAsia"/>
          <w:sz w:val="32"/>
          <w:szCs w:val="32"/>
        </w:rPr>
      </w:pPr>
      <w:r>
        <w:rPr>
          <w:rFonts w:cs="仿宋" w:asciiTheme="minorEastAsia" w:hAnsiTheme="minorEastAsia" w:eastAsiaTheme="minorEastAsia"/>
          <w:b/>
          <w:bCs/>
          <w:sz w:val="32"/>
          <w:szCs w:val="32"/>
        </w:rPr>
        <w:t>6</w:t>
      </w:r>
      <w:r>
        <w:rPr>
          <w:rFonts w:hint="eastAsia" w:cs="仿宋" w:asciiTheme="minorEastAsia" w:hAnsiTheme="minorEastAsia" w:eastAsiaTheme="minorEastAsia"/>
          <w:b/>
          <w:bCs/>
          <w:sz w:val="32"/>
          <w:szCs w:val="32"/>
        </w:rPr>
        <w:t>、机关运行费：</w:t>
      </w:r>
      <w:r>
        <w:rPr>
          <w:rFonts w:hint="eastAsia" w:cs="仿宋" w:asciiTheme="minorEastAsia" w:hAnsiTheme="minorEastAsia" w:eastAsiaTheme="minorEastAsia"/>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A5BA1A9">
      <w:pPr>
        <w:ind w:firstLine="803" w:firstLineChars="250"/>
        <w:rPr>
          <w:rFonts w:asciiTheme="minorEastAsia" w:hAnsiTheme="minorEastAsia" w:eastAsiaTheme="minorEastAsia"/>
          <w:sz w:val="32"/>
          <w:szCs w:val="32"/>
        </w:rPr>
      </w:pPr>
      <w:r>
        <w:rPr>
          <w:rFonts w:cs="仿宋" w:asciiTheme="minorEastAsia" w:hAnsiTheme="minorEastAsia" w:eastAsiaTheme="minorEastAsia"/>
          <w:b/>
          <w:bCs/>
          <w:sz w:val="32"/>
          <w:szCs w:val="32"/>
        </w:rPr>
        <w:t>7</w:t>
      </w:r>
      <w:r>
        <w:rPr>
          <w:rFonts w:hint="eastAsia" w:cs="仿宋" w:asciiTheme="minorEastAsia" w:hAnsiTheme="minorEastAsia" w:eastAsiaTheme="minorEastAsia"/>
          <w:b/>
          <w:bCs/>
          <w:sz w:val="32"/>
          <w:szCs w:val="32"/>
        </w:rPr>
        <w:t>、公务费：</w:t>
      </w:r>
      <w:r>
        <w:rPr>
          <w:rFonts w:hint="eastAsia" w:cs="仿宋" w:asciiTheme="minorEastAsia" w:hAnsiTheme="minorEastAsia" w:eastAsiaTheme="minorEastAsia"/>
          <w:sz w:val="32"/>
          <w:szCs w:val="32"/>
        </w:rPr>
        <w:t>包括办公费、水电费、邮电费、取暖费、交通费、一般会议费和物业管理费之和。</w:t>
      </w:r>
    </w:p>
    <w:p w14:paraId="6A3B045E">
      <w:pPr>
        <w:spacing w:line="500" w:lineRule="exact"/>
        <w:ind w:firstLine="627" w:firstLineChars="196"/>
        <w:jc w:val="center"/>
        <w:outlineLvl w:val="0"/>
        <w:rPr>
          <w:rFonts w:asciiTheme="minorEastAsia" w:hAnsiTheme="minorEastAsia" w:eastAsiaTheme="minorEastAsia"/>
          <w:sz w:val="32"/>
          <w:szCs w:val="32"/>
        </w:rPr>
      </w:pPr>
    </w:p>
    <w:p w14:paraId="0350E34C">
      <w:pPr>
        <w:spacing w:line="500" w:lineRule="exact"/>
        <w:jc w:val="center"/>
        <w:outlineLvl w:val="0"/>
        <w:rPr>
          <w:rFonts w:asciiTheme="minorEastAsia" w:hAnsiTheme="minorEastAsia" w:eastAsiaTheme="minorEastAsia"/>
          <w:b/>
          <w:bCs/>
          <w:sz w:val="32"/>
          <w:szCs w:val="32"/>
        </w:rPr>
      </w:pPr>
      <w:r>
        <w:rPr>
          <w:rFonts w:hint="eastAsia" w:cs="黑体" w:asciiTheme="minorEastAsia" w:hAnsiTheme="minorEastAsia" w:eastAsiaTheme="minorEastAsia"/>
          <w:b/>
          <w:bCs/>
          <w:sz w:val="32"/>
          <w:szCs w:val="32"/>
        </w:rPr>
        <w:t>第九部分：其他需说明的事项</w:t>
      </w:r>
    </w:p>
    <w:p w14:paraId="47796356">
      <w:pPr>
        <w:spacing w:line="500" w:lineRule="exact"/>
        <w:ind w:firstLine="640" w:firstLineChars="200"/>
        <w:jc w:val="left"/>
        <w:outlineLvl w:val="0"/>
        <w:rPr>
          <w:rFonts w:asciiTheme="minorEastAsia" w:hAnsiTheme="minorEastAsia" w:eastAsiaTheme="minorEastAsia"/>
          <w:sz w:val="32"/>
          <w:szCs w:val="32"/>
        </w:rPr>
      </w:pPr>
    </w:p>
    <w:p w14:paraId="5390BC60">
      <w:pPr>
        <w:spacing w:line="500" w:lineRule="exact"/>
        <w:ind w:firstLine="640" w:firstLineChars="200"/>
        <w:jc w:val="left"/>
        <w:outlineLvl w:val="0"/>
        <w:rPr>
          <w:rFonts w:asciiTheme="minorEastAsia" w:hAnsiTheme="minorEastAsia" w:eastAsiaTheme="minorEastAsia"/>
          <w:sz w:val="32"/>
          <w:szCs w:val="32"/>
        </w:rPr>
      </w:pPr>
      <w:r>
        <w:rPr>
          <w:rFonts w:hint="eastAsia" w:cs="仿宋" w:asciiTheme="minorEastAsia" w:hAnsiTheme="minorEastAsia" w:eastAsiaTheme="minorEastAsia"/>
          <w:sz w:val="32"/>
          <w:szCs w:val="32"/>
        </w:rPr>
        <w:t>无其他需说明的事项。</w:t>
      </w:r>
    </w:p>
    <w:p w14:paraId="5FFCD965">
      <w:pPr>
        <w:ind w:firstLine="800" w:firstLineChars="250"/>
        <w:rPr>
          <w:rFonts w:asciiTheme="minorEastAsia" w:hAnsiTheme="minorEastAsia" w:eastAsiaTheme="minorEastAsia"/>
          <w:sz w:val="32"/>
          <w:szCs w:val="32"/>
        </w:rPr>
      </w:pPr>
    </w:p>
    <w:p w14:paraId="19867F2B">
      <w:pPr>
        <w:rPr>
          <w:rFonts w:asciiTheme="minorEastAsia" w:hAnsiTheme="minorEastAsia" w:eastAsiaTheme="minorEastAsia"/>
          <w:sz w:val="32"/>
          <w:szCs w:val="32"/>
        </w:rPr>
      </w:pPr>
      <w:r>
        <w:rPr>
          <w:rFonts w:cs="仿宋" w:asciiTheme="minorEastAsia" w:hAnsiTheme="minorEastAsia" w:eastAsiaTheme="minorEastAsia"/>
          <w:sz w:val="32"/>
          <w:szCs w:val="32"/>
        </w:rPr>
        <w:t xml:space="preserve">                             </w:t>
      </w:r>
    </w:p>
    <w:p w14:paraId="1CBF93B5">
      <w:pPr>
        <w:ind w:firstLine="4800" w:firstLineChars="1500"/>
        <w:rPr>
          <w:rFonts w:asciiTheme="minorEastAsia" w:hAnsiTheme="minorEastAsia" w:eastAsiaTheme="minorEastAsia"/>
          <w:sz w:val="32"/>
          <w:szCs w:val="32"/>
        </w:rPr>
      </w:pPr>
      <w:r>
        <w:rPr>
          <w:rFonts w:cs="仿宋" w:asciiTheme="minorEastAsia" w:hAnsiTheme="minorEastAsia" w:eastAsiaTheme="minorEastAsia"/>
          <w:sz w:val="32"/>
          <w:szCs w:val="32"/>
        </w:rPr>
        <w:t xml:space="preserve">  </w:t>
      </w:r>
    </w:p>
    <w:sectPr>
      <w:pgSz w:w="11906" w:h="16838"/>
      <w:pgMar w:top="1440" w:right="1463" w:bottom="1440" w:left="1463"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script"/>
    <w:pitch w:val="default"/>
    <w:sig w:usb0="00000000" w:usb1="00000000" w:usb2="00000010" w:usb3="00000000" w:csb0="00040000" w:csb1="00000000"/>
  </w:font>
  <w:font w:name="方正黑体_GBK">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书宋_GBK">
    <w:altName w:val="hakuyoxingshu7000"/>
    <w:panose1 w:val="00000000000000000000"/>
    <w:charset w:val="86"/>
    <w:family w:val="script"/>
    <w:pitch w:val="default"/>
    <w:sig w:usb0="00000000" w:usb1="00000000" w:usb2="00000010" w:usb3="00000000" w:csb0="00040000"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5542D">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974A4">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ljZGJjZGU4NDYyMmViYzlmYzVlYjFkNDcyMmQxZWYifQ=="/>
  </w:docVars>
  <w:rsids>
    <w:rsidRoot w:val="004542D3"/>
    <w:rsid w:val="000150CC"/>
    <w:rsid w:val="00021997"/>
    <w:rsid w:val="00030040"/>
    <w:rsid w:val="00042C53"/>
    <w:rsid w:val="000474A3"/>
    <w:rsid w:val="0005174E"/>
    <w:rsid w:val="00082DA9"/>
    <w:rsid w:val="000927BD"/>
    <w:rsid w:val="000B198B"/>
    <w:rsid w:val="000C16E1"/>
    <w:rsid w:val="000D2455"/>
    <w:rsid w:val="00107BFB"/>
    <w:rsid w:val="001153C8"/>
    <w:rsid w:val="00122E8D"/>
    <w:rsid w:val="00144E5B"/>
    <w:rsid w:val="00160D66"/>
    <w:rsid w:val="00162360"/>
    <w:rsid w:val="001A044F"/>
    <w:rsid w:val="001C3B31"/>
    <w:rsid w:val="00227309"/>
    <w:rsid w:val="00227558"/>
    <w:rsid w:val="00275DA2"/>
    <w:rsid w:val="00280AC2"/>
    <w:rsid w:val="00284D3D"/>
    <w:rsid w:val="00287881"/>
    <w:rsid w:val="002D6E79"/>
    <w:rsid w:val="00323B49"/>
    <w:rsid w:val="00324F50"/>
    <w:rsid w:val="00340C56"/>
    <w:rsid w:val="003469D0"/>
    <w:rsid w:val="00363A1D"/>
    <w:rsid w:val="003647BA"/>
    <w:rsid w:val="003875D4"/>
    <w:rsid w:val="003B30D0"/>
    <w:rsid w:val="003C2338"/>
    <w:rsid w:val="003D0ED2"/>
    <w:rsid w:val="003D524A"/>
    <w:rsid w:val="003D65C7"/>
    <w:rsid w:val="003E193B"/>
    <w:rsid w:val="003E4B1E"/>
    <w:rsid w:val="004056EB"/>
    <w:rsid w:val="0043373F"/>
    <w:rsid w:val="00443F47"/>
    <w:rsid w:val="0045011F"/>
    <w:rsid w:val="004542D3"/>
    <w:rsid w:val="00464BF4"/>
    <w:rsid w:val="0046701D"/>
    <w:rsid w:val="004900DD"/>
    <w:rsid w:val="004A6DA7"/>
    <w:rsid w:val="004D4BD2"/>
    <w:rsid w:val="004D6F67"/>
    <w:rsid w:val="005334B8"/>
    <w:rsid w:val="00565D9E"/>
    <w:rsid w:val="005D7F4A"/>
    <w:rsid w:val="005E3B35"/>
    <w:rsid w:val="00601989"/>
    <w:rsid w:val="0060645B"/>
    <w:rsid w:val="00626355"/>
    <w:rsid w:val="0062708F"/>
    <w:rsid w:val="0069372F"/>
    <w:rsid w:val="006D1081"/>
    <w:rsid w:val="00700AF5"/>
    <w:rsid w:val="00720F79"/>
    <w:rsid w:val="00730326"/>
    <w:rsid w:val="00730665"/>
    <w:rsid w:val="00734CAC"/>
    <w:rsid w:val="007533B5"/>
    <w:rsid w:val="00762E9A"/>
    <w:rsid w:val="00771F70"/>
    <w:rsid w:val="007766B1"/>
    <w:rsid w:val="007A10EF"/>
    <w:rsid w:val="007B253B"/>
    <w:rsid w:val="007C59A9"/>
    <w:rsid w:val="007E3116"/>
    <w:rsid w:val="007E4A1C"/>
    <w:rsid w:val="0080581D"/>
    <w:rsid w:val="00830489"/>
    <w:rsid w:val="008365B8"/>
    <w:rsid w:val="00846020"/>
    <w:rsid w:val="0086257B"/>
    <w:rsid w:val="00862B0A"/>
    <w:rsid w:val="008743AB"/>
    <w:rsid w:val="008A664C"/>
    <w:rsid w:val="008D2891"/>
    <w:rsid w:val="00915D96"/>
    <w:rsid w:val="00933901"/>
    <w:rsid w:val="0094163C"/>
    <w:rsid w:val="009A6C68"/>
    <w:rsid w:val="009B5178"/>
    <w:rsid w:val="009D5E2E"/>
    <w:rsid w:val="00A06E3B"/>
    <w:rsid w:val="00A23295"/>
    <w:rsid w:val="00A30499"/>
    <w:rsid w:val="00A54D28"/>
    <w:rsid w:val="00A61756"/>
    <w:rsid w:val="00A847A0"/>
    <w:rsid w:val="00A95E6A"/>
    <w:rsid w:val="00A95EFB"/>
    <w:rsid w:val="00AA7A11"/>
    <w:rsid w:val="00AB3511"/>
    <w:rsid w:val="00AD1171"/>
    <w:rsid w:val="00B11B0A"/>
    <w:rsid w:val="00B87576"/>
    <w:rsid w:val="00BE1713"/>
    <w:rsid w:val="00BF1B0D"/>
    <w:rsid w:val="00C07165"/>
    <w:rsid w:val="00C12CC2"/>
    <w:rsid w:val="00C26AF4"/>
    <w:rsid w:val="00C27CA3"/>
    <w:rsid w:val="00C50640"/>
    <w:rsid w:val="00C66D59"/>
    <w:rsid w:val="00C77FD7"/>
    <w:rsid w:val="00C8360A"/>
    <w:rsid w:val="00C95F9A"/>
    <w:rsid w:val="00CC32A0"/>
    <w:rsid w:val="00CE7DB1"/>
    <w:rsid w:val="00D41D3E"/>
    <w:rsid w:val="00D61B73"/>
    <w:rsid w:val="00DF610C"/>
    <w:rsid w:val="00E04ADF"/>
    <w:rsid w:val="00E07814"/>
    <w:rsid w:val="00E24E7F"/>
    <w:rsid w:val="00E50ADB"/>
    <w:rsid w:val="00E74D12"/>
    <w:rsid w:val="00E95C6F"/>
    <w:rsid w:val="00EA1556"/>
    <w:rsid w:val="00EA306D"/>
    <w:rsid w:val="00EF36C2"/>
    <w:rsid w:val="00F176C0"/>
    <w:rsid w:val="00F3626D"/>
    <w:rsid w:val="00F60788"/>
    <w:rsid w:val="00F66423"/>
    <w:rsid w:val="00FC0A77"/>
    <w:rsid w:val="00FD13AA"/>
    <w:rsid w:val="00FF332D"/>
    <w:rsid w:val="00FF5DCD"/>
    <w:rsid w:val="0CD83F20"/>
    <w:rsid w:val="23AD6D03"/>
    <w:rsid w:val="28616957"/>
    <w:rsid w:val="29EF1DC6"/>
    <w:rsid w:val="2D351D8A"/>
    <w:rsid w:val="3AD14D17"/>
    <w:rsid w:val="49205D44"/>
    <w:rsid w:val="7A8B19B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locked/>
    <w:uiPriority w:val="9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locked/>
    <w:uiPriority w:val="99"/>
    <w:rPr>
      <w:rFonts w:ascii="Times New Roman" w:hAnsi="Times New Roman" w:cs="Times New Roman"/>
      <w:sz w:val="18"/>
      <w:szCs w:val="18"/>
    </w:rPr>
  </w:style>
  <w:style w:type="character" w:customStyle="1" w:styleId="8">
    <w:name w:val="页脚 Char"/>
    <w:basedOn w:val="6"/>
    <w:link w:val="2"/>
    <w:semiHidden/>
    <w:locked/>
    <w:uiPriority w:val="99"/>
    <w:rPr>
      <w:rFonts w:ascii="Times New Roman" w:hAnsi="Times New Roman"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深圳市斯尔顿科技有限公司</Company>
  <Pages>17</Pages>
  <Words>4709</Words>
  <Characters>4979</Characters>
  <Lines>39</Lines>
  <Paragraphs>11</Paragraphs>
  <TotalTime>81</TotalTime>
  <ScaleCrop>false</ScaleCrop>
  <LinksUpToDate>false</LinksUpToDate>
  <CharactersWithSpaces>5097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2017-06-22T01:19:00Z</dcterms:created>
  <dc:creator>Windows 用户</dc:creator>
  <cp:lastModifiedBy>寒星</cp:lastModifiedBy>
  <cp:lastPrinted>2017-11-09T07:25:00Z</cp:lastPrinted>
  <dcterms:modified xsi:type="dcterms:W3CDTF">2026-01-27T11:29:19Z</dcterms:modified>
  <dc:title>涞源县政法委</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8D7C02B53EEF4D92BC26427429EBD47E_12</vt:lpwstr>
  </property>
  <property fmtid="{D5CDD505-2E9C-101B-9397-08002B2CF9AE}" pid="4" name="KSOTemplateDocerSaveRecord">
    <vt:lpwstr>eyJoZGlkIjoiZmUwMzNlNmY3YjY4MWRhMTk0NWM5Y2I3NTE3NWQ0N2EiLCJ1c2VySWQiOiIzMDA3NjAwNDkifQ==</vt:lpwstr>
  </property>
</Properties>
</file>