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964"/>
        <w:jc w:val="center"/>
        <w:rPr>
          <w:rFonts w:hint="eastAsia" w:ascii="黑体" w:hAnsi="黑体" w:eastAsia="黑体" w:cs="黑体"/>
          <w:b/>
          <w:sz w:val="48"/>
          <w:szCs w:val="48"/>
        </w:rPr>
      </w:pPr>
      <w:r>
        <w:rPr>
          <w:rFonts w:hint="eastAsia" w:ascii="黑体" w:hAnsi="黑体" w:eastAsia="黑体" w:cs="黑体"/>
          <w:b/>
          <w:sz w:val="48"/>
          <w:szCs w:val="48"/>
        </w:rPr>
        <w:t>中共涞源县纪检委</w:t>
      </w:r>
    </w:p>
    <w:p>
      <w:pPr>
        <w:ind w:firstLine="964"/>
        <w:jc w:val="center"/>
        <w:rPr>
          <w:rFonts w:hint="eastAsia" w:ascii="黑体" w:hAnsi="黑体" w:eastAsia="黑体" w:cs="黑体"/>
          <w:b/>
          <w:sz w:val="48"/>
          <w:szCs w:val="48"/>
        </w:rPr>
      </w:pPr>
      <w:r>
        <w:rPr>
          <w:rFonts w:hint="eastAsia" w:ascii="黑体" w:hAnsi="黑体" w:eastAsia="黑体" w:cs="黑体"/>
          <w:b/>
          <w:sz w:val="48"/>
          <w:szCs w:val="48"/>
        </w:rPr>
        <w:t>2015年决算公开</w:t>
      </w:r>
    </w:p>
    <w:p>
      <w:pPr>
        <w:ind w:firstLine="643"/>
        <w:rPr>
          <w:rFonts w:hint="eastAsia" w:ascii="黑体" w:hAnsi="黑体" w:eastAsia="黑体" w:cs="黑体"/>
          <w:b/>
          <w:szCs w:val="32"/>
        </w:rPr>
      </w:pPr>
    </w:p>
    <w:p>
      <w:pPr>
        <w:ind w:firstLine="640"/>
        <w:rPr>
          <w:rFonts w:hint="eastAsia" w:ascii="宋体" w:hAnsi="宋体" w:eastAsia="宋体" w:cs="宋体"/>
          <w:b/>
          <w:bCs/>
          <w:sz w:val="32"/>
          <w:szCs w:val="32"/>
        </w:rPr>
      </w:pPr>
      <w:r>
        <w:rPr>
          <w:rFonts w:hint="eastAsia" w:ascii="宋体" w:hAnsi="宋体" w:eastAsia="宋体" w:cs="宋体"/>
          <w:b/>
          <w:bCs/>
          <w:sz w:val="32"/>
          <w:szCs w:val="32"/>
        </w:rPr>
        <w:t>第一部分  纪检委</w:t>
      </w:r>
      <w:r>
        <w:rPr>
          <w:rFonts w:hint="eastAsia" w:ascii="宋体" w:hAnsi="宋体" w:eastAsia="宋体" w:cs="宋体"/>
          <w:b/>
          <w:bCs/>
          <w:sz w:val="32"/>
          <w:szCs w:val="32"/>
          <w:lang w:eastAsia="zh-CN"/>
        </w:rPr>
        <w:t>部门</w:t>
      </w:r>
      <w:r>
        <w:rPr>
          <w:rFonts w:hint="eastAsia" w:ascii="宋体" w:hAnsi="宋体" w:eastAsia="宋体" w:cs="宋体"/>
          <w:b/>
          <w:bCs/>
          <w:sz w:val="32"/>
          <w:szCs w:val="32"/>
        </w:rPr>
        <w:t>概况</w:t>
      </w:r>
    </w:p>
    <w:p>
      <w:pPr>
        <w:ind w:firstLine="1274" w:firstLineChars="398"/>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一、部门职责</w:t>
      </w:r>
    </w:p>
    <w:p>
      <w:pPr>
        <w:ind w:firstLine="1274" w:firstLineChars="398"/>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w:t>
      </w:r>
      <w:r>
        <w:rPr>
          <w:rFonts w:hint="eastAsia" w:ascii="仿宋_GB2312" w:hAnsi="仿宋_GB2312" w:cs="仿宋_GB2312"/>
          <w:sz w:val="32"/>
          <w:szCs w:val="32"/>
          <w:lang w:eastAsia="zh-CN"/>
        </w:rPr>
        <w:t>部门</w:t>
      </w:r>
      <w:r>
        <w:rPr>
          <w:rFonts w:hint="eastAsia" w:ascii="仿宋_GB2312" w:hAnsi="仿宋_GB2312" w:eastAsia="仿宋_GB2312" w:cs="仿宋_GB2312"/>
          <w:sz w:val="32"/>
          <w:szCs w:val="32"/>
          <w:lang w:eastAsia="zh-CN"/>
        </w:rPr>
        <w:t>机构设置</w:t>
      </w:r>
    </w:p>
    <w:p>
      <w:pPr>
        <w:ind w:firstLine="1274" w:firstLineChars="398"/>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部门决算单位构成</w:t>
      </w:r>
    </w:p>
    <w:p>
      <w:pPr>
        <w:ind w:firstLine="640"/>
        <w:rPr>
          <w:rFonts w:hint="eastAsia" w:ascii="宋体" w:hAnsi="宋体" w:eastAsia="宋体" w:cs="宋体"/>
          <w:b/>
          <w:bCs/>
          <w:sz w:val="32"/>
          <w:szCs w:val="32"/>
        </w:rPr>
      </w:pPr>
      <w:r>
        <w:rPr>
          <w:rFonts w:hint="eastAsia" w:ascii="宋体" w:hAnsi="宋体" w:eastAsia="宋体" w:cs="宋体"/>
          <w:b/>
          <w:bCs/>
          <w:sz w:val="32"/>
          <w:szCs w:val="32"/>
        </w:rPr>
        <w:t>第二部分  纪检委2015年度部门决算报表</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eastAsia="zh-CN"/>
        </w:rPr>
        <w:t>部门</w:t>
      </w:r>
      <w:r>
        <w:rPr>
          <w:rFonts w:hint="eastAsia" w:ascii="仿宋_GB2312" w:hAnsi="仿宋_GB2312" w:eastAsia="仿宋_GB2312" w:cs="仿宋_GB2312"/>
          <w:sz w:val="32"/>
          <w:szCs w:val="32"/>
        </w:rPr>
        <w:t>收支决算总表</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eastAsia="zh-CN"/>
        </w:rPr>
        <w:t>部门</w:t>
      </w:r>
      <w:r>
        <w:rPr>
          <w:rFonts w:hint="eastAsia" w:ascii="仿宋_GB2312" w:hAnsi="仿宋_GB2312" w:eastAsia="仿宋_GB2312" w:cs="仿宋_GB2312"/>
          <w:sz w:val="32"/>
          <w:szCs w:val="32"/>
        </w:rPr>
        <w:t>收入决算</w:t>
      </w:r>
      <w:r>
        <w:rPr>
          <w:rFonts w:hint="eastAsia" w:ascii="仿宋_GB2312" w:hAnsi="仿宋_GB2312" w:eastAsia="仿宋_GB2312" w:cs="仿宋_GB2312"/>
          <w:sz w:val="32"/>
          <w:szCs w:val="32"/>
          <w:lang w:eastAsia="zh-CN"/>
        </w:rPr>
        <w:t>总</w:t>
      </w:r>
      <w:r>
        <w:rPr>
          <w:rFonts w:hint="eastAsia" w:ascii="仿宋_GB2312" w:hAnsi="仿宋_GB2312" w:eastAsia="仿宋_GB2312" w:cs="仿宋_GB2312"/>
          <w:sz w:val="32"/>
          <w:szCs w:val="32"/>
        </w:rPr>
        <w:t>表</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eastAsia="zh-CN"/>
        </w:rPr>
        <w:t>部门</w:t>
      </w:r>
      <w:r>
        <w:rPr>
          <w:rFonts w:hint="eastAsia" w:ascii="仿宋_GB2312" w:hAnsi="仿宋_GB2312" w:eastAsia="仿宋_GB2312" w:cs="仿宋_GB2312"/>
          <w:sz w:val="32"/>
          <w:szCs w:val="32"/>
        </w:rPr>
        <w:t>支出决算</w:t>
      </w:r>
      <w:r>
        <w:rPr>
          <w:rFonts w:hint="eastAsia" w:ascii="仿宋_GB2312" w:hAnsi="仿宋_GB2312" w:eastAsia="仿宋_GB2312" w:cs="仿宋_GB2312"/>
          <w:sz w:val="32"/>
          <w:szCs w:val="32"/>
          <w:lang w:eastAsia="zh-CN"/>
        </w:rPr>
        <w:t>总</w:t>
      </w:r>
      <w:r>
        <w:rPr>
          <w:rFonts w:hint="eastAsia" w:ascii="仿宋_GB2312" w:hAnsi="仿宋_GB2312" w:eastAsia="仿宋_GB2312" w:cs="仿宋_GB2312"/>
          <w:sz w:val="32"/>
          <w:szCs w:val="32"/>
        </w:rPr>
        <w:t>表</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w:t>
      </w:r>
      <w:r>
        <w:rPr>
          <w:rFonts w:hint="eastAsia" w:ascii="仿宋_GB2312" w:hAnsi="仿宋_GB2312" w:eastAsia="仿宋_GB2312" w:cs="仿宋_GB2312"/>
          <w:sz w:val="32"/>
          <w:szCs w:val="32"/>
          <w:lang w:eastAsia="zh-CN"/>
        </w:rPr>
        <w:t>部门</w:t>
      </w:r>
      <w:r>
        <w:rPr>
          <w:rFonts w:hint="eastAsia" w:ascii="仿宋_GB2312" w:hAnsi="仿宋_GB2312" w:eastAsia="仿宋_GB2312" w:cs="仿宋_GB2312"/>
          <w:sz w:val="32"/>
          <w:szCs w:val="32"/>
        </w:rPr>
        <w:t>财政拨款收支决算总表</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w:t>
      </w:r>
      <w:r>
        <w:rPr>
          <w:rFonts w:hint="eastAsia" w:ascii="仿宋_GB2312" w:hAnsi="仿宋_GB2312" w:eastAsia="仿宋_GB2312" w:cs="仿宋_GB2312"/>
          <w:sz w:val="32"/>
          <w:szCs w:val="32"/>
          <w:lang w:eastAsia="zh-CN"/>
        </w:rPr>
        <w:t>部门</w:t>
      </w:r>
      <w:r>
        <w:rPr>
          <w:rFonts w:hint="eastAsia" w:ascii="仿宋_GB2312" w:hAnsi="仿宋_GB2312" w:eastAsia="仿宋_GB2312" w:cs="仿宋_GB2312"/>
          <w:sz w:val="32"/>
          <w:szCs w:val="32"/>
        </w:rPr>
        <w:t>一般公共预算财政拨款支出决算表</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w:t>
      </w:r>
      <w:r>
        <w:rPr>
          <w:rFonts w:hint="eastAsia" w:ascii="仿宋_GB2312" w:hAnsi="仿宋_GB2312" w:eastAsia="仿宋_GB2312" w:cs="仿宋_GB2312"/>
          <w:sz w:val="32"/>
          <w:szCs w:val="32"/>
          <w:lang w:eastAsia="zh-CN"/>
        </w:rPr>
        <w:t>部门</w:t>
      </w:r>
      <w:r>
        <w:rPr>
          <w:rFonts w:hint="eastAsia" w:ascii="仿宋_GB2312" w:hAnsi="仿宋_GB2312" w:eastAsia="仿宋_GB2312" w:cs="仿宋_GB2312"/>
          <w:sz w:val="32"/>
          <w:szCs w:val="32"/>
        </w:rPr>
        <w:t>一般公共预算财政拨款基本支出决算表</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w:t>
      </w:r>
      <w:r>
        <w:rPr>
          <w:rFonts w:hint="eastAsia" w:ascii="仿宋_GB2312" w:hAnsi="仿宋_GB2312" w:eastAsia="仿宋_GB2312" w:cs="仿宋_GB2312"/>
          <w:sz w:val="32"/>
          <w:szCs w:val="32"/>
          <w:lang w:eastAsia="zh-CN"/>
        </w:rPr>
        <w:t>部门</w:t>
      </w:r>
      <w:r>
        <w:rPr>
          <w:rFonts w:hint="eastAsia" w:ascii="仿宋_GB2312" w:hAnsi="仿宋_GB2312" w:eastAsia="仿宋_GB2312" w:cs="仿宋_GB2312"/>
          <w:sz w:val="32"/>
          <w:szCs w:val="32"/>
        </w:rPr>
        <w:t>政府性基金预算财政拨款收支决算</w:t>
      </w:r>
      <w:r>
        <w:rPr>
          <w:rFonts w:hint="eastAsia" w:ascii="仿宋_GB2312" w:hAnsi="仿宋_GB2312" w:eastAsia="仿宋_GB2312" w:cs="仿宋_GB2312"/>
          <w:sz w:val="32"/>
          <w:szCs w:val="32"/>
          <w:lang w:eastAsia="zh-CN"/>
        </w:rPr>
        <w:t>表</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w:t>
      </w:r>
      <w:r>
        <w:rPr>
          <w:rFonts w:hint="eastAsia" w:ascii="仿宋_GB2312" w:hAnsi="仿宋_GB2312" w:eastAsia="仿宋_GB2312" w:cs="仿宋_GB2312"/>
          <w:sz w:val="32"/>
          <w:szCs w:val="32"/>
          <w:lang w:eastAsia="zh-CN"/>
        </w:rPr>
        <w:t>部门国有资本经营预算财政拨款支出决算表</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w:t>
      </w:r>
      <w:r>
        <w:rPr>
          <w:rFonts w:hint="eastAsia" w:ascii="仿宋_GB2312" w:hAnsi="仿宋_GB2312" w:eastAsia="仿宋_GB2312" w:cs="仿宋_GB2312"/>
          <w:sz w:val="32"/>
          <w:szCs w:val="32"/>
          <w:lang w:eastAsia="zh-CN"/>
        </w:rPr>
        <w:t>部门财政拨款“三公”经费支出决算表</w:t>
      </w:r>
    </w:p>
    <w:p>
      <w:pPr>
        <w:ind w:firstLine="64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第三部分  纪检委绩效预算信息</w:t>
      </w:r>
    </w:p>
    <w:p>
      <w:pPr>
        <w:ind w:left="0" w:leftChars="0" w:firstLine="0" w:firstLineChars="0"/>
        <w:rPr>
          <w:rFonts w:hint="eastAsia" w:ascii="宋体" w:hAnsi="宋体" w:eastAsia="宋体" w:cs="宋体"/>
          <w:b/>
          <w:bCs/>
          <w:sz w:val="32"/>
          <w:szCs w:val="32"/>
        </w:rPr>
      </w:pPr>
      <w:r>
        <w:rPr>
          <w:rFonts w:hint="eastAsia" w:ascii="仿宋_GB2312" w:hAnsi="仿宋_GB2312" w:eastAsia="仿宋_GB2312" w:cs="仿宋_GB2312"/>
          <w:sz w:val="32"/>
          <w:szCs w:val="32"/>
          <w:lang w:val="en-US" w:eastAsia="zh-CN"/>
        </w:rPr>
        <w:t xml:space="preserve">    </w:t>
      </w:r>
      <w:r>
        <w:rPr>
          <w:rFonts w:hint="eastAsia" w:ascii="宋体" w:hAnsi="宋体" w:eastAsia="宋体" w:cs="宋体"/>
          <w:b/>
          <w:bCs/>
          <w:sz w:val="32"/>
          <w:szCs w:val="32"/>
        </w:rPr>
        <w:t>第</w:t>
      </w:r>
      <w:r>
        <w:rPr>
          <w:rFonts w:hint="eastAsia" w:ascii="宋体" w:hAnsi="宋体" w:eastAsia="宋体" w:cs="宋体"/>
          <w:b/>
          <w:bCs/>
          <w:sz w:val="32"/>
          <w:szCs w:val="32"/>
          <w:lang w:eastAsia="zh-CN"/>
        </w:rPr>
        <w:t>四</w:t>
      </w:r>
      <w:r>
        <w:rPr>
          <w:rFonts w:hint="eastAsia" w:ascii="宋体" w:hAnsi="宋体" w:eastAsia="宋体" w:cs="宋体"/>
          <w:b/>
          <w:bCs/>
          <w:sz w:val="32"/>
          <w:szCs w:val="32"/>
        </w:rPr>
        <w:t>部分  纪检委2015年部门决算情况说明</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一、收入支出决算总体情况说明</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二、收入决算情况说明</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三、支出决算情况说明</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四、财政拨款收入支出决算总体情况说明</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五、一般公共预算财政拨款“三公”经费支出决算情况说明</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六、机关运经费的支出情况说明</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七、政府采购情况说明</w:t>
      </w:r>
    </w:p>
    <w:p>
      <w:pPr>
        <w:ind w:left="640"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w:t>
      </w:r>
      <w:r>
        <w:rPr>
          <w:rFonts w:hint="eastAsia" w:ascii="仿宋_GB2312" w:hAnsi="仿宋_GB2312" w:eastAsia="仿宋_GB2312" w:cs="仿宋_GB2312"/>
          <w:sz w:val="32"/>
          <w:szCs w:val="32"/>
          <w:lang w:eastAsia="zh-CN"/>
        </w:rPr>
        <w:t>国有资产情况</w:t>
      </w:r>
      <w:r>
        <w:rPr>
          <w:rFonts w:hint="eastAsia" w:ascii="仿宋_GB2312" w:hAnsi="仿宋_GB2312" w:cs="仿宋_GB2312"/>
          <w:sz w:val="32"/>
          <w:szCs w:val="32"/>
          <w:lang w:eastAsia="zh-CN"/>
        </w:rPr>
        <w:t>说明</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九、</w:t>
      </w:r>
      <w:r>
        <w:rPr>
          <w:rFonts w:hint="eastAsia" w:ascii="仿宋_GB2312" w:hAnsi="仿宋_GB2312" w:eastAsia="仿宋_GB2312" w:cs="仿宋_GB2312"/>
          <w:sz w:val="32"/>
          <w:szCs w:val="32"/>
        </w:rPr>
        <w:t>其他重要事项的情况说明</w:t>
      </w:r>
    </w:p>
    <w:p>
      <w:pPr>
        <w:ind w:left="640"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十、专业名词解释</w:t>
      </w:r>
    </w:p>
    <w:p>
      <w:pPr>
        <w:ind w:firstLine="640"/>
        <w:jc w:val="center"/>
        <w:rPr>
          <w:rFonts w:hint="eastAsia" w:ascii="宋体" w:hAnsi="宋体" w:eastAsia="宋体" w:cs="宋体"/>
          <w:b/>
          <w:bCs/>
          <w:sz w:val="32"/>
          <w:szCs w:val="32"/>
        </w:rPr>
      </w:pPr>
    </w:p>
    <w:p>
      <w:pPr>
        <w:ind w:firstLine="640"/>
        <w:jc w:val="center"/>
        <w:rPr>
          <w:rFonts w:hint="eastAsia" w:ascii="宋体" w:hAnsi="宋体" w:eastAsia="宋体" w:cs="宋体"/>
          <w:b/>
          <w:bCs/>
          <w:sz w:val="32"/>
          <w:szCs w:val="32"/>
        </w:rPr>
      </w:pPr>
      <w:r>
        <w:rPr>
          <w:rFonts w:hint="eastAsia" w:ascii="宋体" w:hAnsi="宋体" w:eastAsia="宋体" w:cs="宋体"/>
          <w:b/>
          <w:bCs/>
          <w:sz w:val="32"/>
          <w:szCs w:val="32"/>
        </w:rPr>
        <w:t>第一部分  纪检委概况</w:t>
      </w: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一、部门职责</w:t>
      </w:r>
    </w:p>
    <w:p>
      <w:pPr>
        <w:widowControl/>
        <w:spacing w:line="420" w:lineRule="atLeast"/>
        <w:ind w:firstLine="480" w:firstLineChars="150"/>
        <w:jc w:val="left"/>
        <w:rPr>
          <w:rFonts w:hint="eastAsia" w:ascii="仿宋_GB2312" w:hAnsi="仿宋_GB2312" w:eastAsia="仿宋_GB2312" w:cs="仿宋_GB2312"/>
          <w:color w:val="484747"/>
          <w:kern w:val="0"/>
          <w:sz w:val="32"/>
          <w:szCs w:val="32"/>
        </w:rPr>
      </w:pPr>
      <w:r>
        <w:rPr>
          <w:rFonts w:hint="eastAsia" w:ascii="仿宋_GB2312" w:hAnsi="仿宋_GB2312" w:cs="仿宋_GB2312"/>
          <w:color w:val="484747"/>
          <w:kern w:val="0"/>
          <w:sz w:val="32"/>
          <w:szCs w:val="32"/>
          <w:lang w:val="en-US" w:eastAsia="zh-CN"/>
        </w:rPr>
        <w:t xml:space="preserve"> 1、</w:t>
      </w:r>
      <w:r>
        <w:rPr>
          <w:rFonts w:hint="eastAsia" w:ascii="仿宋_GB2312" w:hAnsi="仿宋_GB2312" w:eastAsia="仿宋_GB2312" w:cs="仿宋_GB2312"/>
          <w:color w:val="484747"/>
          <w:kern w:val="0"/>
          <w:sz w:val="32"/>
          <w:szCs w:val="32"/>
        </w:rPr>
        <w:t>负责受理信访、举报，集中管理问题线索、组织协调案件查办，调查、审查违纪违法案件，对案件审理提出处理意见。</w:t>
      </w:r>
    </w:p>
    <w:p>
      <w:pPr>
        <w:widowControl/>
        <w:spacing w:line="420" w:lineRule="atLeast"/>
        <w:ind w:firstLine="480" w:firstLineChars="150"/>
        <w:jc w:val="left"/>
        <w:rPr>
          <w:rFonts w:hint="eastAsia" w:ascii="仿宋_GB2312" w:hAnsi="仿宋_GB2312" w:eastAsia="仿宋_GB2312" w:cs="仿宋_GB2312"/>
          <w:color w:val="484747"/>
          <w:kern w:val="0"/>
          <w:sz w:val="32"/>
          <w:szCs w:val="32"/>
        </w:rPr>
      </w:pPr>
      <w:r>
        <w:rPr>
          <w:rFonts w:hint="eastAsia" w:ascii="仿宋_GB2312" w:hAnsi="仿宋_GB2312" w:cs="仿宋_GB2312"/>
          <w:color w:val="484747"/>
          <w:kern w:val="0"/>
          <w:sz w:val="32"/>
          <w:szCs w:val="32"/>
          <w:lang w:val="en-US" w:eastAsia="zh-CN"/>
        </w:rPr>
        <w:t xml:space="preserve"> 2、</w:t>
      </w:r>
      <w:r>
        <w:rPr>
          <w:rFonts w:hint="eastAsia" w:ascii="仿宋_GB2312" w:hAnsi="仿宋_GB2312" w:eastAsia="仿宋_GB2312" w:cs="仿宋_GB2312"/>
          <w:color w:val="484747"/>
          <w:kern w:val="0"/>
          <w:sz w:val="32"/>
          <w:szCs w:val="32"/>
        </w:rPr>
        <w:t>负责组织协调全县党风廉政建设和反腐败宣传、教育、课题研究、法规起草修订等工作；承担县委惩治和预防腐败体系领导小组办公室和县预防腐败局的日常工作。</w:t>
      </w:r>
    </w:p>
    <w:p>
      <w:pPr>
        <w:widowControl/>
        <w:spacing w:line="420" w:lineRule="atLeast"/>
        <w:ind w:left="0" w:leftChars="0" w:firstLine="0" w:firstLineChars="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lang w:val="en-US" w:eastAsia="zh-CN"/>
        </w:rPr>
        <w:t xml:space="preserve">  </w:t>
      </w:r>
      <w:r>
        <w:rPr>
          <w:rFonts w:hint="eastAsia" w:ascii="仿宋_GB2312" w:hAnsi="仿宋_GB2312" w:cs="仿宋_GB2312"/>
          <w:color w:val="484747"/>
          <w:kern w:val="0"/>
          <w:sz w:val="32"/>
          <w:szCs w:val="32"/>
          <w:lang w:val="en-US" w:eastAsia="zh-CN"/>
        </w:rPr>
        <w:t xml:space="preserve">  3、</w:t>
      </w:r>
      <w:r>
        <w:rPr>
          <w:rFonts w:hint="eastAsia" w:ascii="仿宋_GB2312" w:hAnsi="仿宋_GB2312" w:eastAsia="仿宋_GB2312" w:cs="仿宋_GB2312"/>
          <w:color w:val="484747"/>
          <w:kern w:val="0"/>
          <w:sz w:val="32"/>
          <w:szCs w:val="32"/>
        </w:rPr>
        <w:t>负责监督检查党内法规政策、国家法律法规、党风廉政建设等的执行情况；履行县政府纠正行业不正之风办公室职能；贯彻落实县委有关部署，开展常态化全覆盖监督；做好对县委巡视工作领导小组、县委巡视组的服务保障工作。</w:t>
      </w:r>
    </w:p>
    <w:p>
      <w:pPr>
        <w:widowControl/>
        <w:numPr>
          <w:numId w:val="0"/>
        </w:numPr>
        <w:spacing w:line="420" w:lineRule="atLeast"/>
        <w:jc w:val="left"/>
        <w:rPr>
          <w:rFonts w:hint="eastAsia" w:ascii="仿宋_GB2312" w:hAnsi="仿宋_GB2312" w:eastAsia="仿宋_GB2312" w:cs="仿宋_GB2312"/>
          <w:b/>
          <w:bCs/>
          <w:color w:val="484747"/>
          <w:kern w:val="0"/>
          <w:sz w:val="32"/>
          <w:szCs w:val="32"/>
          <w:lang w:eastAsia="zh-CN"/>
        </w:rPr>
      </w:pPr>
      <w:r>
        <w:rPr>
          <w:rFonts w:hint="eastAsia" w:ascii="仿宋_GB2312" w:hAnsi="仿宋_GB2312" w:cs="仿宋_GB2312"/>
          <w:b/>
          <w:bCs/>
          <w:color w:val="484747"/>
          <w:kern w:val="0"/>
          <w:sz w:val="32"/>
          <w:szCs w:val="32"/>
          <w:lang w:val="en-US" w:eastAsia="zh-CN"/>
        </w:rPr>
        <w:t xml:space="preserve">    </w:t>
      </w:r>
      <w:r>
        <w:rPr>
          <w:rFonts w:hint="eastAsia" w:ascii="仿宋_GB2312" w:hAnsi="仿宋_GB2312" w:cs="仿宋_GB2312"/>
          <w:b/>
          <w:bCs/>
          <w:color w:val="484747"/>
          <w:kern w:val="0"/>
          <w:sz w:val="32"/>
          <w:szCs w:val="32"/>
          <w:lang w:eastAsia="zh-CN"/>
        </w:rPr>
        <w:t>二、部门</w:t>
      </w:r>
      <w:r>
        <w:rPr>
          <w:rFonts w:hint="eastAsia" w:ascii="仿宋_GB2312" w:hAnsi="仿宋_GB2312" w:eastAsia="仿宋_GB2312" w:cs="仿宋_GB2312"/>
          <w:b/>
          <w:bCs/>
          <w:color w:val="484747"/>
          <w:kern w:val="0"/>
          <w:sz w:val="32"/>
          <w:szCs w:val="32"/>
          <w:lang w:eastAsia="zh-CN"/>
        </w:rPr>
        <w:t>机构设置</w:t>
      </w:r>
    </w:p>
    <w:p>
      <w:pPr>
        <w:ind w:firstLine="640"/>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val="0"/>
          <w:bCs w:val="0"/>
          <w:color w:val="000000"/>
          <w:sz w:val="32"/>
          <w:szCs w:val="32"/>
        </w:rPr>
        <w:t>涞源县</w:t>
      </w:r>
      <w:r>
        <w:rPr>
          <w:rFonts w:hint="eastAsia" w:ascii="仿宋_GB2312" w:hAnsi="仿宋_GB2312" w:eastAsia="仿宋_GB2312" w:cs="仿宋_GB2312"/>
          <w:b w:val="0"/>
          <w:bCs w:val="0"/>
          <w:color w:val="000000"/>
          <w:sz w:val="32"/>
          <w:szCs w:val="32"/>
          <w:lang w:eastAsia="zh-CN"/>
        </w:rPr>
        <w:t>纪检委</w:t>
      </w:r>
      <w:r>
        <w:rPr>
          <w:rFonts w:hint="eastAsia" w:ascii="仿宋_GB2312" w:hAnsi="仿宋_GB2312" w:eastAsia="仿宋_GB2312" w:cs="仿宋_GB2312"/>
          <w:b w:val="0"/>
          <w:bCs w:val="0"/>
          <w:color w:val="000000"/>
          <w:sz w:val="32"/>
          <w:szCs w:val="32"/>
        </w:rPr>
        <w:t>现有在职人员</w:t>
      </w:r>
      <w:r>
        <w:rPr>
          <w:rFonts w:hint="eastAsia" w:ascii="仿宋_GB2312" w:hAnsi="仿宋_GB2312" w:eastAsia="仿宋_GB2312" w:cs="仿宋_GB2312"/>
          <w:b w:val="0"/>
          <w:bCs w:val="0"/>
          <w:color w:val="000000"/>
          <w:sz w:val="32"/>
          <w:szCs w:val="32"/>
          <w:lang w:val="en-US" w:eastAsia="zh-CN"/>
        </w:rPr>
        <w:t>53</w:t>
      </w:r>
      <w:r>
        <w:rPr>
          <w:rFonts w:hint="eastAsia" w:ascii="仿宋_GB2312" w:hAnsi="仿宋_GB2312" w:eastAsia="仿宋_GB2312" w:cs="仿宋_GB2312"/>
          <w:b w:val="0"/>
          <w:bCs w:val="0"/>
          <w:color w:val="000000"/>
          <w:sz w:val="32"/>
          <w:szCs w:val="32"/>
        </w:rPr>
        <w:t>人、退休</w:t>
      </w:r>
      <w:r>
        <w:rPr>
          <w:rFonts w:hint="eastAsia" w:ascii="仿宋_GB2312" w:hAnsi="仿宋_GB2312" w:eastAsia="仿宋_GB2312" w:cs="仿宋_GB2312"/>
          <w:b w:val="0"/>
          <w:bCs w:val="0"/>
          <w:color w:val="000000"/>
          <w:sz w:val="32"/>
          <w:szCs w:val="32"/>
          <w:lang w:val="en-US" w:eastAsia="zh-CN"/>
        </w:rPr>
        <w:t>1</w:t>
      </w:r>
      <w:r>
        <w:rPr>
          <w:rFonts w:hint="eastAsia" w:ascii="仿宋_GB2312" w:hAnsi="仿宋_GB2312" w:eastAsia="仿宋_GB2312" w:cs="仿宋_GB2312"/>
          <w:b w:val="0"/>
          <w:bCs w:val="0"/>
          <w:color w:val="000000"/>
          <w:sz w:val="32"/>
          <w:szCs w:val="32"/>
        </w:rPr>
        <w:t>8人，下设</w:t>
      </w:r>
      <w:r>
        <w:rPr>
          <w:rFonts w:hint="eastAsia" w:ascii="仿宋_GB2312" w:hAnsi="仿宋_GB2312" w:eastAsia="仿宋_GB2312" w:cs="仿宋_GB2312"/>
          <w:b w:val="0"/>
          <w:bCs w:val="0"/>
          <w:color w:val="000000"/>
          <w:sz w:val="32"/>
          <w:szCs w:val="32"/>
          <w:lang w:eastAsia="zh-CN"/>
        </w:rPr>
        <w:t>办公室、信访室、审理室、案管室、宣教室、廉政室、纠风室、执法室、效能室、综合室、检查一室、检查二室</w:t>
      </w:r>
      <w:r>
        <w:rPr>
          <w:rFonts w:hint="eastAsia" w:ascii="仿宋_GB2312" w:hAnsi="仿宋_GB2312" w:eastAsia="仿宋_GB2312" w:cs="仿宋_GB2312"/>
          <w:b w:val="0"/>
          <w:bCs w:val="0"/>
          <w:color w:val="000000"/>
          <w:sz w:val="32"/>
          <w:szCs w:val="32"/>
          <w:lang w:val="en-US" w:eastAsia="zh-CN"/>
        </w:rPr>
        <w:t>12个科室；县直第一纪工委监察分局、县直第二纪工委监察分局、县直第三纪工委监察分局、县直第四纪工委监察分局、走马驿镇纪工委监察分局、杨家庄镇纪工委监察分局、涞源镇纪工委监察分局7个纪工委监察分局。</w:t>
      </w: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三</w:t>
      </w:r>
      <w:r>
        <w:rPr>
          <w:rFonts w:hint="eastAsia" w:ascii="仿宋_GB2312" w:hAnsi="仿宋_GB2312" w:eastAsia="仿宋_GB2312" w:cs="仿宋_GB2312"/>
          <w:b/>
          <w:bCs/>
          <w:sz w:val="32"/>
          <w:szCs w:val="32"/>
        </w:rPr>
        <w:t>、部门决算单位构成</w:t>
      </w:r>
    </w:p>
    <w:p>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中共涞源县纪检委2015年部门决算只包括本级</w:t>
      </w:r>
      <w:r>
        <w:rPr>
          <w:rFonts w:hint="eastAsia" w:ascii="仿宋_GB2312" w:hAnsi="仿宋_GB2312" w:eastAsia="仿宋_GB2312" w:cs="仿宋_GB2312"/>
          <w:sz w:val="32"/>
          <w:szCs w:val="32"/>
          <w:lang w:eastAsia="zh-CN"/>
        </w:rPr>
        <w:t>，没有下属单位。</w:t>
      </w:r>
    </w:p>
    <w:p>
      <w:pPr>
        <w:ind w:firstLine="720"/>
        <w:rPr>
          <w:rFonts w:hint="eastAsia" w:ascii="仿宋_GB2312" w:hAnsi="仿宋_GB2312" w:eastAsia="仿宋_GB2312" w:cs="仿宋_GB2312"/>
          <w:sz w:val="32"/>
          <w:szCs w:val="32"/>
        </w:rPr>
      </w:pPr>
    </w:p>
    <w:p>
      <w:pPr>
        <w:ind w:firstLine="64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ab/>
      </w:r>
    </w:p>
    <w:p>
      <w:pPr>
        <w:ind w:firstLine="640"/>
        <w:rPr>
          <w:rFonts w:hint="eastAsia" w:ascii="宋体" w:hAnsi="宋体" w:eastAsia="宋体" w:cs="宋体"/>
          <w:b/>
          <w:bCs/>
          <w:sz w:val="32"/>
          <w:szCs w:val="32"/>
        </w:rPr>
      </w:pPr>
      <w:r>
        <w:rPr>
          <w:rFonts w:hint="eastAsia" w:ascii="仿宋_GB2312" w:hAnsi="仿宋_GB2312" w:eastAsia="仿宋_GB2312" w:cs="仿宋_GB2312"/>
          <w:sz w:val="32"/>
          <w:szCs w:val="32"/>
          <w:lang w:val="en-US" w:eastAsia="zh-CN"/>
        </w:rPr>
        <w:t xml:space="preserve">           </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lang w:eastAsia="zh-CN"/>
        </w:rPr>
        <w:t>第二部分</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纪检委2015年度部门决算报表</w:t>
      </w:r>
    </w:p>
    <w:p>
      <w:pPr>
        <w:ind w:firstLine="640"/>
        <w:rPr>
          <w:rFonts w:hint="eastAsia" w:ascii="仿宋_GB2312" w:hAnsi="仿宋_GB2312" w:eastAsia="仿宋_GB2312" w:cs="仿宋_GB2312"/>
          <w:sz w:val="32"/>
          <w:szCs w:val="32"/>
          <w:lang w:val="en-US" w:eastAsia="zh-CN"/>
        </w:rPr>
      </w:pP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见附表4-1至4-9</w:t>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ind w:firstLine="640"/>
        <w:rPr>
          <w:rFonts w:hint="eastAsia" w:ascii="宋体" w:hAnsi="宋体" w:eastAsia="宋体" w:cs="宋体"/>
          <w:b/>
          <w:bCs/>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宋体" w:hAnsi="宋体" w:eastAsia="宋体" w:cs="宋体"/>
          <w:b/>
          <w:bCs/>
          <w:sz w:val="32"/>
          <w:szCs w:val="32"/>
          <w:lang w:val="en-US" w:eastAsia="zh-CN"/>
        </w:rPr>
        <w:t xml:space="preserve"> 第三部分  绩效预算信息</w:t>
      </w:r>
    </w:p>
    <w:p>
      <w:pPr>
        <w:tabs>
          <w:tab w:val="left" w:pos="4701"/>
        </w:tabs>
        <w:ind w:firstLine="720"/>
        <w:rPr>
          <w:rFonts w:hint="eastAsia" w:ascii="仿宋_GB2312" w:hAnsi="仿宋_GB2312" w:eastAsia="仿宋_GB2312" w:cs="仿宋_GB2312"/>
          <w:sz w:val="32"/>
          <w:szCs w:val="32"/>
        </w:rPr>
      </w:pPr>
    </w:p>
    <w:tbl>
      <w:tblPr>
        <w:tblStyle w:val="5"/>
        <w:tblW w:w="9935" w:type="dxa"/>
        <w:jc w:val="center"/>
        <w:tblInd w:w="0" w:type="dxa"/>
        <w:tblLayout w:type="fixed"/>
        <w:tblCellMar>
          <w:top w:w="0" w:type="dxa"/>
          <w:left w:w="108" w:type="dxa"/>
          <w:bottom w:w="0" w:type="dxa"/>
          <w:right w:w="108" w:type="dxa"/>
        </w:tblCellMar>
      </w:tblPr>
      <w:tblGrid>
        <w:gridCol w:w="2341"/>
        <w:gridCol w:w="2976"/>
        <w:gridCol w:w="2976"/>
        <w:gridCol w:w="1642"/>
      </w:tblGrid>
      <w:tr>
        <w:tblPrEx>
          <w:tblLayout w:type="fixed"/>
          <w:tblCellMar>
            <w:top w:w="0" w:type="dxa"/>
            <w:left w:w="108" w:type="dxa"/>
            <w:bottom w:w="0" w:type="dxa"/>
            <w:right w:w="108" w:type="dxa"/>
          </w:tblCellMar>
        </w:tblPrEx>
        <w:trPr>
          <w:trHeight w:val="577" w:hRule="atLeast"/>
          <w:jc w:val="center"/>
        </w:trPr>
        <w:tc>
          <w:tcPr>
            <w:tcW w:w="234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职责活动</w:t>
            </w:r>
          </w:p>
        </w:tc>
        <w:tc>
          <w:tcPr>
            <w:tcW w:w="2976" w:type="dxa"/>
            <w:tcBorders>
              <w:top w:val="single" w:color="000000" w:sz="6" w:space="0"/>
              <w:left w:val="single" w:color="auto" w:sz="4" w:space="0"/>
              <w:bottom w:val="single" w:color="000000" w:sz="6" w:space="0"/>
              <w:right w:val="single" w:color="000000" w:sz="6" w:space="0"/>
            </w:tcBorders>
            <w:vAlign w:val="center"/>
          </w:tcPr>
          <w:p>
            <w:pPr>
              <w:spacing w:line="3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内容描述</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绩效目标</w:t>
            </w:r>
          </w:p>
        </w:tc>
        <w:tc>
          <w:tcPr>
            <w:tcW w:w="1642" w:type="dxa"/>
            <w:tcBorders>
              <w:top w:val="single" w:color="000000" w:sz="6" w:space="0"/>
              <w:left w:val="nil"/>
              <w:bottom w:val="single" w:color="000000" w:sz="6" w:space="0"/>
              <w:right w:val="single" w:color="000000" w:sz="6" w:space="0"/>
            </w:tcBorders>
            <w:vAlign w:val="center"/>
          </w:tcPr>
          <w:p>
            <w:pPr>
              <w:spacing w:line="300" w:lineRule="exact"/>
              <w:ind w:left="0" w:leftChars="0" w:firstLine="0" w:firstLineChars="0"/>
              <w:jc w:val="both"/>
              <w:rPr>
                <w:rFonts w:hint="eastAsia" w:ascii="仿宋_GB2312" w:hAnsi="仿宋_GB2312" w:eastAsia="仿宋_GB2312" w:cs="仿宋_GB2312"/>
                <w:b/>
                <w:bCs/>
                <w:sz w:val="32"/>
                <w:szCs w:val="32"/>
                <w:lang w:eastAsia="zh-CN"/>
              </w:rPr>
            </w:pPr>
            <w:r>
              <w:rPr>
                <w:rFonts w:hint="eastAsia" w:ascii="仿宋_GB2312" w:hAnsi="仿宋_GB2312" w:cs="仿宋_GB2312"/>
                <w:b/>
                <w:bCs/>
                <w:sz w:val="32"/>
                <w:szCs w:val="32"/>
                <w:lang w:eastAsia="zh-CN"/>
              </w:rPr>
              <w:t>评价结果</w:t>
            </w:r>
          </w:p>
        </w:tc>
      </w:tr>
      <w:tr>
        <w:tblPrEx>
          <w:tblLayout w:type="fixed"/>
          <w:tblCellMar>
            <w:top w:w="0" w:type="dxa"/>
            <w:left w:w="108" w:type="dxa"/>
            <w:bottom w:w="0" w:type="dxa"/>
            <w:right w:w="108" w:type="dxa"/>
          </w:tblCellMar>
        </w:tblPrEx>
        <w:trPr>
          <w:trHeight w:val="227" w:hRule="atLeast"/>
          <w:jc w:val="center"/>
        </w:trPr>
        <w:tc>
          <w:tcPr>
            <w:tcW w:w="2341" w:type="dxa"/>
            <w:tcBorders>
              <w:top w:val="single" w:color="auto" w:sz="4" w:space="0"/>
              <w:left w:val="single" w:color="000000" w:sz="6" w:space="0"/>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lang w:val="en-US" w:eastAsia="zh-CN"/>
              </w:rPr>
              <w:t xml:space="preserve">   </w:t>
            </w:r>
            <w:r>
              <w:rPr>
                <w:rFonts w:hint="eastAsia" w:ascii="仿宋_GB2312" w:hAnsi="仿宋_GB2312" w:eastAsia="仿宋_GB2312" w:cs="仿宋_GB2312"/>
                <w:b w:val="0"/>
                <w:bCs w:val="0"/>
                <w:sz w:val="30"/>
                <w:szCs w:val="30"/>
              </w:rPr>
              <w:t>办案问责</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受理信访、举报，集中管理问题线索、组织协调案件查办，调查处理违纪违法案件，对违纪违法人员提出处理意见。</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维护党纪国法尊严，坚决惩处腐败分子，保持反腐败高压态势。</w:t>
            </w:r>
          </w:p>
        </w:tc>
        <w:tc>
          <w:tcPr>
            <w:tcW w:w="1642"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lang w:eastAsia="zh-CN"/>
              </w:rPr>
            </w:pPr>
            <w:r>
              <w:rPr>
                <w:rFonts w:hint="eastAsia" w:ascii="仿宋_GB2312" w:hAnsi="仿宋_GB2312" w:cs="仿宋_GB2312"/>
                <w:b w:val="0"/>
                <w:bCs w:val="0"/>
                <w:sz w:val="30"/>
                <w:szCs w:val="30"/>
                <w:lang w:eastAsia="zh-CN"/>
              </w:rPr>
              <w:t>群众满意度</w:t>
            </w:r>
            <w:r>
              <w:rPr>
                <w:rFonts w:hint="eastAsia" w:ascii="仿宋_GB2312" w:hAnsi="仿宋_GB2312" w:cs="仿宋_GB2312"/>
                <w:b w:val="0"/>
                <w:bCs w:val="0"/>
                <w:sz w:val="30"/>
                <w:szCs w:val="30"/>
                <w:lang w:val="en-US" w:eastAsia="zh-CN"/>
              </w:rPr>
              <w:t>95%以上</w:t>
            </w:r>
          </w:p>
        </w:tc>
      </w:tr>
      <w:tr>
        <w:tblPrEx>
          <w:tblLayout w:type="fixed"/>
          <w:tblCellMar>
            <w:top w:w="0" w:type="dxa"/>
            <w:left w:w="108" w:type="dxa"/>
            <w:bottom w:w="0" w:type="dxa"/>
            <w:right w:w="108" w:type="dxa"/>
          </w:tblCellMar>
        </w:tblPrEx>
        <w:trPr>
          <w:trHeight w:val="227" w:hRule="atLeast"/>
          <w:jc w:val="center"/>
        </w:trPr>
        <w:tc>
          <w:tcPr>
            <w:tcW w:w="2341" w:type="dxa"/>
            <w:tcBorders>
              <w:top w:val="single" w:color="000000" w:sz="6" w:space="0"/>
              <w:left w:val="single" w:color="000000" w:sz="6" w:space="0"/>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lang w:val="en-US" w:eastAsia="zh-CN"/>
              </w:rPr>
              <w:t xml:space="preserve">   </w:t>
            </w:r>
            <w:r>
              <w:rPr>
                <w:rFonts w:hint="eastAsia" w:ascii="仿宋_GB2312" w:hAnsi="仿宋_GB2312" w:eastAsia="仿宋_GB2312" w:cs="仿宋_GB2312"/>
                <w:b w:val="0"/>
                <w:bCs w:val="0"/>
                <w:sz w:val="30"/>
                <w:szCs w:val="30"/>
              </w:rPr>
              <w:t>案件查办</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1、严肃查处发生在党员领导干部中的贪污贿赂、买官卖官、徇私枉法、堕落腐化、失职渎职等违纪行为；严肃查处医药购销、政府采购、工程建设、土地管理、城市规划等领域的腐败案件；严肃查处涉及惠农强农政策、扶贫救灾资金以及集体资产资源等损害群众利益和发展环境的突出问题。 2、进一步畅通信访举报渠道，健全问题线索排查机制，规范受理和处置机制。3、加强反腐败协调工作，建立健全查办案件组织协调机制。4、规范并严格履行审批程序，加强案件审理和监督管理。5、对有关对象违反党纪政纪和违纪违法行为进行处理。</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维护党纪国法尊严，坚决惩处腐败分子，有效遏制腐败现象。</w:t>
            </w:r>
          </w:p>
        </w:tc>
        <w:tc>
          <w:tcPr>
            <w:tcW w:w="1642" w:type="dxa"/>
            <w:tcBorders>
              <w:top w:val="single" w:color="000000" w:sz="6" w:space="0"/>
              <w:left w:val="nil"/>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资金使用规范率100%</w:t>
            </w:r>
          </w:p>
        </w:tc>
      </w:tr>
      <w:tr>
        <w:tblPrEx>
          <w:tblLayout w:type="fixed"/>
          <w:tblCellMar>
            <w:top w:w="0" w:type="dxa"/>
            <w:left w:w="108" w:type="dxa"/>
            <w:bottom w:w="0" w:type="dxa"/>
            <w:right w:w="108" w:type="dxa"/>
          </w:tblCellMar>
        </w:tblPrEx>
        <w:trPr>
          <w:trHeight w:val="227" w:hRule="atLeast"/>
          <w:jc w:val="center"/>
        </w:trPr>
        <w:tc>
          <w:tcPr>
            <w:tcW w:w="2341" w:type="dxa"/>
            <w:tcBorders>
              <w:top w:val="single" w:color="000000" w:sz="6" w:space="0"/>
              <w:left w:val="single" w:color="000000" w:sz="6" w:space="0"/>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加强党风廉政建设体制机制创新和落实</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组织协调全县党风廉政建设和反腐败宣传、教育、课题研究、法规起草修订等工作；承担县委惩治和预防腐败体系领导小组办公室和县预防腐败室的日常工作。</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积极发挥职能作用，加强党风廉政建设，营造风清气正、干事创业的工作氛围。</w:t>
            </w:r>
          </w:p>
        </w:tc>
        <w:tc>
          <w:tcPr>
            <w:tcW w:w="1642" w:type="dxa"/>
            <w:tcBorders>
              <w:top w:val="single" w:color="000000" w:sz="6" w:space="0"/>
              <w:left w:val="nil"/>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lang w:eastAsia="zh-CN"/>
              </w:rPr>
            </w:pPr>
            <w:r>
              <w:rPr>
                <w:rFonts w:hint="eastAsia" w:ascii="仿宋_GB2312" w:hAnsi="仿宋_GB2312" w:cs="仿宋_GB2312"/>
                <w:b w:val="0"/>
                <w:bCs w:val="0"/>
                <w:sz w:val="30"/>
                <w:szCs w:val="30"/>
                <w:lang w:eastAsia="zh-CN"/>
              </w:rPr>
              <w:t>满意度</w:t>
            </w:r>
            <w:r>
              <w:rPr>
                <w:rFonts w:hint="eastAsia" w:ascii="仿宋_GB2312" w:hAnsi="仿宋_GB2312" w:cs="仿宋_GB2312"/>
                <w:b w:val="0"/>
                <w:bCs w:val="0"/>
                <w:sz w:val="30"/>
                <w:szCs w:val="30"/>
                <w:lang w:val="en-US" w:eastAsia="zh-CN"/>
              </w:rPr>
              <w:t>95%以上</w:t>
            </w:r>
          </w:p>
        </w:tc>
      </w:tr>
      <w:tr>
        <w:tblPrEx>
          <w:tblLayout w:type="fixed"/>
          <w:tblCellMar>
            <w:top w:w="0" w:type="dxa"/>
            <w:left w:w="108" w:type="dxa"/>
            <w:bottom w:w="0" w:type="dxa"/>
            <w:right w:w="108" w:type="dxa"/>
          </w:tblCellMar>
        </w:tblPrEx>
        <w:trPr>
          <w:trHeight w:val="227" w:hRule="atLeast"/>
          <w:jc w:val="center"/>
        </w:trPr>
        <w:tc>
          <w:tcPr>
            <w:tcW w:w="2341" w:type="dxa"/>
            <w:tcBorders>
              <w:top w:val="single" w:color="000000" w:sz="6" w:space="0"/>
              <w:left w:val="single" w:color="000000" w:sz="6" w:space="0"/>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党风廉政建设</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1、狠抓党风廉政建设责任制，落实党组织的主体责任和纪检监察机关的监督责任。2、认真落实纪检监察工作双重领导机制。3、加强对党员干部的监督管理和教育。4、加强行政监察工作。5、适时调整市纪委监察局机关内设机构，科学调配人员，集中资源承担执纪监督主职主业。6、加强学习型纪检监察机关建设，深入推进“三个核心”建设工作，打造纪检监察干部“铁军”。7、贯彻落实《建立健全惩治和预防腐败体系2013-2017年工作规划》。加强对党员干部的监督、管理和教育。8、组织协调全县党风廉政建设和反腐败宣传教育工作，开展对党员、公</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积极发挥职能作用，加强党风廉政建设，营造风清气正、干事创业的工作氛围。</w:t>
            </w:r>
          </w:p>
        </w:tc>
        <w:tc>
          <w:tcPr>
            <w:tcW w:w="1642" w:type="dxa"/>
            <w:tcBorders>
              <w:top w:val="single" w:color="000000" w:sz="6" w:space="0"/>
              <w:left w:val="nil"/>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教育活动落实率90%</w:t>
            </w:r>
            <w:r>
              <w:rPr>
                <w:rFonts w:hint="eastAsia" w:ascii="仿宋_GB2312" w:hAnsi="仿宋_GB2312" w:cs="仿宋_GB2312"/>
                <w:b w:val="0"/>
                <w:bCs w:val="0"/>
                <w:sz w:val="30"/>
                <w:szCs w:val="30"/>
                <w:lang w:eastAsia="zh-CN"/>
              </w:rPr>
              <w:t>以上</w:t>
            </w:r>
          </w:p>
        </w:tc>
      </w:tr>
      <w:tr>
        <w:tblPrEx>
          <w:tblLayout w:type="fixed"/>
          <w:tblCellMar>
            <w:top w:w="0" w:type="dxa"/>
            <w:left w:w="108" w:type="dxa"/>
            <w:bottom w:w="0" w:type="dxa"/>
            <w:right w:w="108" w:type="dxa"/>
          </w:tblCellMar>
        </w:tblPrEx>
        <w:trPr>
          <w:trHeight w:val="227" w:hRule="atLeast"/>
          <w:jc w:val="center"/>
        </w:trPr>
        <w:tc>
          <w:tcPr>
            <w:tcW w:w="2341" w:type="dxa"/>
            <w:tcBorders>
              <w:top w:val="single" w:color="000000" w:sz="6" w:space="0"/>
              <w:left w:val="single" w:color="000000" w:sz="6" w:space="0"/>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监督检查及巡视督查</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监督检查党内法规政策、国家法律法规、党风廉政建设等的执行情况；履行县政府纠正行业不正之风办公室职能；贯彻落实中央“八项规定”坚决纠正“四风”，开展常态化全覆盖监督。</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加大问责力度，促进“两个责任”有效落实。</w:t>
            </w:r>
          </w:p>
        </w:tc>
        <w:tc>
          <w:tcPr>
            <w:tcW w:w="1642" w:type="dxa"/>
            <w:tcBorders>
              <w:top w:val="single" w:color="000000" w:sz="6" w:space="0"/>
              <w:left w:val="nil"/>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lang w:eastAsia="zh-CN"/>
              </w:rPr>
            </w:pPr>
            <w:r>
              <w:rPr>
                <w:rFonts w:hint="eastAsia" w:ascii="仿宋_GB2312" w:hAnsi="仿宋_GB2312" w:cs="仿宋_GB2312"/>
                <w:b w:val="0"/>
                <w:bCs w:val="0"/>
                <w:sz w:val="30"/>
                <w:szCs w:val="30"/>
                <w:lang w:eastAsia="zh-CN"/>
              </w:rPr>
              <w:t>落实率</w:t>
            </w:r>
            <w:r>
              <w:rPr>
                <w:rFonts w:hint="eastAsia" w:ascii="仿宋_GB2312" w:hAnsi="仿宋_GB2312" w:cs="仿宋_GB2312"/>
                <w:b w:val="0"/>
                <w:bCs w:val="0"/>
                <w:sz w:val="30"/>
                <w:szCs w:val="30"/>
                <w:lang w:val="en-US" w:eastAsia="zh-CN"/>
              </w:rPr>
              <w:t>90%以上</w:t>
            </w:r>
          </w:p>
        </w:tc>
      </w:tr>
      <w:tr>
        <w:tblPrEx>
          <w:tblLayout w:type="fixed"/>
          <w:tblCellMar>
            <w:top w:w="0" w:type="dxa"/>
            <w:left w:w="108" w:type="dxa"/>
            <w:bottom w:w="0" w:type="dxa"/>
            <w:right w:w="108" w:type="dxa"/>
          </w:tblCellMar>
        </w:tblPrEx>
        <w:trPr>
          <w:trHeight w:val="227" w:hRule="atLeast"/>
          <w:jc w:val="center"/>
        </w:trPr>
        <w:tc>
          <w:tcPr>
            <w:tcW w:w="2341" w:type="dxa"/>
            <w:tcBorders>
              <w:top w:val="single" w:color="000000" w:sz="6" w:space="0"/>
              <w:left w:val="single" w:color="000000" w:sz="6" w:space="0"/>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综合事务管理</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1、不折不扣加强纪律建设，严明党的纪律。2、继续抓好中央八项规定的落实。3、建立健全做风建设常态化督查问责机制。4、宣传党的纪检工作方针、政策，教育纪检干部遵守和执行党章以及党内法规、党的路线方针政策和决议、国家法规等，全面提高纪检监察干部队伍素质。</w:t>
            </w:r>
          </w:p>
        </w:tc>
        <w:tc>
          <w:tcPr>
            <w:tcW w:w="2976" w:type="dxa"/>
            <w:tcBorders>
              <w:top w:val="single" w:color="000000" w:sz="6" w:space="0"/>
              <w:left w:val="nil"/>
              <w:bottom w:val="single" w:color="000000" w:sz="6" w:space="0"/>
              <w:right w:val="single" w:color="000000" w:sz="6" w:space="0"/>
            </w:tcBorders>
            <w:vAlign w:val="center"/>
          </w:tcPr>
          <w:p>
            <w:pPr>
              <w:spacing w:line="300" w:lineRule="exact"/>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巡视监督常态化、全覆盖。</w:t>
            </w:r>
          </w:p>
        </w:tc>
        <w:tc>
          <w:tcPr>
            <w:tcW w:w="1642" w:type="dxa"/>
            <w:tcBorders>
              <w:top w:val="single" w:color="000000" w:sz="6" w:space="0"/>
              <w:left w:val="nil"/>
              <w:bottom w:val="single" w:color="000000" w:sz="6" w:space="0"/>
              <w:right w:val="single" w:color="000000" w:sz="6" w:space="0"/>
            </w:tcBorders>
            <w:vAlign w:val="center"/>
          </w:tcPr>
          <w:p>
            <w:pPr>
              <w:spacing w:line="300" w:lineRule="exact"/>
              <w:ind w:left="0" w:leftChars="0" w:firstLine="0" w:firstLineChars="0"/>
              <w:jc w:val="left"/>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巡视工作完成率90%</w:t>
            </w:r>
            <w:r>
              <w:rPr>
                <w:rFonts w:hint="eastAsia" w:ascii="仿宋_GB2312" w:hAnsi="仿宋_GB2312" w:cs="仿宋_GB2312"/>
                <w:b w:val="0"/>
                <w:bCs w:val="0"/>
                <w:sz w:val="30"/>
                <w:szCs w:val="30"/>
                <w:lang w:eastAsia="zh-CN"/>
              </w:rPr>
              <w:t>以上</w:t>
            </w:r>
          </w:p>
        </w:tc>
      </w:tr>
    </w:tbl>
    <w:p>
      <w:pPr>
        <w:ind w:left="0" w:leftChars="0" w:firstLine="0" w:firstLineChars="0"/>
        <w:rPr>
          <w:rFonts w:hint="eastAsia" w:ascii="仿宋_GB2312" w:hAnsi="仿宋_GB2312" w:eastAsia="仿宋_GB2312" w:cs="仿宋_GB2312"/>
          <w:sz w:val="32"/>
          <w:szCs w:val="32"/>
        </w:rPr>
      </w:pPr>
    </w:p>
    <w:p>
      <w:pPr>
        <w:ind w:left="0" w:leftChars="0" w:firstLine="0" w:firstLineChars="0"/>
        <w:jc w:val="left"/>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w:t>
      </w:r>
    </w:p>
    <w:p>
      <w:pPr>
        <w:ind w:left="0" w:leftChars="0" w:firstLine="0" w:firstLineChars="0"/>
        <w:jc w:val="lef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第</w:t>
      </w:r>
      <w:r>
        <w:rPr>
          <w:rFonts w:hint="eastAsia" w:ascii="宋体" w:hAnsi="宋体" w:eastAsia="宋体" w:cs="宋体"/>
          <w:b/>
          <w:bCs/>
          <w:sz w:val="32"/>
          <w:szCs w:val="32"/>
          <w:lang w:eastAsia="zh-CN"/>
        </w:rPr>
        <w:t>四</w:t>
      </w:r>
      <w:r>
        <w:rPr>
          <w:rFonts w:hint="eastAsia" w:ascii="宋体" w:hAnsi="宋体" w:eastAsia="宋体" w:cs="宋体"/>
          <w:b/>
          <w:bCs/>
          <w:sz w:val="32"/>
          <w:szCs w:val="32"/>
        </w:rPr>
        <w:t>部分 2015年部门决算情况说明</w:t>
      </w:r>
    </w:p>
    <w:p>
      <w:pPr>
        <w:ind w:firstLine="640"/>
        <w:rPr>
          <w:rFonts w:hint="eastAsia" w:ascii="仿宋_GB2312" w:hAnsi="仿宋_GB2312" w:eastAsia="仿宋_GB2312" w:cs="仿宋_GB2312"/>
          <w:b/>
          <w:bCs/>
          <w:sz w:val="32"/>
          <w:szCs w:val="32"/>
        </w:rPr>
      </w:pP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一、收入支出决算总体情况说明</w:t>
      </w:r>
    </w:p>
    <w:p>
      <w:pPr>
        <w:widowControl/>
        <w:spacing w:line="420" w:lineRule="atLeast"/>
        <w:ind w:firstLine="480" w:firstLineChars="15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bCs/>
          <w:sz w:val="32"/>
          <w:szCs w:val="32"/>
        </w:rPr>
        <w:t>2015年本年度总体收入</w:t>
      </w:r>
      <w:r>
        <w:rPr>
          <w:rFonts w:hint="eastAsia" w:ascii="仿宋_GB2312" w:hAnsi="仿宋_GB2312" w:eastAsia="仿宋_GB2312" w:cs="仿宋_GB2312"/>
          <w:bCs/>
          <w:color w:val="000000"/>
          <w:sz w:val="32"/>
          <w:szCs w:val="32"/>
        </w:rPr>
        <w:t>664</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3</w:t>
      </w:r>
      <w:r>
        <w:rPr>
          <w:rFonts w:hint="eastAsia" w:ascii="仿宋_GB2312" w:hAnsi="仿宋_GB2312" w:eastAsia="仿宋_GB2312" w:cs="仿宋_GB2312"/>
          <w:bCs/>
          <w:color w:val="000000"/>
          <w:sz w:val="32"/>
          <w:szCs w:val="32"/>
          <w:lang w:val="en-US" w:eastAsia="zh-CN"/>
        </w:rPr>
        <w:t>1万</w:t>
      </w:r>
      <w:r>
        <w:rPr>
          <w:rFonts w:hint="eastAsia" w:ascii="仿宋_GB2312" w:hAnsi="仿宋_GB2312" w:eastAsia="仿宋_GB2312" w:cs="仿宋_GB2312"/>
          <w:bCs/>
          <w:sz w:val="32"/>
          <w:szCs w:val="32"/>
        </w:rPr>
        <w:t>元。年初结转和结余</w:t>
      </w:r>
      <w:r>
        <w:rPr>
          <w:rFonts w:hint="eastAsia" w:ascii="仿宋_GB2312" w:hAnsi="仿宋_GB2312" w:eastAsia="仿宋_GB2312" w:cs="仿宋_GB2312"/>
          <w:bCs/>
          <w:color w:val="000000"/>
          <w:sz w:val="32"/>
          <w:szCs w:val="32"/>
        </w:rPr>
        <w:t>73</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70</w:t>
      </w:r>
      <w:r>
        <w:rPr>
          <w:rFonts w:hint="eastAsia" w:ascii="仿宋_GB2312" w:hAnsi="仿宋_GB2312" w:eastAsia="仿宋_GB2312" w:cs="仿宋_GB2312"/>
          <w:bCs/>
          <w:color w:val="000000"/>
          <w:sz w:val="32"/>
          <w:szCs w:val="32"/>
          <w:lang w:eastAsia="zh-CN"/>
        </w:rPr>
        <w:t>万</w:t>
      </w:r>
      <w:r>
        <w:rPr>
          <w:rFonts w:hint="eastAsia" w:ascii="仿宋_GB2312" w:hAnsi="仿宋_GB2312" w:eastAsia="仿宋_GB2312" w:cs="仿宋_GB2312"/>
          <w:bCs/>
          <w:color w:val="000000"/>
          <w:sz w:val="32"/>
          <w:szCs w:val="32"/>
        </w:rPr>
        <w:t>元，总体支出738</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0</w:t>
      </w:r>
      <w:r>
        <w:rPr>
          <w:rFonts w:hint="eastAsia" w:ascii="仿宋_GB2312" w:hAnsi="仿宋_GB2312" w:eastAsia="仿宋_GB2312" w:cs="仿宋_GB2312"/>
          <w:bCs/>
          <w:color w:val="000000"/>
          <w:sz w:val="32"/>
          <w:szCs w:val="32"/>
          <w:lang w:val="en-US" w:eastAsia="zh-CN"/>
        </w:rPr>
        <w:t>1万</w:t>
      </w:r>
      <w:r>
        <w:rPr>
          <w:rFonts w:hint="eastAsia" w:ascii="仿宋_GB2312" w:hAnsi="仿宋_GB2312" w:eastAsia="仿宋_GB2312" w:cs="仿宋_GB2312"/>
          <w:bCs/>
          <w:color w:val="000000"/>
          <w:sz w:val="32"/>
          <w:szCs w:val="32"/>
        </w:rPr>
        <w:t>元，年末无结转和结余。</w:t>
      </w: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二、收入决算情况说明</w:t>
      </w:r>
    </w:p>
    <w:p>
      <w:pPr>
        <w:widowControl/>
        <w:spacing w:line="420" w:lineRule="atLeast"/>
        <w:ind w:firstLine="480" w:firstLineChars="15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bCs/>
          <w:sz w:val="32"/>
          <w:szCs w:val="32"/>
        </w:rPr>
        <w:t>本年收入</w:t>
      </w:r>
      <w:r>
        <w:rPr>
          <w:rFonts w:hint="eastAsia" w:ascii="仿宋_GB2312" w:hAnsi="仿宋_GB2312" w:eastAsia="仿宋_GB2312" w:cs="仿宋_GB2312"/>
          <w:bCs/>
          <w:color w:val="000000"/>
          <w:sz w:val="32"/>
          <w:szCs w:val="32"/>
        </w:rPr>
        <w:t>664</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3</w:t>
      </w:r>
      <w:r>
        <w:rPr>
          <w:rFonts w:hint="eastAsia" w:ascii="仿宋_GB2312" w:hAnsi="仿宋_GB2312" w:eastAsia="仿宋_GB2312" w:cs="仿宋_GB2312"/>
          <w:bCs/>
          <w:color w:val="000000"/>
          <w:sz w:val="32"/>
          <w:szCs w:val="32"/>
          <w:lang w:val="en-US" w:eastAsia="zh-CN"/>
        </w:rPr>
        <w:t>1万</w:t>
      </w:r>
      <w:r>
        <w:rPr>
          <w:rFonts w:hint="eastAsia" w:ascii="仿宋_GB2312" w:hAnsi="仿宋_GB2312" w:eastAsia="仿宋_GB2312" w:cs="仿宋_GB2312"/>
          <w:bCs/>
          <w:color w:val="000000"/>
          <w:sz w:val="32"/>
          <w:szCs w:val="32"/>
        </w:rPr>
        <w:t>元，其中：财政拨款收入658</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3</w:t>
      </w:r>
      <w:r>
        <w:rPr>
          <w:rFonts w:hint="eastAsia" w:ascii="仿宋_GB2312" w:hAnsi="仿宋_GB2312" w:eastAsia="仿宋_GB2312" w:cs="仿宋_GB2312"/>
          <w:bCs/>
          <w:color w:val="000000"/>
          <w:sz w:val="32"/>
          <w:szCs w:val="32"/>
          <w:lang w:val="en-US" w:eastAsia="zh-CN"/>
        </w:rPr>
        <w:t>1万</w:t>
      </w:r>
      <w:r>
        <w:rPr>
          <w:rFonts w:hint="eastAsia" w:ascii="仿宋_GB2312" w:hAnsi="仿宋_GB2312" w:eastAsia="仿宋_GB2312" w:cs="仿宋_GB2312"/>
          <w:bCs/>
          <w:color w:val="000000"/>
          <w:sz w:val="32"/>
          <w:szCs w:val="32"/>
        </w:rPr>
        <w:t>元。其他收入6</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00</w:t>
      </w:r>
      <w:r>
        <w:rPr>
          <w:rFonts w:hint="eastAsia" w:ascii="仿宋_GB2312" w:hAnsi="仿宋_GB2312" w:eastAsia="仿宋_GB2312" w:cs="仿宋_GB2312"/>
          <w:bCs/>
          <w:color w:val="000000"/>
          <w:sz w:val="32"/>
          <w:szCs w:val="32"/>
          <w:lang w:eastAsia="zh-CN"/>
        </w:rPr>
        <w:t>万</w:t>
      </w:r>
      <w:r>
        <w:rPr>
          <w:rFonts w:hint="eastAsia" w:ascii="仿宋_GB2312" w:hAnsi="仿宋_GB2312" w:eastAsia="仿宋_GB2312" w:cs="仿宋_GB2312"/>
          <w:bCs/>
          <w:color w:val="000000"/>
          <w:sz w:val="32"/>
          <w:szCs w:val="32"/>
        </w:rPr>
        <w:t>元。</w:t>
      </w:r>
      <w:r>
        <w:rPr>
          <w:rFonts w:hint="eastAsia" w:ascii="仿宋_GB2312" w:hAnsi="仿宋_GB2312" w:eastAsia="仿宋_GB2312" w:cs="仿宋_GB2312"/>
          <w:color w:val="484747"/>
          <w:kern w:val="0"/>
          <w:sz w:val="32"/>
          <w:szCs w:val="32"/>
        </w:rPr>
        <w:t>本年度决算收入较上年增加3%。</w:t>
      </w: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三、支出决算情况说明</w:t>
      </w:r>
    </w:p>
    <w:p>
      <w:pPr>
        <w:ind w:firstLine="640"/>
        <w:rPr>
          <w:rFonts w:hint="eastAsia" w:ascii="仿宋_GB2312" w:hAnsi="仿宋_GB2312" w:eastAsia="仿宋_GB2312" w:cs="仿宋_GB2312"/>
          <w:bCs/>
          <w:color w:val="000000"/>
          <w:sz w:val="32"/>
          <w:szCs w:val="32"/>
        </w:rPr>
      </w:pPr>
      <w:r>
        <w:rPr>
          <w:rFonts w:hint="eastAsia" w:ascii="仿宋_GB2312" w:hAnsi="仿宋_GB2312" w:eastAsia="仿宋_GB2312" w:cs="仿宋_GB2312"/>
          <w:bCs/>
          <w:sz w:val="32"/>
          <w:szCs w:val="32"/>
        </w:rPr>
        <w:t>本年支出</w:t>
      </w:r>
      <w:r>
        <w:rPr>
          <w:rFonts w:hint="eastAsia" w:ascii="仿宋_GB2312" w:hAnsi="仿宋_GB2312" w:eastAsia="仿宋_GB2312" w:cs="仿宋_GB2312"/>
          <w:bCs/>
          <w:color w:val="000000"/>
          <w:sz w:val="32"/>
          <w:szCs w:val="32"/>
        </w:rPr>
        <w:t>738</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0</w:t>
      </w:r>
      <w:r>
        <w:rPr>
          <w:rFonts w:hint="eastAsia" w:ascii="仿宋_GB2312" w:hAnsi="仿宋_GB2312" w:eastAsia="仿宋_GB2312" w:cs="仿宋_GB2312"/>
          <w:bCs/>
          <w:color w:val="000000"/>
          <w:sz w:val="32"/>
          <w:szCs w:val="32"/>
          <w:lang w:val="en-US" w:eastAsia="zh-CN"/>
        </w:rPr>
        <w:t>1万</w:t>
      </w:r>
      <w:r>
        <w:rPr>
          <w:rFonts w:hint="eastAsia" w:ascii="仿宋_GB2312" w:hAnsi="仿宋_GB2312" w:eastAsia="仿宋_GB2312" w:cs="仿宋_GB2312"/>
          <w:bCs/>
          <w:color w:val="000000"/>
          <w:sz w:val="32"/>
          <w:szCs w:val="32"/>
        </w:rPr>
        <w:t>元，（基本支出697</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0</w:t>
      </w:r>
      <w:r>
        <w:rPr>
          <w:rFonts w:hint="eastAsia" w:ascii="仿宋_GB2312" w:hAnsi="仿宋_GB2312" w:eastAsia="仿宋_GB2312" w:cs="仿宋_GB2312"/>
          <w:bCs/>
          <w:color w:val="000000"/>
          <w:sz w:val="32"/>
          <w:szCs w:val="32"/>
          <w:lang w:val="en-US" w:eastAsia="zh-CN"/>
        </w:rPr>
        <w:t>1万</w:t>
      </w:r>
      <w:r>
        <w:rPr>
          <w:rFonts w:hint="eastAsia" w:ascii="仿宋_GB2312" w:hAnsi="仿宋_GB2312" w:eastAsia="仿宋_GB2312" w:cs="仿宋_GB2312"/>
          <w:bCs/>
          <w:color w:val="000000"/>
          <w:sz w:val="32"/>
          <w:szCs w:val="32"/>
        </w:rPr>
        <w:t>元，项目支出41</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00</w:t>
      </w:r>
      <w:r>
        <w:rPr>
          <w:rFonts w:hint="eastAsia" w:ascii="仿宋_GB2312" w:hAnsi="仿宋_GB2312" w:eastAsia="仿宋_GB2312" w:cs="仿宋_GB2312"/>
          <w:bCs/>
          <w:color w:val="000000"/>
          <w:sz w:val="32"/>
          <w:szCs w:val="32"/>
          <w:lang w:eastAsia="zh-CN"/>
        </w:rPr>
        <w:t>万</w:t>
      </w:r>
      <w:r>
        <w:rPr>
          <w:rFonts w:hint="eastAsia" w:ascii="仿宋_GB2312" w:hAnsi="仿宋_GB2312" w:eastAsia="仿宋_GB2312" w:cs="仿宋_GB2312"/>
          <w:bCs/>
          <w:color w:val="000000"/>
          <w:sz w:val="32"/>
          <w:szCs w:val="32"/>
        </w:rPr>
        <w:t>元。）由于2014年结余结转2015年列支，</w:t>
      </w:r>
      <w:r>
        <w:rPr>
          <w:rFonts w:hint="eastAsia" w:ascii="仿宋_GB2312" w:hAnsi="仿宋_GB2312" w:eastAsia="仿宋_GB2312" w:cs="仿宋_GB2312"/>
          <w:color w:val="484747"/>
          <w:kern w:val="0"/>
          <w:sz w:val="32"/>
          <w:szCs w:val="32"/>
        </w:rPr>
        <w:t>较上年增加22.7%。</w:t>
      </w: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四、财政拨款收入支出决算总体情况说明</w:t>
      </w:r>
    </w:p>
    <w:p>
      <w:pPr>
        <w:ind w:firstLine="640"/>
        <w:rPr>
          <w:rFonts w:hint="eastAsia" w:ascii="仿宋_GB2312" w:hAnsi="仿宋_GB2312" w:eastAsia="仿宋_GB2312" w:cs="仿宋_GB2312"/>
          <w:bCs/>
          <w:color w:val="000000"/>
          <w:sz w:val="32"/>
          <w:szCs w:val="32"/>
        </w:rPr>
      </w:pPr>
      <w:r>
        <w:rPr>
          <w:rFonts w:hint="eastAsia" w:ascii="仿宋_GB2312" w:hAnsi="仿宋_GB2312" w:eastAsia="仿宋_GB2312" w:cs="仿宋_GB2312"/>
          <w:bCs/>
          <w:sz w:val="32"/>
          <w:szCs w:val="32"/>
        </w:rPr>
        <w:t>本年财政拨款收入</w:t>
      </w:r>
      <w:r>
        <w:rPr>
          <w:rFonts w:hint="eastAsia" w:ascii="仿宋_GB2312" w:hAnsi="仿宋_GB2312" w:eastAsia="仿宋_GB2312" w:cs="仿宋_GB2312"/>
          <w:bCs/>
          <w:color w:val="000000"/>
          <w:sz w:val="32"/>
          <w:szCs w:val="32"/>
        </w:rPr>
        <w:t>658</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3</w:t>
      </w:r>
      <w:r>
        <w:rPr>
          <w:rFonts w:hint="eastAsia" w:ascii="仿宋_GB2312" w:hAnsi="仿宋_GB2312" w:eastAsia="仿宋_GB2312" w:cs="仿宋_GB2312"/>
          <w:bCs/>
          <w:color w:val="000000"/>
          <w:sz w:val="32"/>
          <w:szCs w:val="32"/>
          <w:lang w:val="en-US" w:eastAsia="zh-CN"/>
        </w:rPr>
        <w:t>1万</w:t>
      </w:r>
      <w:r>
        <w:rPr>
          <w:rFonts w:hint="eastAsia" w:ascii="仿宋_GB2312" w:hAnsi="仿宋_GB2312" w:eastAsia="仿宋_GB2312" w:cs="仿宋_GB2312"/>
          <w:bCs/>
          <w:color w:val="000000"/>
          <w:sz w:val="32"/>
          <w:szCs w:val="32"/>
        </w:rPr>
        <w:t>元，</w:t>
      </w:r>
      <w:r>
        <w:rPr>
          <w:rFonts w:hint="eastAsia" w:ascii="仿宋_GB2312" w:hAnsi="仿宋_GB2312" w:eastAsia="仿宋_GB2312" w:cs="仿宋_GB2312"/>
          <w:bCs/>
          <w:sz w:val="32"/>
          <w:szCs w:val="32"/>
        </w:rPr>
        <w:t>年初结转和结余</w:t>
      </w:r>
      <w:r>
        <w:rPr>
          <w:rFonts w:hint="eastAsia" w:ascii="仿宋_GB2312" w:hAnsi="仿宋_GB2312" w:eastAsia="仿宋_GB2312" w:cs="仿宋_GB2312"/>
          <w:bCs/>
          <w:color w:val="000000"/>
          <w:sz w:val="32"/>
          <w:szCs w:val="32"/>
        </w:rPr>
        <w:t>73</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70</w:t>
      </w:r>
      <w:r>
        <w:rPr>
          <w:rFonts w:hint="eastAsia" w:ascii="仿宋_GB2312" w:hAnsi="仿宋_GB2312" w:eastAsia="仿宋_GB2312" w:cs="仿宋_GB2312"/>
          <w:bCs/>
          <w:color w:val="000000"/>
          <w:sz w:val="32"/>
          <w:szCs w:val="32"/>
          <w:lang w:eastAsia="zh-CN"/>
        </w:rPr>
        <w:t>万</w:t>
      </w:r>
      <w:r>
        <w:rPr>
          <w:rFonts w:hint="eastAsia" w:ascii="仿宋_GB2312" w:hAnsi="仿宋_GB2312" w:eastAsia="仿宋_GB2312" w:cs="仿宋_GB2312"/>
          <w:bCs/>
          <w:color w:val="000000"/>
          <w:sz w:val="32"/>
          <w:szCs w:val="32"/>
        </w:rPr>
        <w:t>元。财政拨款支出732</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0</w:t>
      </w:r>
      <w:r>
        <w:rPr>
          <w:rFonts w:hint="eastAsia" w:ascii="仿宋_GB2312" w:hAnsi="仿宋_GB2312" w:eastAsia="仿宋_GB2312" w:cs="仿宋_GB2312"/>
          <w:bCs/>
          <w:color w:val="000000"/>
          <w:sz w:val="32"/>
          <w:szCs w:val="32"/>
          <w:lang w:val="en-US" w:eastAsia="zh-CN"/>
        </w:rPr>
        <w:t>1万</w:t>
      </w:r>
      <w:r>
        <w:rPr>
          <w:rFonts w:hint="eastAsia" w:ascii="仿宋_GB2312" w:hAnsi="仿宋_GB2312" w:eastAsia="仿宋_GB2312" w:cs="仿宋_GB2312"/>
          <w:bCs/>
          <w:color w:val="000000"/>
          <w:sz w:val="32"/>
          <w:szCs w:val="32"/>
        </w:rPr>
        <w:t>元。</w:t>
      </w: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五、一般公共预算财政拨款“三公”经费支出决算情况说明</w:t>
      </w:r>
    </w:p>
    <w:p>
      <w:pPr>
        <w:widowControl/>
        <w:spacing w:line="420" w:lineRule="atLeast"/>
        <w:ind w:firstLine="320" w:firstLineChars="100"/>
        <w:jc w:val="left"/>
        <w:rPr>
          <w:rFonts w:hint="eastAsia" w:ascii="仿宋_GB2312" w:hAnsi="仿宋_GB2312" w:eastAsia="仿宋_GB2312" w:cs="仿宋_GB2312"/>
          <w:color w:val="484747"/>
          <w:kern w:val="0"/>
          <w:sz w:val="32"/>
          <w:szCs w:val="32"/>
        </w:rPr>
      </w:pPr>
      <w:r>
        <w:rPr>
          <w:rFonts w:hint="eastAsia" w:ascii="仿宋_GB2312" w:hAnsi="仿宋_GB2312" w:cs="仿宋_GB2312"/>
          <w:bCs/>
          <w:sz w:val="32"/>
          <w:szCs w:val="32"/>
          <w:lang w:val="en-US" w:eastAsia="zh-CN"/>
        </w:rPr>
        <w:t xml:space="preserve">  </w:t>
      </w:r>
      <w:r>
        <w:rPr>
          <w:rFonts w:hint="eastAsia" w:ascii="仿宋_GB2312" w:hAnsi="仿宋_GB2312" w:eastAsia="仿宋_GB2312" w:cs="仿宋_GB2312"/>
          <w:bCs/>
          <w:sz w:val="32"/>
          <w:szCs w:val="32"/>
        </w:rPr>
        <w:t>2015年“三公”经费总数是98</w:t>
      </w:r>
      <w:r>
        <w:rPr>
          <w:rFonts w:hint="eastAsia" w:ascii="仿宋_GB2312" w:hAnsi="仿宋_GB2312" w:eastAsia="仿宋_GB2312" w:cs="仿宋_GB2312"/>
          <w:bCs/>
          <w:sz w:val="32"/>
          <w:szCs w:val="32"/>
          <w:lang w:val="en-US" w:eastAsia="zh-CN"/>
        </w:rPr>
        <w:t>.</w:t>
      </w:r>
      <w:r>
        <w:rPr>
          <w:rFonts w:hint="eastAsia" w:ascii="仿宋_GB2312" w:hAnsi="仿宋_GB2312" w:eastAsia="仿宋_GB2312" w:cs="仿宋_GB2312"/>
          <w:bCs/>
          <w:sz w:val="32"/>
          <w:szCs w:val="32"/>
        </w:rPr>
        <w:t>7</w:t>
      </w:r>
      <w:r>
        <w:rPr>
          <w:rFonts w:hint="eastAsia" w:ascii="仿宋_GB2312" w:hAnsi="仿宋_GB2312" w:eastAsia="仿宋_GB2312" w:cs="仿宋_GB2312"/>
          <w:bCs/>
          <w:sz w:val="32"/>
          <w:szCs w:val="32"/>
          <w:lang w:val="en-US" w:eastAsia="zh-CN"/>
        </w:rPr>
        <w:t>8万</w:t>
      </w:r>
      <w:r>
        <w:rPr>
          <w:rFonts w:hint="eastAsia" w:ascii="仿宋_GB2312" w:hAnsi="仿宋_GB2312" w:eastAsia="仿宋_GB2312" w:cs="仿宋_GB2312"/>
          <w:bCs/>
          <w:sz w:val="32"/>
          <w:szCs w:val="32"/>
        </w:rPr>
        <w:t>元，其中</w:t>
      </w:r>
      <w:r>
        <w:rPr>
          <w:rFonts w:hint="eastAsia" w:ascii="仿宋_GB2312" w:hAnsi="仿宋_GB2312" w:eastAsia="仿宋_GB2312" w:cs="仿宋_GB2312"/>
          <w:bCs/>
          <w:color w:val="111111"/>
          <w:kern w:val="0"/>
          <w:sz w:val="32"/>
          <w:szCs w:val="32"/>
        </w:rPr>
        <w:t>公务用车运行维护费支出65</w:t>
      </w:r>
      <w:r>
        <w:rPr>
          <w:rFonts w:hint="eastAsia" w:ascii="仿宋_GB2312" w:hAnsi="仿宋_GB2312" w:eastAsia="仿宋_GB2312" w:cs="仿宋_GB2312"/>
          <w:bCs/>
          <w:color w:val="111111"/>
          <w:kern w:val="0"/>
          <w:sz w:val="32"/>
          <w:szCs w:val="32"/>
          <w:lang w:val="en-US" w:eastAsia="zh-CN"/>
        </w:rPr>
        <w:t>.</w:t>
      </w:r>
      <w:r>
        <w:rPr>
          <w:rFonts w:hint="eastAsia" w:ascii="仿宋_GB2312" w:hAnsi="仿宋_GB2312" w:eastAsia="仿宋_GB2312" w:cs="仿宋_GB2312"/>
          <w:bCs/>
          <w:color w:val="111111"/>
          <w:kern w:val="0"/>
          <w:sz w:val="32"/>
          <w:szCs w:val="32"/>
        </w:rPr>
        <w:t>73</w:t>
      </w:r>
      <w:r>
        <w:rPr>
          <w:rFonts w:hint="eastAsia" w:ascii="仿宋_GB2312" w:hAnsi="仿宋_GB2312" w:eastAsia="仿宋_GB2312" w:cs="仿宋_GB2312"/>
          <w:bCs/>
          <w:color w:val="111111"/>
          <w:kern w:val="0"/>
          <w:sz w:val="32"/>
          <w:szCs w:val="32"/>
          <w:lang w:eastAsia="zh-CN"/>
        </w:rPr>
        <w:t>万</w:t>
      </w:r>
      <w:r>
        <w:rPr>
          <w:rFonts w:hint="eastAsia" w:ascii="仿宋_GB2312" w:hAnsi="仿宋_GB2312" w:eastAsia="仿宋_GB2312" w:cs="仿宋_GB2312"/>
          <w:bCs/>
          <w:color w:val="111111"/>
          <w:kern w:val="0"/>
          <w:sz w:val="32"/>
          <w:szCs w:val="32"/>
        </w:rPr>
        <w:t>元，公务接待费支出33</w:t>
      </w:r>
      <w:r>
        <w:rPr>
          <w:rFonts w:hint="eastAsia" w:ascii="仿宋_GB2312" w:hAnsi="仿宋_GB2312" w:eastAsia="仿宋_GB2312" w:cs="仿宋_GB2312"/>
          <w:bCs/>
          <w:color w:val="111111"/>
          <w:kern w:val="0"/>
          <w:sz w:val="32"/>
          <w:szCs w:val="32"/>
          <w:lang w:val="en-US" w:eastAsia="zh-CN"/>
        </w:rPr>
        <w:t>.</w:t>
      </w:r>
      <w:r>
        <w:rPr>
          <w:rFonts w:hint="eastAsia" w:ascii="仿宋_GB2312" w:hAnsi="仿宋_GB2312" w:eastAsia="仿宋_GB2312" w:cs="仿宋_GB2312"/>
          <w:bCs/>
          <w:color w:val="111111"/>
          <w:kern w:val="0"/>
          <w:sz w:val="32"/>
          <w:szCs w:val="32"/>
        </w:rPr>
        <w:t>0</w:t>
      </w:r>
      <w:r>
        <w:rPr>
          <w:rFonts w:hint="eastAsia" w:ascii="仿宋_GB2312" w:hAnsi="仿宋_GB2312" w:eastAsia="仿宋_GB2312" w:cs="仿宋_GB2312"/>
          <w:bCs/>
          <w:color w:val="111111"/>
          <w:kern w:val="0"/>
          <w:sz w:val="32"/>
          <w:szCs w:val="32"/>
          <w:lang w:val="en-US" w:eastAsia="zh-CN"/>
        </w:rPr>
        <w:t>5万</w:t>
      </w:r>
      <w:r>
        <w:rPr>
          <w:rFonts w:hint="eastAsia" w:ascii="仿宋_GB2312" w:hAnsi="仿宋_GB2312" w:eastAsia="仿宋_GB2312" w:cs="仿宋_GB2312"/>
          <w:bCs/>
          <w:color w:val="111111"/>
          <w:kern w:val="0"/>
          <w:sz w:val="32"/>
          <w:szCs w:val="32"/>
        </w:rPr>
        <w:t>元</w:t>
      </w:r>
      <w:r>
        <w:rPr>
          <w:rFonts w:hint="eastAsia" w:ascii="仿宋_GB2312" w:hAnsi="仿宋_GB2312" w:cs="仿宋_GB2312"/>
          <w:bCs/>
          <w:color w:val="111111"/>
          <w:kern w:val="0"/>
          <w:sz w:val="32"/>
          <w:szCs w:val="32"/>
          <w:lang w:val="en-US" w:eastAsia="zh-CN"/>
        </w:rPr>
        <w:t>(</w:t>
      </w:r>
      <w:r>
        <w:rPr>
          <w:rFonts w:hint="eastAsia" w:ascii="仿宋_GB2312" w:hAnsi="仿宋_GB2312" w:cs="仿宋_GB2312"/>
          <w:bCs/>
          <w:color w:val="111111"/>
          <w:kern w:val="0"/>
          <w:sz w:val="32"/>
          <w:szCs w:val="32"/>
          <w:lang w:eastAsia="zh-CN"/>
        </w:rPr>
        <w:t>接待</w:t>
      </w:r>
      <w:r>
        <w:rPr>
          <w:rFonts w:hint="eastAsia" w:ascii="仿宋_GB2312" w:hAnsi="仿宋_GB2312" w:cs="仿宋_GB2312"/>
          <w:bCs/>
          <w:color w:val="111111"/>
          <w:kern w:val="0"/>
          <w:sz w:val="32"/>
          <w:szCs w:val="32"/>
          <w:lang w:val="en-US" w:eastAsia="zh-CN"/>
        </w:rPr>
        <w:t>86批次，650人)</w:t>
      </w:r>
      <w:r>
        <w:rPr>
          <w:rFonts w:hint="eastAsia" w:ascii="仿宋_GB2312" w:hAnsi="仿宋_GB2312" w:eastAsia="仿宋_GB2312" w:cs="仿宋_GB2312"/>
          <w:bCs/>
          <w:color w:val="111111"/>
          <w:kern w:val="0"/>
          <w:sz w:val="32"/>
          <w:szCs w:val="32"/>
        </w:rPr>
        <w:t>。</w:t>
      </w:r>
      <w:r>
        <w:rPr>
          <w:rFonts w:hint="eastAsia" w:ascii="仿宋_GB2312" w:hAnsi="仿宋_GB2312" w:eastAsia="仿宋_GB2312" w:cs="仿宋_GB2312"/>
          <w:color w:val="484747"/>
          <w:kern w:val="0"/>
          <w:sz w:val="32"/>
          <w:szCs w:val="32"/>
        </w:rPr>
        <w:t>支出比上年增加11.8%。由于反腐力度进一步加强，专项治理、明察暗访、异地互查等工作力度加强；大要案增加，办案检查费用支出加大。</w:t>
      </w:r>
    </w:p>
    <w:p>
      <w:pPr>
        <w:widowControl/>
        <w:spacing w:line="420" w:lineRule="atLeast"/>
        <w:ind w:firstLine="800" w:firstLineChars="25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2015年度本单位未购置公务用车，年末公务用车实际运行8辆。</w:t>
      </w: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六、机关运行经费的支出情况的说明</w:t>
      </w:r>
    </w:p>
    <w:p>
      <w:pPr>
        <w:ind w:left="320" w:leftChars="100" w:firstLine="630" w:firstLineChars="196"/>
        <w:rPr>
          <w:rFonts w:hint="eastAsia" w:ascii="宋体" w:hAnsi="宋体" w:cs="Arial"/>
          <w:b w:val="0"/>
          <w:bCs w:val="0"/>
          <w:color w:val="000000"/>
          <w:sz w:val="30"/>
          <w:szCs w:val="30"/>
        </w:rPr>
      </w:pPr>
      <w:r>
        <w:rPr>
          <w:rFonts w:hint="eastAsia" w:ascii="仿宋_GB2312" w:hAnsi="仿宋_GB2312" w:eastAsia="仿宋_GB2312" w:cs="仿宋_GB2312"/>
          <w:bCs/>
          <w:sz w:val="32"/>
          <w:szCs w:val="32"/>
        </w:rPr>
        <w:t>2015年机关运行经费支出</w:t>
      </w:r>
      <w:r>
        <w:rPr>
          <w:rFonts w:hint="eastAsia" w:ascii="仿宋_GB2312" w:hAnsi="仿宋_GB2312" w:eastAsia="仿宋_GB2312" w:cs="仿宋_GB2312"/>
          <w:bCs/>
          <w:color w:val="000000"/>
          <w:sz w:val="32"/>
          <w:szCs w:val="32"/>
        </w:rPr>
        <w:t>260</w:t>
      </w:r>
      <w:r>
        <w:rPr>
          <w:rFonts w:hint="eastAsia" w:ascii="仿宋_GB2312" w:hAnsi="仿宋_GB2312" w:eastAsia="仿宋_GB2312" w:cs="仿宋_GB2312"/>
          <w:bCs/>
          <w:color w:val="000000"/>
          <w:sz w:val="32"/>
          <w:szCs w:val="32"/>
          <w:lang w:val="en-US" w:eastAsia="zh-CN"/>
        </w:rPr>
        <w:t>.</w:t>
      </w:r>
      <w:r>
        <w:rPr>
          <w:rFonts w:hint="eastAsia" w:ascii="仿宋_GB2312" w:hAnsi="仿宋_GB2312" w:eastAsia="仿宋_GB2312" w:cs="仿宋_GB2312"/>
          <w:bCs/>
          <w:color w:val="000000"/>
          <w:sz w:val="32"/>
          <w:szCs w:val="32"/>
        </w:rPr>
        <w:t>0</w:t>
      </w:r>
      <w:r>
        <w:rPr>
          <w:rFonts w:hint="eastAsia" w:ascii="仿宋_GB2312" w:hAnsi="仿宋_GB2312" w:eastAsia="仿宋_GB2312" w:cs="仿宋_GB2312"/>
          <w:bCs/>
          <w:color w:val="000000"/>
          <w:sz w:val="32"/>
          <w:szCs w:val="32"/>
          <w:lang w:val="en-US" w:eastAsia="zh-CN"/>
        </w:rPr>
        <w:t>2万元</w:t>
      </w:r>
      <w:r>
        <w:rPr>
          <w:rFonts w:hint="eastAsia" w:ascii="仿宋_GB2312" w:hAnsi="仿宋_GB2312" w:eastAsia="仿宋_GB2312" w:cs="仿宋_GB2312"/>
          <w:bCs/>
          <w:color w:val="000000"/>
          <w:sz w:val="32"/>
          <w:szCs w:val="32"/>
        </w:rPr>
        <w:t>，主要包括单位日常公用支出和其他资本性支出。与一般公共预算财政拨款支出决处算明细表中数据一致。</w:t>
      </w:r>
      <w:r>
        <w:rPr>
          <w:rFonts w:hint="eastAsia" w:ascii="仿宋_GB2312" w:cs="Arial"/>
          <w:b w:val="0"/>
          <w:bCs w:val="0"/>
          <w:color w:val="000000"/>
        </w:rPr>
        <w:t>比上年减少5.</w:t>
      </w:r>
      <w:r>
        <w:rPr>
          <w:rFonts w:hint="eastAsia" w:ascii="仿宋_GB2312" w:cs="Arial"/>
          <w:b w:val="0"/>
          <w:bCs w:val="0"/>
          <w:color w:val="000000"/>
          <w:lang w:val="en-US" w:eastAsia="zh-CN"/>
        </w:rPr>
        <w:t>33</w:t>
      </w:r>
      <w:r>
        <w:rPr>
          <w:rFonts w:hint="eastAsia" w:ascii="仿宋_GB2312" w:cs="Arial"/>
          <w:b w:val="0"/>
          <w:bCs w:val="0"/>
          <w:color w:val="000000"/>
        </w:rPr>
        <w:t>%，主要原因是：压缩</w:t>
      </w:r>
      <w:r>
        <w:rPr>
          <w:rFonts w:hint="eastAsia" w:ascii="仿宋_GB2312" w:cs="Arial"/>
          <w:b w:val="0"/>
          <w:bCs w:val="0"/>
          <w:color w:val="000000"/>
          <w:lang w:eastAsia="zh-CN"/>
        </w:rPr>
        <w:t>办公经费等不必要支出</w:t>
      </w:r>
      <w:bookmarkStart w:id="0" w:name="_GoBack"/>
      <w:bookmarkEnd w:id="0"/>
      <w:r>
        <w:rPr>
          <w:rFonts w:hint="eastAsia" w:ascii="仿宋_GB2312" w:cs="Arial"/>
          <w:b w:val="0"/>
          <w:bCs w:val="0"/>
          <w:color w:val="000000"/>
        </w:rPr>
        <w:t>。</w:t>
      </w:r>
    </w:p>
    <w:p>
      <w:pPr>
        <w:widowControl/>
        <w:spacing w:line="420" w:lineRule="atLeast"/>
        <w:ind w:firstLine="640"/>
        <w:jc w:val="left"/>
        <w:rPr>
          <w:rFonts w:hint="eastAsia" w:ascii="仿宋_GB2312" w:hAnsi="仿宋_GB2312" w:eastAsia="仿宋_GB2312" w:cs="仿宋_GB2312"/>
          <w:b w:val="0"/>
          <w:bCs w:val="0"/>
          <w:color w:val="484747"/>
          <w:kern w:val="0"/>
          <w:sz w:val="32"/>
          <w:szCs w:val="32"/>
        </w:rPr>
      </w:pP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七、政府采购情况的说明</w:t>
      </w:r>
    </w:p>
    <w:p>
      <w:pPr>
        <w:ind w:firstLine="640" w:firstLineChars="0"/>
        <w:rPr>
          <w:rFonts w:hint="eastAsia" w:ascii="仿宋_GB2312" w:hAnsi="仿宋_GB2312" w:eastAsia="仿宋_GB2312" w:cs="仿宋_GB2312"/>
          <w:bCs/>
          <w:color w:val="111111"/>
          <w:kern w:val="0"/>
          <w:sz w:val="32"/>
          <w:szCs w:val="32"/>
        </w:rPr>
      </w:pPr>
      <w:r>
        <w:rPr>
          <w:rFonts w:hint="eastAsia" w:ascii="仿宋_GB2312" w:hAnsi="仿宋_GB2312" w:eastAsia="仿宋_GB2312" w:cs="仿宋_GB2312"/>
          <w:bCs/>
          <w:color w:val="111111"/>
          <w:kern w:val="0"/>
          <w:sz w:val="32"/>
          <w:szCs w:val="32"/>
        </w:rPr>
        <w:t>2015年中共涞源纪检委无政府采购项目。</w:t>
      </w:r>
    </w:p>
    <w:p>
      <w:pPr>
        <w:ind w:left="0" w:leftChars="0" w:firstLine="0" w:firstLineChars="0"/>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八、</w:t>
      </w:r>
      <w:r>
        <w:rPr>
          <w:rFonts w:hint="eastAsia" w:ascii="仿宋_GB2312" w:hAnsi="仿宋_GB2312" w:eastAsia="仿宋_GB2312" w:cs="仿宋_GB2312"/>
          <w:b/>
          <w:bCs/>
          <w:sz w:val="32"/>
          <w:szCs w:val="32"/>
          <w:lang w:eastAsia="zh-CN"/>
        </w:rPr>
        <w:t>国有资产情况</w:t>
      </w:r>
    </w:p>
    <w:p>
      <w:pPr>
        <w:rPr>
          <w:rFonts w:hint="eastAsia" w:ascii="宋体" w:hAnsi="宋体" w:cs="Arial"/>
          <w:b w:val="0"/>
          <w:bCs w:val="0"/>
          <w:color w:val="000000"/>
        </w:rPr>
      </w:pPr>
      <w:r>
        <w:rPr>
          <w:rFonts w:hint="eastAsia" w:ascii="仿宋_GB2312" w:hAnsi="黑体"/>
          <w:b w:val="0"/>
          <w:bCs w:val="0"/>
        </w:rPr>
        <w:t>2015年末资产总计</w:t>
      </w:r>
      <w:r>
        <w:rPr>
          <w:rFonts w:hint="eastAsia" w:ascii="仿宋_GB2312" w:hAnsi="黑体"/>
          <w:b w:val="0"/>
          <w:bCs w:val="0"/>
          <w:lang w:val="en-US" w:eastAsia="zh-CN"/>
        </w:rPr>
        <w:t>128.13</w:t>
      </w:r>
      <w:r>
        <w:rPr>
          <w:rFonts w:hint="eastAsia" w:ascii="仿宋_GB2312" w:hAnsi="黑体"/>
          <w:b w:val="0"/>
          <w:bCs w:val="0"/>
        </w:rPr>
        <w:t>万元</w:t>
      </w:r>
      <w:r>
        <w:rPr>
          <w:rFonts w:hint="eastAsia" w:ascii="仿宋_GB2312" w:hAnsi="黑体"/>
          <w:b w:val="0"/>
          <w:bCs w:val="0"/>
          <w:lang w:eastAsia="zh-CN"/>
        </w:rPr>
        <w:t>，</w:t>
      </w:r>
      <w:r>
        <w:rPr>
          <w:rFonts w:hint="eastAsia" w:ascii="仿宋_GB2312" w:hAnsi="黑体"/>
          <w:b w:val="0"/>
          <w:bCs w:val="0"/>
        </w:rPr>
        <w:t>固定资产构成情况：汽车</w:t>
      </w:r>
      <w:r>
        <w:rPr>
          <w:rFonts w:hint="eastAsia" w:ascii="仿宋_GB2312" w:hAnsi="黑体"/>
          <w:b w:val="0"/>
          <w:bCs w:val="0"/>
          <w:lang w:val="en-US" w:eastAsia="zh-CN"/>
        </w:rPr>
        <w:t>69.70</w:t>
      </w:r>
      <w:r>
        <w:rPr>
          <w:rFonts w:hint="eastAsia" w:ascii="仿宋_GB2312" w:hAnsi="黑体"/>
          <w:b w:val="0"/>
          <w:bCs w:val="0"/>
        </w:rPr>
        <w:t>万元，家具、用具及其他固定资产</w:t>
      </w:r>
      <w:r>
        <w:rPr>
          <w:rFonts w:hint="eastAsia" w:ascii="仿宋_GB2312" w:hAnsi="黑体"/>
          <w:b w:val="0"/>
          <w:bCs w:val="0"/>
          <w:lang w:val="en-US" w:eastAsia="zh-CN"/>
        </w:rPr>
        <w:t>58.43</w:t>
      </w:r>
      <w:r>
        <w:rPr>
          <w:rFonts w:hint="eastAsia" w:ascii="仿宋_GB2312" w:hAnsi="黑体"/>
          <w:b w:val="0"/>
          <w:bCs w:val="0"/>
        </w:rPr>
        <w:t>万元。固定资产与去年相比</w:t>
      </w:r>
      <w:r>
        <w:rPr>
          <w:rFonts w:hint="eastAsia" w:ascii="仿宋_GB2312" w:hAnsi="黑体"/>
          <w:b w:val="0"/>
          <w:bCs w:val="0"/>
          <w:lang w:eastAsia="zh-CN"/>
        </w:rPr>
        <w:t>减少</w:t>
      </w:r>
      <w:r>
        <w:rPr>
          <w:rFonts w:hint="eastAsia" w:ascii="仿宋_GB2312" w:hAnsi="黑体"/>
          <w:b w:val="0"/>
          <w:bCs w:val="0"/>
          <w:lang w:val="en-US" w:eastAsia="zh-CN"/>
        </w:rPr>
        <w:t>95.34</w:t>
      </w:r>
      <w:r>
        <w:rPr>
          <w:rFonts w:hint="eastAsia" w:ascii="仿宋_GB2312" w:hAnsi="黑体"/>
          <w:b w:val="0"/>
          <w:bCs w:val="0"/>
        </w:rPr>
        <w:t xml:space="preserve"> 万元，</w:t>
      </w:r>
      <w:r>
        <w:rPr>
          <w:rFonts w:hint="eastAsia" w:ascii="仿宋_GB2312" w:hAnsi="黑体"/>
          <w:b w:val="0"/>
          <w:bCs w:val="0"/>
          <w:lang w:eastAsia="zh-CN"/>
        </w:rPr>
        <w:t>其中无偿调拨政府办行政服务大厅和公共资源交易中心固定资产</w:t>
      </w:r>
      <w:r>
        <w:rPr>
          <w:rFonts w:hint="eastAsia" w:ascii="仿宋_GB2312" w:hAnsi="黑体"/>
          <w:b w:val="0"/>
          <w:bCs w:val="0"/>
          <w:lang w:val="en-US" w:eastAsia="zh-CN"/>
        </w:rPr>
        <w:t>112.08万元，</w:t>
      </w:r>
      <w:r>
        <w:rPr>
          <w:rFonts w:hint="eastAsia" w:ascii="仿宋_GB2312" w:hAnsi="黑体"/>
          <w:b w:val="0"/>
          <w:bCs w:val="0"/>
          <w:lang w:eastAsia="zh-CN"/>
        </w:rPr>
        <w:t>本年新增</w:t>
      </w:r>
      <w:r>
        <w:rPr>
          <w:rFonts w:hint="eastAsia" w:ascii="仿宋_GB2312" w:hAnsi="黑体"/>
          <w:b w:val="0"/>
          <w:bCs w:val="0"/>
          <w:lang w:val="en-US" w:eastAsia="zh-CN"/>
        </w:rPr>
        <w:t>16.74万元</w:t>
      </w:r>
      <w:r>
        <w:rPr>
          <w:rFonts w:hint="eastAsia" w:ascii="仿宋_GB2312" w:hAnsi="黑体"/>
          <w:b w:val="0"/>
          <w:bCs w:val="0"/>
        </w:rPr>
        <w:t>主要</w:t>
      </w:r>
      <w:r>
        <w:rPr>
          <w:rFonts w:hint="eastAsia" w:ascii="仿宋_GB2312" w:hAnsi="黑体"/>
          <w:b w:val="0"/>
          <w:bCs w:val="0"/>
          <w:lang w:eastAsia="zh-CN"/>
        </w:rPr>
        <w:t>用于</w:t>
      </w:r>
      <w:r>
        <w:rPr>
          <w:rFonts w:hint="eastAsia" w:ascii="仿宋_GB2312" w:cs="Arial"/>
          <w:b w:val="0"/>
          <w:bCs w:val="0"/>
          <w:color w:val="000000"/>
        </w:rPr>
        <w:t>购置办公设备、</w:t>
      </w:r>
      <w:r>
        <w:rPr>
          <w:rFonts w:hint="eastAsia" w:ascii="仿宋_GB2312" w:cs="Arial"/>
          <w:b w:val="0"/>
          <w:bCs w:val="0"/>
          <w:color w:val="000000"/>
          <w:lang w:eastAsia="zh-CN"/>
        </w:rPr>
        <w:t>办公家具</w:t>
      </w:r>
      <w:r>
        <w:rPr>
          <w:rFonts w:hint="eastAsia" w:ascii="仿宋_GB2312" w:cs="Arial"/>
          <w:b w:val="0"/>
          <w:bCs w:val="0"/>
          <w:color w:val="000000"/>
        </w:rPr>
        <w:t>。</w:t>
      </w:r>
    </w:p>
    <w:p>
      <w:pPr>
        <w:ind w:firstLine="640" w:firstLineChars="0"/>
        <w:rPr>
          <w:rFonts w:hint="eastAsia" w:ascii="仿宋_GB2312" w:hAnsi="仿宋_GB2312" w:eastAsia="仿宋_GB2312" w:cs="仿宋_GB2312"/>
          <w:b/>
          <w:bCs/>
          <w:color w:val="111111"/>
          <w:kern w:val="0"/>
          <w:sz w:val="32"/>
          <w:szCs w:val="32"/>
        </w:rPr>
      </w:pPr>
    </w:p>
    <w:p>
      <w:pPr>
        <w:ind w:firstLine="64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九</w:t>
      </w:r>
      <w:r>
        <w:rPr>
          <w:rFonts w:hint="eastAsia" w:ascii="仿宋_GB2312" w:hAnsi="仿宋_GB2312" w:eastAsia="仿宋_GB2312" w:cs="仿宋_GB2312"/>
          <w:b/>
          <w:bCs/>
          <w:sz w:val="32"/>
          <w:szCs w:val="32"/>
        </w:rPr>
        <w:t>、其他重要事项的情况说明</w:t>
      </w:r>
    </w:p>
    <w:p>
      <w:pPr>
        <w:ind w:firstLine="640"/>
        <w:rPr>
          <w:rFonts w:hint="eastAsia" w:ascii="仿宋_GB2312" w:hAnsi="仿宋_GB2312" w:eastAsia="仿宋_GB2312" w:cs="仿宋_GB2312"/>
          <w:bCs/>
          <w:color w:val="111111"/>
          <w:kern w:val="0"/>
          <w:sz w:val="32"/>
          <w:szCs w:val="32"/>
        </w:rPr>
      </w:pPr>
      <w:r>
        <w:rPr>
          <w:rFonts w:hint="eastAsia" w:ascii="仿宋_GB2312" w:hAnsi="仿宋_GB2312" w:eastAsia="仿宋_GB2312" w:cs="仿宋_GB2312"/>
          <w:bCs/>
          <w:color w:val="111111"/>
          <w:kern w:val="0"/>
          <w:sz w:val="32"/>
          <w:szCs w:val="32"/>
        </w:rPr>
        <w:t>2015年中共涞源县纪检委无政府性基金预算财政拨款收入和支出。</w:t>
      </w:r>
      <w:r>
        <w:rPr>
          <w:rFonts w:hint="eastAsia" w:ascii="仿宋_GB2312" w:hAnsi="仿宋_GB2312" w:cs="仿宋_GB2312"/>
          <w:bCs/>
          <w:color w:val="111111"/>
          <w:kern w:val="0"/>
          <w:sz w:val="32"/>
          <w:szCs w:val="32"/>
          <w:lang w:eastAsia="zh-CN"/>
        </w:rPr>
        <w:t>（附表</w:t>
      </w:r>
      <w:r>
        <w:rPr>
          <w:rFonts w:hint="eastAsia" w:ascii="仿宋_GB2312" w:hAnsi="仿宋_GB2312" w:cs="仿宋_GB2312"/>
          <w:bCs/>
          <w:color w:val="111111"/>
          <w:kern w:val="0"/>
          <w:sz w:val="32"/>
          <w:szCs w:val="32"/>
          <w:lang w:val="en-US" w:eastAsia="zh-CN"/>
        </w:rPr>
        <w:t>4-7为空表</w:t>
      </w:r>
      <w:r>
        <w:rPr>
          <w:rFonts w:hint="eastAsia" w:ascii="仿宋_GB2312" w:hAnsi="仿宋_GB2312" w:cs="仿宋_GB2312"/>
          <w:bCs/>
          <w:color w:val="111111"/>
          <w:kern w:val="0"/>
          <w:sz w:val="32"/>
          <w:szCs w:val="32"/>
          <w:lang w:eastAsia="zh-CN"/>
        </w:rPr>
        <w:t>）</w:t>
      </w:r>
    </w:p>
    <w:p>
      <w:pPr>
        <w:ind w:firstLine="560"/>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111111"/>
          <w:kern w:val="0"/>
          <w:sz w:val="32"/>
          <w:szCs w:val="32"/>
          <w:lang w:val="en-US" w:eastAsia="zh-CN"/>
        </w:rPr>
        <w:t>2015年中共涞源县纪检委无</w:t>
      </w:r>
      <w:r>
        <w:rPr>
          <w:rFonts w:hint="eastAsia" w:ascii="仿宋_GB2312" w:hAnsi="仿宋_GB2312" w:eastAsia="仿宋_GB2312" w:cs="仿宋_GB2312"/>
          <w:sz w:val="32"/>
          <w:szCs w:val="32"/>
          <w:lang w:eastAsia="zh-CN"/>
        </w:rPr>
        <w:t>国有资本经营预算财政拨款收入和支出。</w:t>
      </w:r>
      <w:r>
        <w:rPr>
          <w:rFonts w:hint="eastAsia" w:ascii="仿宋_GB2312" w:hAnsi="仿宋_GB2312" w:cs="仿宋_GB2312"/>
          <w:sz w:val="32"/>
          <w:szCs w:val="32"/>
          <w:lang w:eastAsia="zh-CN"/>
        </w:rPr>
        <w:t>（附表</w:t>
      </w:r>
      <w:r>
        <w:rPr>
          <w:rFonts w:hint="eastAsia" w:ascii="仿宋_GB2312" w:hAnsi="仿宋_GB2312" w:cs="仿宋_GB2312"/>
          <w:sz w:val="32"/>
          <w:szCs w:val="32"/>
          <w:lang w:val="en-US" w:eastAsia="zh-CN"/>
        </w:rPr>
        <w:t>4-8为空表</w:t>
      </w:r>
      <w:r>
        <w:rPr>
          <w:rFonts w:hint="eastAsia" w:ascii="仿宋_GB2312" w:hAnsi="仿宋_GB2312" w:cs="仿宋_GB2312"/>
          <w:sz w:val="32"/>
          <w:szCs w:val="32"/>
          <w:lang w:eastAsia="zh-CN"/>
        </w:rPr>
        <w:t>）</w:t>
      </w:r>
    </w:p>
    <w:p>
      <w:pPr>
        <w:ind w:left="0" w:leftChars="0" w:firstLine="0" w:firstLineChars="0"/>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b/>
          <w:bCs/>
          <w:sz w:val="32"/>
          <w:szCs w:val="32"/>
          <w:lang w:eastAsia="zh-CN"/>
        </w:rPr>
        <w:t>十、专业名词解释</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color w:val="000000"/>
          <w:sz w:val="32"/>
          <w:szCs w:val="32"/>
        </w:rPr>
        <w:t>1、财政拨款收入</w:t>
      </w:r>
      <w:r>
        <w:rPr>
          <w:rFonts w:hint="eastAsia" w:ascii="仿宋_GB2312" w:hAnsi="仿宋_GB2312" w:eastAsia="仿宋_GB2312" w:cs="仿宋_GB2312"/>
          <w:b w:val="0"/>
          <w:bCs w:val="0"/>
          <w:color w:val="000000"/>
          <w:sz w:val="32"/>
          <w:szCs w:val="32"/>
        </w:rPr>
        <w:t>：</w:t>
      </w:r>
      <w:r>
        <w:rPr>
          <w:rFonts w:hint="eastAsia" w:ascii="仿宋_GB2312" w:hAnsi="仿宋_GB2312" w:eastAsia="仿宋_GB2312" w:cs="仿宋_GB2312"/>
          <w:b w:val="0"/>
          <w:bCs w:val="0"/>
          <w:sz w:val="32"/>
          <w:szCs w:val="32"/>
        </w:rPr>
        <w:t>指由县级财政当年拨付的资金。</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2、上级补助收入</w:t>
      </w:r>
      <w:r>
        <w:rPr>
          <w:rFonts w:hint="eastAsia" w:ascii="仿宋_GB2312" w:hAnsi="仿宋_GB2312" w:eastAsia="仿宋_GB2312" w:cs="仿宋_GB2312"/>
          <w:b w:val="0"/>
          <w:bCs w:val="0"/>
          <w:sz w:val="32"/>
          <w:szCs w:val="32"/>
        </w:rPr>
        <w:t>：指事业单位从主管部门和上级单位取得的非财政补助收入。</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3、事业收入</w:t>
      </w:r>
      <w:r>
        <w:rPr>
          <w:rFonts w:hint="eastAsia" w:ascii="仿宋_GB2312" w:hAnsi="仿宋_GB2312" w:eastAsia="仿宋_GB2312" w:cs="仿宋_GB2312"/>
          <w:b w:val="0"/>
          <w:bCs w:val="0"/>
          <w:sz w:val="32"/>
          <w:szCs w:val="32"/>
        </w:rPr>
        <w:t>：指事业单位开展专业业务活动及其辅助活动取得的收入。包括事业单位收到的财政专户实际核拨的教育收费等。</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4、经营收入：</w:t>
      </w:r>
      <w:r>
        <w:rPr>
          <w:rFonts w:hint="eastAsia" w:ascii="仿宋_GB2312" w:hAnsi="仿宋_GB2312" w:eastAsia="仿宋_GB2312" w:cs="仿宋_GB2312"/>
          <w:b w:val="0"/>
          <w:bCs w:val="0"/>
          <w:sz w:val="32"/>
          <w:szCs w:val="32"/>
        </w:rPr>
        <w:t>指事业单位在专业业务活动及其辅助活动之外开展非独立核算经营活动取得的收入。</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5、附属单位上缴收入</w:t>
      </w:r>
      <w:r>
        <w:rPr>
          <w:rFonts w:hint="eastAsia" w:ascii="仿宋_GB2312" w:hAnsi="仿宋_GB2312" w:eastAsia="仿宋_GB2312" w:cs="仿宋_GB2312"/>
          <w:b w:val="0"/>
          <w:bCs w:val="0"/>
          <w:sz w:val="32"/>
          <w:szCs w:val="32"/>
        </w:rPr>
        <w:t>：指事业单位附属独立核算单位按照有关规定上缴的收入。</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6、其他收入：</w:t>
      </w:r>
      <w:r>
        <w:rPr>
          <w:rFonts w:hint="eastAsia" w:ascii="仿宋_GB2312" w:hAnsi="仿宋_GB2312" w:eastAsia="仿宋_GB2312" w:cs="仿宋_GB2312"/>
          <w:b w:val="0"/>
          <w:bCs w:val="0"/>
          <w:sz w:val="32"/>
          <w:szCs w:val="32"/>
        </w:rPr>
        <w:t>指单位取得的除上述“财政拨款收入”、“上级补助收入”、“事业收入”、“经营收入”、“附属单位上缴收入”等以外的各项收入，如利息收入、捐赠。</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7、用事业基金弥补收支差额</w:t>
      </w:r>
      <w:r>
        <w:rPr>
          <w:rFonts w:hint="eastAsia" w:ascii="仿宋_GB2312" w:hAnsi="仿宋_GB2312" w:eastAsia="仿宋_GB2312" w:cs="仿宋_GB2312"/>
          <w:b w:val="0"/>
          <w:bCs w:val="0"/>
          <w:sz w:val="32"/>
          <w:szCs w:val="32"/>
        </w:rPr>
        <w:t>：指事业单位在预计用当年的“财政拨款收入”、“财政拨款结转和结余资金”、“事业收入”、“事业单位经营收入”、“其他收入”等不足以安排当年支出的情况下，使用以前年度积累的事业基金（事业单位当年收支相抵后按国家规定提取、用于弥补以后年度收支差额的基金）弥补本年度收支缺口的资金。</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8、年初结转和结余</w:t>
      </w:r>
      <w:r>
        <w:rPr>
          <w:rFonts w:hint="eastAsia" w:ascii="仿宋_GB2312" w:hAnsi="仿宋_GB2312" w:eastAsia="仿宋_GB2312" w:cs="仿宋_GB2312"/>
          <w:b w:val="0"/>
          <w:bCs w:val="0"/>
          <w:sz w:val="32"/>
          <w:szCs w:val="32"/>
        </w:rPr>
        <w:t>：指以前年度尚未完成、结转到本年仍按原规定用途继续使用的资金，或项目已完成等产生的结余资金。</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9、结余分配</w:t>
      </w:r>
      <w:r>
        <w:rPr>
          <w:rFonts w:hint="eastAsia" w:ascii="仿宋_GB2312" w:hAnsi="仿宋_GB2312" w:eastAsia="仿宋_GB2312" w:cs="仿宋_GB2312"/>
          <w:b w:val="0"/>
          <w:bCs w:val="0"/>
          <w:sz w:val="32"/>
          <w:szCs w:val="32"/>
        </w:rPr>
        <w:t>：指事业单位按照《事业单位会计制度》的规定从非财政补助结余中分配的事业基金和职工福利基金等。</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10、年末结转和结余</w:t>
      </w:r>
      <w:r>
        <w:rPr>
          <w:rFonts w:hint="eastAsia" w:ascii="仿宋_GB2312" w:hAnsi="仿宋_GB2312" w:eastAsia="仿宋_GB2312" w:cs="仿宋_GB2312"/>
          <w:b w:val="0"/>
          <w:bCs w:val="0"/>
          <w:sz w:val="32"/>
          <w:szCs w:val="32"/>
        </w:rPr>
        <w:t>：指单位按照有关规定结转到下年继续使用的资金，或项目已完成等产生的结余资金。</w:t>
      </w:r>
    </w:p>
    <w:p>
      <w:pPr>
        <w:spacing w:line="580" w:lineRule="exact"/>
        <w:ind w:firstLine="643"/>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11、基本支出</w:t>
      </w:r>
      <w:r>
        <w:rPr>
          <w:rFonts w:hint="eastAsia" w:ascii="仿宋_GB2312" w:hAnsi="仿宋_GB2312" w:eastAsia="仿宋_GB2312" w:cs="仿宋_GB2312"/>
          <w:b w:val="0"/>
          <w:bCs w:val="0"/>
          <w:sz w:val="32"/>
          <w:szCs w:val="32"/>
        </w:rPr>
        <w:t>：指单位为保障其机构正常运转、完成日常工作任务而发生的各项支出。</w:t>
      </w:r>
    </w:p>
    <w:p>
      <w:pPr>
        <w:ind w:firstLine="560"/>
        <w:rPr>
          <w:rFonts w:hint="eastAsia" w:ascii="仿宋_GB2312" w:hAnsi="仿宋_GB2312" w:eastAsia="仿宋_GB2312" w:cs="仿宋_GB2312"/>
          <w:b w:val="0"/>
          <w:bCs w:val="0"/>
          <w:sz w:val="32"/>
          <w:szCs w:val="32"/>
          <w:lang w:val="en-US" w:eastAsia="zh-CN"/>
        </w:rPr>
      </w:pPr>
    </w:p>
    <w:p>
      <w:pPr>
        <w:ind w:firstLine="560"/>
        <w:rPr>
          <w:rFonts w:hint="eastAsia" w:ascii="仿宋_GB2312" w:hAnsi="仿宋_GB2312" w:eastAsia="仿宋_GB2312" w:cs="仿宋_GB2312"/>
          <w:b w:val="0"/>
          <w:bCs w:val="0"/>
          <w:color w:val="111111"/>
          <w:kern w:val="0"/>
          <w:sz w:val="32"/>
          <w:szCs w:val="32"/>
          <w:lang w:eastAsia="zh-CN"/>
        </w:rPr>
      </w:pPr>
      <w:r>
        <w:rPr>
          <w:rFonts w:hint="eastAsia" w:ascii="仿宋_GB2312" w:hAnsi="仿宋_GB2312" w:cs="仿宋_GB2312"/>
          <w:b w:val="0"/>
          <w:bCs w:val="0"/>
          <w:color w:val="111111"/>
          <w:kern w:val="0"/>
          <w:sz w:val="32"/>
          <w:szCs w:val="32"/>
          <w:lang w:val="en-US" w:eastAsia="zh-CN"/>
        </w:rPr>
        <w:t xml:space="preserve">                                  </w:t>
      </w:r>
      <w:r>
        <w:rPr>
          <w:rFonts w:hint="eastAsia" w:ascii="仿宋_GB2312" w:hAnsi="仿宋_GB2312" w:cs="仿宋_GB2312"/>
          <w:b w:val="0"/>
          <w:bCs w:val="0"/>
          <w:color w:val="111111"/>
          <w:kern w:val="0"/>
          <w:sz w:val="32"/>
          <w:szCs w:val="32"/>
          <w:lang w:eastAsia="zh-CN"/>
        </w:rPr>
        <w:t>中共涞源县纪检委</w:t>
      </w:r>
    </w:p>
    <w:p>
      <w:pPr>
        <w:spacing w:line="240" w:lineRule="auto"/>
        <w:ind w:firstLine="0" w:firstLineChars="0"/>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color w:val="111111"/>
          <w:kern w:val="0"/>
          <w:sz w:val="32"/>
          <w:szCs w:val="32"/>
        </w:rPr>
        <w:t xml:space="preserve">                                     2016年11月</w:t>
      </w:r>
      <w:r>
        <w:rPr>
          <w:rFonts w:hint="eastAsia" w:ascii="仿宋_GB2312" w:hAnsi="仿宋_GB2312" w:eastAsia="仿宋_GB2312" w:cs="仿宋_GB2312"/>
          <w:b w:val="0"/>
          <w:bCs w:val="0"/>
          <w:color w:val="111111"/>
          <w:kern w:val="0"/>
          <w:sz w:val="32"/>
          <w:szCs w:val="32"/>
          <w:lang w:val="en-US" w:eastAsia="zh-CN"/>
        </w:rPr>
        <w:t>4</w:t>
      </w:r>
      <w:r>
        <w:rPr>
          <w:rFonts w:hint="eastAsia" w:ascii="仿宋_GB2312" w:hAnsi="仿宋_GB2312" w:eastAsia="仿宋_GB2312" w:cs="仿宋_GB2312"/>
          <w:b w:val="0"/>
          <w:bCs w:val="0"/>
          <w:color w:val="111111"/>
          <w:kern w:val="0"/>
          <w:sz w:val="32"/>
          <w:szCs w:val="32"/>
        </w:rPr>
        <w:t>日</w:t>
      </w:r>
    </w:p>
    <w:p>
      <w:pPr>
        <w:ind w:firstLine="560"/>
        <w:rPr>
          <w:rFonts w:hint="eastAsia" w:ascii="仿宋_GB2312" w:hAnsi="仿宋_GB2312" w:eastAsia="仿宋_GB2312" w:cs="仿宋_GB2312"/>
          <w:color w:val="111111"/>
          <w:kern w:val="0"/>
          <w:sz w:val="32"/>
          <w:szCs w:val="32"/>
        </w:rPr>
      </w:pPr>
    </w:p>
    <w:p>
      <w:pPr>
        <w:ind w:firstLine="560"/>
        <w:rPr>
          <w:rFonts w:hint="eastAsia" w:ascii="仿宋_GB2312" w:hAnsi="仿宋_GB2312" w:eastAsia="仿宋_GB2312" w:cs="仿宋_GB2312"/>
          <w:color w:val="111111"/>
          <w:kern w:val="0"/>
          <w:sz w:val="32"/>
          <w:szCs w:val="32"/>
        </w:rPr>
      </w:pPr>
      <w:r>
        <w:rPr>
          <w:rFonts w:hint="eastAsia" w:ascii="仿宋_GB2312" w:hAnsi="仿宋_GB2312" w:eastAsia="仿宋_GB2312" w:cs="仿宋_GB2312"/>
          <w:color w:val="111111"/>
          <w:kern w:val="0"/>
          <w:sz w:val="32"/>
          <w:szCs w:val="32"/>
        </w:rPr>
        <w:t xml:space="preserve">                                                                                                                       </w:t>
      </w:r>
    </w:p>
    <w:p>
      <w:pPr>
        <w:spacing w:line="240" w:lineRule="auto"/>
        <w:ind w:firstLine="0" w:firstLineChars="0"/>
        <w:jc w:val="center"/>
        <w:rPr>
          <w:rFonts w:hint="eastAsia" w:ascii="仿宋_GB2312" w:hAnsi="仿宋_GB2312" w:eastAsia="仿宋_GB2312" w:cs="仿宋_GB2312"/>
          <w:sz w:val="32"/>
          <w:szCs w:val="32"/>
        </w:rPr>
      </w:pPr>
      <w:r>
        <w:rPr>
          <w:rFonts w:hint="eastAsia" w:ascii="仿宋_GB2312" w:hAnsi="仿宋_GB2312" w:eastAsia="仿宋_GB2312" w:cs="仿宋_GB2312"/>
          <w:color w:val="111111"/>
          <w:kern w:val="0"/>
          <w:sz w:val="32"/>
          <w:szCs w:val="32"/>
        </w:rPr>
        <w:t xml:space="preserve">                                                                                                         </w:t>
      </w:r>
    </w:p>
    <w:p>
      <w:pPr>
        <w:ind w:firstLine="560"/>
        <w:rPr>
          <w:rFonts w:hint="eastAsia" w:ascii="仿宋_GB2312" w:hAnsi="仿宋_GB2312" w:eastAsia="仿宋_GB2312" w:cs="仿宋_GB2312"/>
          <w:sz w:val="32"/>
          <w:szCs w:val="32"/>
        </w:rPr>
      </w:pPr>
    </w:p>
    <w:p>
      <w:pPr>
        <w:ind w:firstLine="640"/>
        <w:rPr>
          <w:rFonts w:hint="eastAsia" w:ascii="仿宋_GB2312" w:hAnsi="仿宋_GB2312" w:eastAsia="仿宋_GB2312" w:cs="仿宋_GB2312"/>
          <w:sz w:val="32"/>
          <w:szCs w:val="32"/>
        </w:rPr>
      </w:pPr>
    </w:p>
    <w:p>
      <w:pPr>
        <w:ind w:left="640" w:firstLine="640"/>
        <w:rPr>
          <w:rFonts w:hint="eastAsia" w:ascii="仿宋_GB2312" w:hAnsi="仿宋_GB2312" w:eastAsia="仿宋_GB2312" w:cs="仿宋_GB2312"/>
          <w:sz w:val="32"/>
          <w:szCs w:val="32"/>
        </w:rPr>
      </w:pPr>
    </w:p>
    <w:p>
      <w:pPr>
        <w:ind w:firstLine="640"/>
        <w:rPr>
          <w:rFonts w:hint="eastAsia" w:ascii="仿宋_GB2312" w:hAnsi="仿宋_GB2312" w:eastAsia="仿宋_GB2312" w:cs="仿宋_GB2312"/>
          <w:sz w:val="32"/>
          <w:szCs w:val="32"/>
        </w:rPr>
      </w:pPr>
    </w:p>
    <w:p>
      <w:pPr>
        <w:ind w:firstLine="640"/>
        <w:rPr>
          <w:rFonts w:hint="eastAsia" w:ascii="仿宋_GB2312" w:hAnsi="仿宋_GB2312" w:eastAsia="仿宋_GB2312" w:cs="仿宋_GB2312"/>
          <w:sz w:val="32"/>
          <w:szCs w:val="32"/>
        </w:rPr>
      </w:pPr>
    </w:p>
    <w:p>
      <w:pPr>
        <w:widowControl/>
        <w:spacing w:line="420" w:lineRule="atLeast"/>
        <w:ind w:firstLine="6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    </w:t>
      </w:r>
    </w:p>
    <w:p>
      <w:pPr>
        <w:widowControl/>
        <w:spacing w:line="420" w:lineRule="atLeast"/>
        <w:ind w:left="420" w:firstLine="6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 </w:t>
      </w:r>
    </w:p>
    <w:p>
      <w:pPr>
        <w:widowControl/>
        <w:spacing w:line="42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 </w:t>
      </w:r>
    </w:p>
    <w:p>
      <w:pPr>
        <w:widowControl/>
        <w:spacing w:line="420" w:lineRule="atLeast"/>
        <w:ind w:left="0" w:leftChars="0" w:firstLine="0" w:firstLineChars="0"/>
        <w:jc w:val="both"/>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 xml:space="preserve">                                   </w:t>
      </w:r>
    </w:p>
    <w:p>
      <w:pPr>
        <w:widowControl/>
        <w:spacing w:line="420" w:lineRule="atLeast"/>
        <w:ind w:firstLine="640"/>
        <w:jc w:val="center"/>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 </w:t>
      </w:r>
    </w:p>
    <w:p>
      <w:pPr>
        <w:widowControl/>
        <w:spacing w:line="420" w:lineRule="atLeast"/>
        <w:ind w:firstLine="640"/>
        <w:jc w:val="center"/>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 </w:t>
      </w:r>
    </w:p>
    <w:p>
      <w:pPr>
        <w:widowControl/>
        <w:spacing w:line="420" w:lineRule="atLeast"/>
        <w:ind w:firstLine="640"/>
        <w:jc w:val="center"/>
        <w:rPr>
          <w:rFonts w:ascii="宋体" w:hAnsi="宋体" w:cs="宋体"/>
          <w:color w:val="484747"/>
          <w:kern w:val="0"/>
          <w:sz w:val="24"/>
        </w:rPr>
      </w:pPr>
      <w:r>
        <w:rPr>
          <w:rFonts w:hint="eastAsia" w:ascii="仿宋_GB2312" w:hAnsi="仿宋_GB2312" w:eastAsia="仿宋_GB2312" w:cs="仿宋_GB2312"/>
          <w:color w:val="484747"/>
          <w:kern w:val="0"/>
          <w:sz w:val="32"/>
          <w:szCs w:val="32"/>
        </w:rPr>
        <w:t xml:space="preserve">                 </w:t>
      </w:r>
      <w:r>
        <w:rPr>
          <w:rFonts w:hint="eastAsia" w:ascii="宋体" w:hAnsi="宋体" w:cs="宋体"/>
          <w:color w:val="484747"/>
          <w:kern w:val="0"/>
          <w:szCs w:val="32"/>
        </w:rPr>
        <w:t xml:space="preserve">              </w:t>
      </w:r>
    </w:p>
    <w:p>
      <w:pPr>
        <w:ind w:firstLine="640"/>
      </w:pPr>
    </w:p>
    <w:p>
      <w:pPr>
        <w:ind w:firstLine="640"/>
      </w:pPr>
    </w:p>
    <w:p>
      <w:pPr>
        <w:ind w:firstLine="640"/>
      </w:pPr>
    </w:p>
    <w:p>
      <w:pPr>
        <w:ind w:firstLine="640"/>
      </w:pPr>
    </w:p>
    <w:p>
      <w:pPr>
        <w:ind w:firstLine="640"/>
      </w:pPr>
    </w:p>
    <w:p>
      <w:pPr>
        <w:ind w:firstLine="640"/>
      </w:pPr>
    </w:p>
    <w:p>
      <w:pPr>
        <w:ind w:firstLine="640"/>
      </w:pPr>
    </w:p>
    <w:p>
      <w:pPr>
        <w:ind w:firstLine="640"/>
      </w:pPr>
    </w:p>
    <w:p/>
    <w:sectPr>
      <w:pgSz w:w="11906" w:h="16838"/>
      <w:pgMar w:top="1985" w:right="1531" w:bottom="1985"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Palatino Linotype"/>
    <w:panose1 w:val="02040503050406030204"/>
    <w:charset w:val="00"/>
    <w:family w:val="roman"/>
    <w:pitch w:val="default"/>
    <w:sig w:usb0="00000000" w:usb1="00000000" w:usb2="00000000" w:usb3="00000000" w:csb0="0000019F" w:csb1="00000000"/>
  </w:font>
  <w:font w:name="Calibri">
    <w:altName w:val="Lucida Sans Unicode"/>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altName w:val="宋体"/>
    <w:panose1 w:val="02010609060101010101"/>
    <w:charset w:val="86"/>
    <w:family w:val="modern"/>
    <w:pitch w:val="default"/>
    <w:sig w:usb0="00000000" w:usb1="00000000" w:usb2="00000016" w:usb3="00000000" w:csb0="00040001" w:csb1="00000000"/>
  </w:font>
  <w:font w:name="Verdana">
    <w:panose1 w:val="020B0604030504040204"/>
    <w:charset w:val="00"/>
    <w:family w:val="swiss"/>
    <w:pitch w:val="default"/>
    <w:sig w:usb0="00000287" w:usb1="00000000" w:usb2="00000000" w:usb3="00000000" w:csb0="2000019F" w:csb1="00000000"/>
  </w:font>
  <w:font w:name="Arial">
    <w:panose1 w:val="020B0604020202020204"/>
    <w:charset w:val="00"/>
    <w:family w:val="swiss"/>
    <w:pitch w:val="default"/>
    <w:sig w:usb0="00007A87" w:usb1="80000000" w:usb2="00000008" w:usb3="00000000" w:csb0="400001FF" w:csb1="FFFF0000"/>
  </w:font>
  <w:font w:name="Lucida Sans Unicode">
    <w:panose1 w:val="020B0602030504020204"/>
    <w:charset w:val="00"/>
    <w:family w:val="auto"/>
    <w:pitch w:val="default"/>
    <w:sig w:usb0="80001AFF" w:usb1="0000396B" w:usb2="00000000" w:usb3="00000000" w:csb0="0000003F" w:csb1="D7F70000"/>
  </w:font>
  <w:font w:name="Palatino Linotype">
    <w:panose1 w:val="02040502050505030304"/>
    <w:charset w:val="00"/>
    <w:family w:val="auto"/>
    <w:pitch w:val="default"/>
    <w:sig w:usb0="E0000387" w:usb1="40000013" w:usb2="00000000" w:usb3="00000000" w:csb0="2000019F" w:csb1="00000000"/>
  </w:font>
  <w:font w:name="仿宋">
    <w:altName w:val="宋体"/>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003" w:usb1="080E0000" w:usb2="00000000" w:usb3="00000000" w:csb0="00040001" w:csb1="00000000"/>
  </w:font>
  <w:font w:name="宋体-PUA">
    <w:panose1 w:val="02010600030101010101"/>
    <w:charset w:val="86"/>
    <w:family w:val="auto"/>
    <w:pitch w:val="default"/>
    <w:sig w:usb0="00000000" w:usb1="10000000" w:usb2="00000000" w:usb3="00000000" w:csb0="00040000" w:csb1="00000000"/>
  </w:font>
  <w:font w:name="汉仪旗黑-55">
    <w:panose1 w:val="00020600040101010101"/>
    <w:charset w:val="86"/>
    <w:family w:val="auto"/>
    <w:pitch w:val="default"/>
    <w:sig w:usb0="A00002BF" w:usb1="18EF7CFA" w:usb2="00000016" w:usb3="00000000" w:csb0="00040000" w:csb1="00000000"/>
  </w:font>
  <w:font w:name="汉仪旗黑-55S">
    <w:panose1 w:val="00020600040101010101"/>
    <w:charset w:val="86"/>
    <w:family w:val="auto"/>
    <w:pitch w:val="default"/>
    <w:sig w:usb0="A00002BF" w:usb1="18EF7CFA" w:usb2="00000016" w:usb3="00000000" w:csb0="00040000" w:csb1="00000000"/>
  </w:font>
  <w:font w:name="Dotum">
    <w:panose1 w:val="020B0600000101010101"/>
    <w:charset w:val="81"/>
    <w:family w:val="auto"/>
    <w:pitch w:val="default"/>
    <w:sig w:usb0="B00002AF" w:usb1="69D77CFB" w:usb2="00000030" w:usb3="00000000" w:csb0="4008009F" w:csb1="DFD70000"/>
  </w:font>
  <w:font w:name="方正小标宋_GBK">
    <w:altName w:val="Times New Roman"/>
    <w:panose1 w:val="00000000000000000000"/>
    <w:charset w:val="00"/>
    <w:family w:val="auto"/>
    <w:pitch w:val="default"/>
    <w:sig w:usb0="00000000" w:usb1="00000000" w:usb2="00000000" w:usb3="00000000" w:csb0="00040001" w:csb1="00000000"/>
  </w:font>
  <w:font w:name="方正楷体_GBK">
    <w:altName w:val="Times New Roman"/>
    <w:panose1 w:val="00000000000000000000"/>
    <w:charset w:val="00"/>
    <w:family w:val="auto"/>
    <w:pitch w:val="default"/>
    <w:sig w:usb0="00000000" w:usb1="00000000" w:usb2="00000000" w:usb3="00000000" w:csb0="00040001" w:csb1="00000000"/>
  </w:font>
  <w:font w:name="方正黑体_GBK">
    <w:altName w:val="Times New Roman"/>
    <w:panose1 w:val="00000000000000000000"/>
    <w:charset w:val="00"/>
    <w:family w:val="auto"/>
    <w:pitch w:val="default"/>
    <w:sig w:usb0="00000000" w:usb1="00000000" w:usb2="00000000" w:usb3="00000000" w:csb0="00040001" w:csb1="00000000"/>
  </w:font>
  <w:font w:name="方正仿宋_GBK">
    <w:altName w:val="Times New Roman"/>
    <w:panose1 w:val="00000000000000000000"/>
    <w:charset w:val="00"/>
    <w:family w:val="auto"/>
    <w:pitch w:val="default"/>
    <w:sig w:usb0="00000000" w:usb1="00000000" w:usb2="00000000" w:usb3="00000000" w:csb0="00040001" w:csb1="00000000"/>
  </w:font>
  <w:font w:name="方正书宋_GBK">
    <w:altName w:val="Times New Roman"/>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E0769"/>
    <w:rsid w:val="00185955"/>
    <w:rsid w:val="00213264"/>
    <w:rsid w:val="003E0769"/>
    <w:rsid w:val="00420DDF"/>
    <w:rsid w:val="0050742C"/>
    <w:rsid w:val="00527D9B"/>
    <w:rsid w:val="007327B3"/>
    <w:rsid w:val="007A1B75"/>
    <w:rsid w:val="00853D8F"/>
    <w:rsid w:val="00A8755F"/>
    <w:rsid w:val="00B50636"/>
    <w:rsid w:val="00F62A03"/>
    <w:rsid w:val="00FB72A8"/>
    <w:rsid w:val="00FE78B6"/>
    <w:rsid w:val="00FF01DA"/>
    <w:rsid w:val="043F7DCA"/>
    <w:rsid w:val="0BBF3875"/>
    <w:rsid w:val="11CE31E3"/>
    <w:rsid w:val="17BF576B"/>
    <w:rsid w:val="1C562C3F"/>
    <w:rsid w:val="28CC758B"/>
    <w:rsid w:val="2A982F58"/>
    <w:rsid w:val="2AA20046"/>
    <w:rsid w:val="2C167CA7"/>
    <w:rsid w:val="35911C8D"/>
    <w:rsid w:val="3D4D54A1"/>
    <w:rsid w:val="3E6F1BA5"/>
    <w:rsid w:val="46BB3294"/>
    <w:rsid w:val="498715CD"/>
    <w:rsid w:val="4E904D06"/>
    <w:rsid w:val="52430B72"/>
    <w:rsid w:val="531B396B"/>
    <w:rsid w:val="56D5109B"/>
    <w:rsid w:val="59373ABD"/>
    <w:rsid w:val="5BE05C2E"/>
    <w:rsid w:val="60D570EF"/>
    <w:rsid w:val="645A33CB"/>
    <w:rsid w:val="67EB452B"/>
    <w:rsid w:val="6D137E1A"/>
    <w:rsid w:val="6E7663DC"/>
    <w:rsid w:val="6F5D1278"/>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00" w:lineRule="exact"/>
      <w:ind w:firstLine="200" w:firstLineChars="200"/>
      <w:jc w:val="both"/>
    </w:pPr>
    <w:rPr>
      <w:rFonts w:ascii="Times New Roman" w:hAnsi="Times New Roman" w:eastAsia="仿宋_GB2312" w:cstheme="minorBidi"/>
      <w:kern w:val="2"/>
      <w:sz w:val="32"/>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6"/>
    <w:qFormat/>
    <w:uiPriority w:val="0"/>
    <w:pPr>
      <w:tabs>
        <w:tab w:val="center" w:pos="4153"/>
        <w:tab w:val="right" w:pos="8306"/>
      </w:tabs>
      <w:snapToGrid w:val="0"/>
      <w:jc w:val="left"/>
    </w:pPr>
    <w:rPr>
      <w:rFonts w:ascii="Calibri" w:hAnsi="Calibri" w:eastAsia="宋体"/>
      <w:kern w:val="0"/>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rFonts w:ascii="Calibri" w:hAnsi="Calibri" w:eastAsia="宋体"/>
      <w:kern w:val="0"/>
      <w:sz w:val="18"/>
      <w:szCs w:val="18"/>
    </w:rPr>
  </w:style>
  <w:style w:type="character" w:customStyle="1" w:styleId="6">
    <w:name w:val="页脚 Char"/>
    <w:basedOn w:val="4"/>
    <w:link w:val="2"/>
    <w:qFormat/>
    <w:uiPriority w:val="0"/>
    <w:rPr>
      <w:rFonts w:ascii="Calibri" w:hAnsi="Calibri" w:eastAsia="宋体"/>
      <w:kern w:val="0"/>
      <w:sz w:val="18"/>
      <w:szCs w:val="18"/>
    </w:rPr>
  </w:style>
  <w:style w:type="character" w:customStyle="1" w:styleId="7">
    <w:name w:val="页眉 Char"/>
    <w:basedOn w:val="4"/>
    <w:link w:val="3"/>
    <w:qFormat/>
    <w:uiPriority w:val="0"/>
    <w:rPr>
      <w:rFonts w:ascii="Calibri" w:hAnsi="Calibri" w:eastAsia="宋体"/>
      <w:kern w:val="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264</Words>
  <Characters>1506</Characters>
  <Lines>12</Lines>
  <Paragraphs>3</Paragraphs>
  <ScaleCrop>false</ScaleCrop>
  <LinksUpToDate>false</LinksUpToDate>
  <CharactersWithSpaces>1767</CharactersWithSpaces>
  <Application>WPS Office_10.1.0.6065_F1E327BC-269C-435d-A152-05C5408002CA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2016-11-18T11:34:00Z</dcterms:created>
  <dc:creator>Administrator</dc:creator>
  <cp:lastModifiedBy>Administrator</cp:lastModifiedBy>
  <dcterms:modified xsi:type="dcterms:W3CDTF">2016-12-08T06:31:31Z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