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AD833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55F4C946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5488FB9D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58DBF59D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72"/>
        </w:rPr>
        <w:t>涞源县白石山景区管理委员会</w:t>
      </w:r>
    </w:p>
    <w:p w14:paraId="547B8BFF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72"/>
        </w:rPr>
        <w:t>2026年部门预算绩效文本</w:t>
      </w:r>
    </w:p>
    <w:p w14:paraId="4E1546DE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A0815D9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754EA31F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552FD300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5A6E2C1A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6B62166B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5C1D6C1A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5A93CFC7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75BC2AD6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AF77667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187AA5F8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4099FDC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4072FCF2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AB448FC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57ED5DF6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4E3F59F4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4DF08F40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CC82DF6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D023916">
      <w:pPr>
        <w:spacing w:before="0" w:after="0" w:line="240" w:lineRule="auto"/>
        <w:ind w:firstLine="0"/>
        <w:jc w:val="center"/>
        <w:outlineLvl w:val="9"/>
      </w:pPr>
      <w:r>
        <w:rPr>
          <w:rFonts w:ascii="方正楷体_GBK" w:hAnsi="方正楷体_GBK" w:eastAsia="方正楷体_GBK" w:cs="方正楷体_GBK"/>
          <w:b/>
          <w:color w:val="000000"/>
          <w:sz w:val="32"/>
        </w:rPr>
        <w:t>涞源县白石山景区管理委员会编制</w:t>
      </w:r>
    </w:p>
    <w:p w14:paraId="67BDBD3F">
      <w:pPr>
        <w:spacing w:before="0" w:after="0" w:line="240" w:lineRule="auto"/>
        <w:ind w:firstLine="0"/>
        <w:jc w:val="center"/>
        <w:outlineLvl w:val="9"/>
        <w:sectPr>
          <w:pgSz w:w="11900" w:h="16840"/>
          <w:pgMar w:top="1984" w:right="1304" w:bottom="1134" w:left="1304" w:header="720" w:footer="720" w:gutter="0"/>
          <w:cols w:space="720" w:num="1"/>
          <w:titlePg/>
        </w:sectPr>
      </w:pPr>
      <w:r>
        <w:rPr>
          <w:rFonts w:hint="eastAsia" w:ascii="方正楷体_GBK" w:hAnsi="方正楷体_GBK" w:eastAsia="方正楷体_GBK" w:cs="方正楷体_GBK"/>
          <w:b/>
          <w:color w:val="000000"/>
          <w:sz w:val="32"/>
          <w:lang w:eastAsia="zh-CN"/>
        </w:rPr>
        <w:t>涞源县财政局</w:t>
      </w:r>
      <w:bookmarkStart w:id="5" w:name="_GoBack"/>
      <w:bookmarkEnd w:id="5"/>
      <w:r>
        <w:rPr>
          <w:rFonts w:ascii="方正楷体_GBK" w:hAnsi="方正楷体_GBK" w:eastAsia="方正楷体_GBK" w:cs="方正楷体_GBK"/>
          <w:b/>
          <w:color w:val="000000"/>
          <w:sz w:val="32"/>
        </w:rPr>
        <w:t>审核</w:t>
      </w:r>
    </w:p>
    <w:p w14:paraId="45902658">
      <w:pPr>
        <w:spacing w:before="0" w:after="0" w:line="240" w:lineRule="auto"/>
        <w:ind w:firstLine="0"/>
        <w:jc w:val="both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6"/>
        </w:rPr>
        <w:t xml:space="preserve"> </w:t>
      </w:r>
    </w:p>
    <w:p w14:paraId="134D3D92">
      <w:pPr>
        <w:spacing w:before="0" w:after="0" w:line="240" w:lineRule="auto"/>
        <w:ind w:firstLine="0"/>
        <w:jc w:val="center"/>
        <w:outlineLvl w:val="0"/>
      </w:pPr>
      <w:r>
        <w:rPr>
          <w:rFonts w:ascii="方正小标宋_GBK" w:hAnsi="方正小标宋_GBK" w:eastAsia="方正小标宋_GBK" w:cs="方正小标宋_GBK"/>
          <w:color w:val="000000"/>
          <w:sz w:val="36"/>
        </w:rPr>
        <w:t>目    录</w:t>
      </w:r>
    </w:p>
    <w:p w14:paraId="0DDA0957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0"/>
        </w:rPr>
        <w:t xml:space="preserve"> </w:t>
      </w:r>
    </w:p>
    <w:p w14:paraId="4C63D807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0"/>
        </w:rPr>
        <w:t>第一部分 部门整体绩效目标</w:t>
      </w:r>
    </w:p>
    <w:p w14:paraId="4F805EE6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TOC \o "2-2" \h \z \u</w:instrText>
      </w:r>
      <w:r>
        <w:fldChar w:fldCharType="separate"/>
      </w:r>
      <w:r>
        <w:fldChar w:fldCharType="begin"/>
      </w:r>
      <w:r>
        <w:instrText xml:space="preserve">HYPERLINK \l _Toc_2_2_0000000001</w:instrText>
      </w:r>
      <w:r>
        <w:fldChar w:fldCharType="separate"/>
      </w:r>
      <w:r>
        <w:t>一、总体绩效目标</w:t>
      </w:r>
      <w:r>
        <w:tab/>
      </w:r>
      <w:r>
        <w:fldChar w:fldCharType="begin"/>
      </w:r>
      <w:r>
        <w:instrText xml:space="preserve">PAGEREF _Toc_2_2_0000000001 \h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328B60B3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_Toc_2_2_0000000002</w:instrText>
      </w:r>
      <w:r>
        <w:fldChar w:fldCharType="separate"/>
      </w:r>
      <w:r>
        <w:t>二、分项绩效目标</w:t>
      </w:r>
      <w:r>
        <w:tab/>
      </w:r>
      <w:r>
        <w:fldChar w:fldCharType="begin"/>
      </w:r>
      <w:r>
        <w:instrText xml:space="preserve">PAGEREF _Toc_2_2_0000000002 \h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1CCB78FD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_Toc_2_2_0000000003</w:instrText>
      </w:r>
      <w:r>
        <w:fldChar w:fldCharType="separate"/>
      </w:r>
      <w:r>
        <w:t>三、工作保障措施</w:t>
      </w:r>
      <w:r>
        <w:tab/>
      </w:r>
      <w:r>
        <w:fldChar w:fldCharType="begin"/>
      </w:r>
      <w:r>
        <w:instrText xml:space="preserve">PAGEREF _Toc_2_2_0000000003 \h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620C4786">
      <w:r>
        <w:fldChar w:fldCharType="end"/>
      </w:r>
    </w:p>
    <w:p w14:paraId="3513B43B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0"/>
        </w:rPr>
        <w:t>第二部分 预算项目绩效目标</w:t>
      </w:r>
    </w:p>
    <w:p w14:paraId="12B8D0BD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TOC \o "4-4" \h \z \u</w:instrText>
      </w:r>
      <w:r>
        <w:fldChar w:fldCharType="separate"/>
      </w:r>
      <w:r>
        <w:fldChar w:fldCharType="begin"/>
      </w:r>
      <w:r>
        <w:instrText xml:space="preserve">HYPERLINK \l _Toc_4_4_0000000004</w:instrText>
      </w:r>
      <w:r>
        <w:fldChar w:fldCharType="separate"/>
      </w:r>
      <w:r>
        <w:t>1.旅游厕所经费绩效目标表</w:t>
      </w:r>
      <w:r>
        <w:tab/>
      </w:r>
      <w:r>
        <w:fldChar w:fldCharType="begin"/>
      </w:r>
      <w:r>
        <w:instrText xml:space="preserve">PAGEREF _Toc_4_4_0000000004 \h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 w14:paraId="049B2CBF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_Toc_4_4_0000000005</w:instrText>
      </w:r>
      <w:r>
        <w:fldChar w:fldCharType="separate"/>
      </w:r>
      <w:r>
        <w:t>2.业务培训费绩效目标表</w:t>
      </w:r>
      <w:r>
        <w:tab/>
      </w:r>
      <w:r>
        <w:fldChar w:fldCharType="begin"/>
      </w:r>
      <w:r>
        <w:instrText xml:space="preserve">PAGEREF _Toc_4_4_0000000005 \h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 w14:paraId="252947E1">
      <w:r>
        <w:fldChar w:fldCharType="end"/>
      </w:r>
    </w:p>
    <w:p w14:paraId="26847723">
      <w:pPr>
        <w:sectPr>
          <w:footerReference r:id="rId3" w:type="default"/>
          <w:footerReference r:id="rId4" w:type="even"/>
          <w:pgSz w:w="11900" w:h="16840"/>
          <w:pgMar w:top="1984" w:right="1304" w:bottom="1134" w:left="1304" w:header="720" w:footer="720" w:gutter="0"/>
          <w:pgNumType w:start="1"/>
          <w:cols w:space="720" w:num="1"/>
        </w:sectPr>
      </w:pPr>
      <w:r>
        <w:br w:type="page"/>
      </w:r>
    </w:p>
    <w:p w14:paraId="09624C7D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 xml:space="preserve"> </w:t>
      </w:r>
    </w:p>
    <w:p w14:paraId="7C45A1FB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第一部分</w:t>
      </w:r>
    </w:p>
    <w:p w14:paraId="6466CF77">
      <w:pPr>
        <w:spacing w:before="0" w:after="0" w:line="240" w:lineRule="auto"/>
        <w:ind w:firstLine="0"/>
        <w:jc w:val="center"/>
        <w:outlineLvl w:val="0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部门整体绩效目标</w:t>
      </w:r>
    </w:p>
    <w:p w14:paraId="25C1A756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 xml:space="preserve"> </w:t>
      </w:r>
    </w:p>
    <w:p w14:paraId="68A53085">
      <w:pPr>
        <w:numPr>
          <w:ilvl w:val="0"/>
          <w:numId w:val="1"/>
        </w:numPr>
        <w:spacing w:before="10" w:after="10"/>
        <w:ind w:firstLine="560"/>
        <w:jc w:val="left"/>
        <w:outlineLvl w:val="1"/>
        <w:rPr>
          <w:rFonts w:ascii="方正黑体_GBK" w:hAnsi="方正黑体_GBK" w:eastAsia="方正黑体_GBK" w:cs="方正黑体_GBK"/>
          <w:color w:val="000000"/>
          <w:sz w:val="28"/>
        </w:rPr>
      </w:pPr>
      <w:bookmarkStart w:id="0" w:name="_Toc_2_2_0000000001"/>
      <w:r>
        <w:rPr>
          <w:rFonts w:ascii="方正黑体_GBK" w:hAnsi="方正黑体_GBK" w:eastAsia="方正黑体_GBK" w:cs="方正黑体_GBK"/>
          <w:color w:val="000000"/>
          <w:sz w:val="28"/>
        </w:rPr>
        <w:t>总体绩效目标</w:t>
      </w:r>
      <w:bookmarkEnd w:id="0"/>
    </w:p>
    <w:p w14:paraId="08F794E6">
      <w:pPr>
        <w:pStyle w:val="8"/>
        <w:ind w:left="0" w:leftChars="0" w:firstLine="560" w:firstLineChars="200"/>
        <w:rPr>
          <w:rFonts w:hint="eastAsia" w:ascii="Times New Roman" w:hAnsi="Times New Roman" w:eastAsia="方正仿宋_GBK" w:cs="Times New Roman"/>
          <w:sz w:val="28"/>
          <w:szCs w:val="24"/>
          <w:lang w:val="en-US" w:eastAsia="zh-CN" w:bidi="ar-SA"/>
        </w:rPr>
      </w:pPr>
      <w:r>
        <w:rPr>
          <w:rFonts w:hint="eastAsia" w:cs="Times New Roman"/>
          <w:sz w:val="28"/>
          <w:szCs w:val="24"/>
          <w:lang w:val="en-US" w:eastAsia="zh-CN" w:bidi="ar-SA"/>
        </w:rPr>
        <w:t>1</w:t>
      </w:r>
      <w:r>
        <w:rPr>
          <w:rFonts w:hint="eastAsia" w:ascii="Times New Roman" w:hAnsi="Times New Roman" w:eastAsia="方正仿宋_GBK" w:cs="Times New Roman"/>
          <w:sz w:val="28"/>
          <w:szCs w:val="24"/>
          <w:lang w:val="en-US" w:eastAsia="zh-CN" w:bidi="ar-SA"/>
        </w:rPr>
        <w:t>、继续深入开展“学精神、树正气、强党建、促发展”活动</w:t>
      </w:r>
      <w:r>
        <w:rPr>
          <w:rFonts w:hint="eastAsia" w:cs="Times New Roman"/>
          <w:sz w:val="28"/>
          <w:szCs w:val="24"/>
          <w:lang w:val="en-US" w:eastAsia="zh-CN" w:bidi="ar-SA"/>
        </w:rPr>
        <w:t>。</w:t>
      </w:r>
    </w:p>
    <w:p w14:paraId="5CCE5F83">
      <w:pPr>
        <w:pStyle w:val="8"/>
        <w:rPr>
          <w:rFonts w:hint="eastAsia" w:ascii="Times New Roman" w:hAnsi="Times New Roman" w:eastAsia="方正仿宋_GBK" w:cs="Times New Roman"/>
          <w:sz w:val="28"/>
          <w:szCs w:val="24"/>
          <w:lang w:val="en-US" w:eastAsia="zh-CN" w:bidi="ar-SA"/>
        </w:rPr>
      </w:pPr>
      <w:r>
        <w:rPr>
          <w:rFonts w:hint="eastAsia" w:cs="Times New Roman"/>
          <w:sz w:val="28"/>
          <w:szCs w:val="24"/>
          <w:lang w:val="en-US" w:eastAsia="zh-CN" w:bidi="ar-SA"/>
        </w:rPr>
        <w:t>2</w:t>
      </w:r>
      <w:r>
        <w:rPr>
          <w:rFonts w:hint="eastAsia" w:ascii="Times New Roman" w:hAnsi="Times New Roman" w:eastAsia="方正仿宋_GBK" w:cs="Times New Roman"/>
          <w:sz w:val="28"/>
          <w:szCs w:val="24"/>
          <w:lang w:val="en-US" w:eastAsia="zh-CN" w:bidi="ar-SA"/>
        </w:rPr>
        <w:t>、贯彻落实好白石山景区管理联席会议制度。</w:t>
      </w:r>
    </w:p>
    <w:p w14:paraId="42BEE645">
      <w:pPr>
        <w:pStyle w:val="8"/>
        <w:rPr>
          <w:rFonts w:hint="eastAsia" w:ascii="Times New Roman" w:hAnsi="Times New Roman" w:eastAsia="方正仿宋_GBK" w:cs="Times New Roman"/>
          <w:sz w:val="28"/>
          <w:szCs w:val="24"/>
          <w:lang w:val="en-US" w:eastAsia="zh-CN" w:bidi="ar-SA"/>
        </w:rPr>
      </w:pPr>
      <w:r>
        <w:rPr>
          <w:rFonts w:hint="eastAsia" w:cs="Times New Roman"/>
          <w:sz w:val="28"/>
          <w:szCs w:val="24"/>
          <w:lang w:val="en-US" w:eastAsia="zh-CN" w:bidi="ar-SA"/>
        </w:rPr>
        <w:t>3</w:t>
      </w:r>
      <w:r>
        <w:rPr>
          <w:rFonts w:hint="eastAsia" w:ascii="Times New Roman" w:hAnsi="Times New Roman" w:eastAsia="方正仿宋_GBK" w:cs="Times New Roman"/>
          <w:sz w:val="28"/>
          <w:szCs w:val="24"/>
          <w:lang w:val="en-US" w:eastAsia="zh-CN" w:bidi="ar-SA"/>
        </w:rPr>
        <w:t>、加快推进景区项目建设。</w:t>
      </w:r>
    </w:p>
    <w:p w14:paraId="7FD4486B">
      <w:pPr>
        <w:numPr>
          <w:ilvl w:val="0"/>
          <w:numId w:val="0"/>
        </w:numPr>
        <w:spacing w:before="10" w:after="10"/>
        <w:ind w:firstLine="560" w:firstLineChars="200"/>
        <w:jc w:val="left"/>
        <w:outlineLvl w:val="1"/>
      </w:pPr>
      <w:r>
        <w:rPr>
          <w:rFonts w:hint="eastAsia" w:cs="Times New Roman"/>
          <w:sz w:val="28"/>
          <w:szCs w:val="24"/>
          <w:lang w:val="en-US" w:eastAsia="zh-CN" w:bidi="ar-SA"/>
        </w:rPr>
        <w:t>4</w:t>
      </w:r>
      <w:r>
        <w:rPr>
          <w:rFonts w:hint="eastAsia" w:ascii="Times New Roman" w:hAnsi="Times New Roman" w:eastAsia="方正仿宋_GBK" w:cs="Times New Roman"/>
          <w:sz w:val="28"/>
          <w:szCs w:val="24"/>
          <w:lang w:val="en-US" w:eastAsia="zh-CN" w:bidi="ar-SA"/>
        </w:rPr>
        <w:t>、加强宣传营销，全方位提升涞源旅游的知名度美誉度。</w:t>
      </w:r>
    </w:p>
    <w:p w14:paraId="6F99874E">
      <w:pPr>
        <w:spacing w:before="10" w:after="10"/>
        <w:ind w:firstLine="560"/>
        <w:jc w:val="left"/>
        <w:outlineLvl w:val="1"/>
      </w:pPr>
      <w:bookmarkStart w:id="1" w:name="_Toc_2_2_0000000002"/>
      <w:r>
        <w:rPr>
          <w:rFonts w:ascii="方正黑体_GBK" w:hAnsi="方正黑体_GBK" w:eastAsia="方正黑体_GBK" w:cs="方正黑体_GBK"/>
          <w:color w:val="000000"/>
          <w:sz w:val="28"/>
        </w:rPr>
        <w:t>二、分项绩效目标</w:t>
      </w:r>
      <w:bookmarkEnd w:id="1"/>
    </w:p>
    <w:p w14:paraId="2579582C">
      <w:pPr>
        <w:pStyle w:val="9"/>
        <w:numPr>
          <w:ilvl w:val="0"/>
          <w:numId w:val="0"/>
        </w:numPr>
        <w:ind w:firstLine="560" w:firstLineChars="20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1、</w:t>
      </w:r>
      <w:r>
        <w:t>旅游厕所维修</w:t>
      </w:r>
      <w:r>
        <w:rPr>
          <w:rFonts w:hint="eastAsia"/>
          <w:lang w:eastAsia="zh-CN"/>
        </w:rPr>
        <w:t>。</w:t>
      </w:r>
    </w:p>
    <w:p w14:paraId="291DA185">
      <w:pPr>
        <w:pStyle w:val="9"/>
      </w:pPr>
      <w:r>
        <w:t>绩效目标:体现人文关怀，体现涞源整体形象，确保为游客提供温馨服务环境。</w:t>
      </w:r>
      <w:r>
        <w:tab/>
      </w:r>
      <w:r>
        <w:tab/>
      </w:r>
    </w:p>
    <w:p w14:paraId="02DBB861">
      <w:pPr>
        <w:pStyle w:val="9"/>
      </w:pPr>
      <w:r>
        <w:t>绩效指标:对旅游厕所维护维修不少于2次，保障旅游厕所的正常使用。</w:t>
      </w:r>
    </w:p>
    <w:p w14:paraId="3F39A606">
      <w:pPr>
        <w:pStyle w:val="9"/>
      </w:pPr>
      <w:r>
        <w:rPr>
          <w:rFonts w:hint="eastAsia"/>
          <w:lang w:val="en-US" w:eastAsia="zh-CN"/>
        </w:rPr>
        <w:t>2、</w:t>
      </w:r>
      <w:r>
        <w:t>做好业务培训工作</w:t>
      </w:r>
    </w:p>
    <w:p w14:paraId="6A6CB831">
      <w:pPr>
        <w:pStyle w:val="9"/>
      </w:pPr>
      <w:r>
        <w:t>绩效目标:通过培训，提升导游、讲解员业务素质提升及从业人员业务素质技能。</w:t>
      </w:r>
      <w:r>
        <w:tab/>
      </w:r>
      <w:r>
        <w:tab/>
      </w:r>
    </w:p>
    <w:p w14:paraId="310F2364">
      <w:pPr>
        <w:pStyle w:val="9"/>
      </w:pPr>
      <w:r>
        <w:t>绩效指标:高质量举办不少于2次培训工作，提高导游、讲解员及从业人员业务素质。</w:t>
      </w:r>
    </w:p>
    <w:p w14:paraId="7DEF2F23">
      <w:pPr>
        <w:numPr>
          <w:ilvl w:val="0"/>
          <w:numId w:val="1"/>
        </w:numPr>
        <w:spacing w:before="10" w:after="10"/>
        <w:ind w:left="0" w:leftChars="0" w:firstLine="560" w:firstLineChars="0"/>
        <w:jc w:val="left"/>
        <w:outlineLvl w:val="1"/>
        <w:rPr>
          <w:rFonts w:ascii="方正黑体_GBK" w:hAnsi="方正黑体_GBK" w:eastAsia="方正黑体_GBK" w:cs="方正黑体_GBK"/>
          <w:color w:val="000000"/>
          <w:sz w:val="28"/>
        </w:rPr>
      </w:pPr>
      <w:bookmarkStart w:id="2" w:name="_Toc_2_2_0000000003"/>
      <w:r>
        <w:rPr>
          <w:rFonts w:ascii="方正黑体_GBK" w:hAnsi="方正黑体_GBK" w:eastAsia="方正黑体_GBK" w:cs="方正黑体_GBK"/>
          <w:color w:val="000000"/>
          <w:sz w:val="28"/>
        </w:rPr>
        <w:t>工作保障措施</w:t>
      </w:r>
      <w:bookmarkEnd w:id="2"/>
    </w:p>
    <w:p w14:paraId="4DBB7C80">
      <w:pPr>
        <w:pStyle w:val="10"/>
      </w:pPr>
      <w:r>
        <w:t>1、完善制度建设。</w:t>
      </w:r>
    </w:p>
    <w:p w14:paraId="294F5351">
      <w:pPr>
        <w:pStyle w:val="10"/>
      </w:pPr>
      <w:r>
        <w:t>制定《专项资金管理办法》，为全年预算绩效目标的实现奠定制度基础。</w:t>
      </w:r>
    </w:p>
    <w:p w14:paraId="2400578A">
      <w:pPr>
        <w:pStyle w:val="10"/>
      </w:pPr>
      <w:r>
        <w:t>2、加强支出管理。</w:t>
      </w:r>
    </w:p>
    <w:p w14:paraId="455D0880">
      <w:pPr>
        <w:pStyle w:val="10"/>
      </w:pPr>
      <w:r>
        <w:t>我</w:t>
      </w:r>
      <w:r>
        <w:rPr>
          <w:rFonts w:hint="eastAsia"/>
          <w:lang w:eastAsia="zh-CN"/>
        </w:rPr>
        <w:t>部门</w:t>
      </w:r>
      <w:r>
        <w:t>通过优化支出结构、编细编实预算、加快履行政府采购手续、尽快启动项目、及时支付资金、6月底前细化代编预算、按规定及时下达资金等多种措施，确保支出进度达标。</w:t>
      </w:r>
    </w:p>
    <w:p w14:paraId="525FC4B3">
      <w:pPr>
        <w:pStyle w:val="10"/>
      </w:pPr>
      <w:r>
        <w:t>3、加强绩效运行监控。</w:t>
      </w:r>
    </w:p>
    <w:p w14:paraId="599D9E99">
      <w:pPr>
        <w:pStyle w:val="10"/>
      </w:pPr>
      <w:r>
        <w:t>我</w:t>
      </w:r>
      <w:r>
        <w:rPr>
          <w:rFonts w:hint="eastAsia"/>
          <w:lang w:eastAsia="zh-CN"/>
        </w:rPr>
        <w:t>部门</w:t>
      </w:r>
      <w:r>
        <w:t>按要求开展了绩效运行监控，发现问题及时采取措施，确保绩效目标如期保质实现。</w:t>
      </w:r>
    </w:p>
    <w:p w14:paraId="5911EC4B">
      <w:pPr>
        <w:pStyle w:val="10"/>
      </w:pPr>
      <w:r>
        <w:t>4、做好绩效自评。</w:t>
      </w:r>
    </w:p>
    <w:p w14:paraId="54CCAAF6">
      <w:pPr>
        <w:pStyle w:val="10"/>
      </w:pPr>
      <w:r>
        <w:t>我</w:t>
      </w:r>
      <w:r>
        <w:rPr>
          <w:rFonts w:hint="eastAsia"/>
          <w:lang w:eastAsia="zh-CN"/>
        </w:rPr>
        <w:t>部门</w:t>
      </w:r>
      <w:r>
        <w:t>按要求开展上年度部门预算绩效自评和重点评价工作，对评价中发现的问题及时整改，调整优化支出结构，提高财政资金使用效益。</w:t>
      </w:r>
    </w:p>
    <w:p w14:paraId="614B52B6">
      <w:pPr>
        <w:pStyle w:val="10"/>
      </w:pPr>
      <w:r>
        <w:t>5、规范财务资产管理。</w:t>
      </w:r>
    </w:p>
    <w:p w14:paraId="6750BBEC">
      <w:pPr>
        <w:pStyle w:val="10"/>
      </w:pPr>
      <w:r>
        <w:t>完善财务管理制度，严格审批程序，加强固定资产登记、使用和报废处。置管理，做到支出合理，物尽其用。</w:t>
      </w:r>
    </w:p>
    <w:p w14:paraId="1D214B9B">
      <w:pPr>
        <w:pStyle w:val="10"/>
      </w:pPr>
      <w:r>
        <w:t>6、加强内部监督。</w:t>
      </w:r>
    </w:p>
    <w:p w14:paraId="2305B976">
      <w:pPr>
        <w:pStyle w:val="10"/>
      </w:pPr>
      <w:r>
        <w:t>加强内部监督制度建设，对绩效运行情况、重大支出决策、资产处置及其他重要经济业务事项的决策和执行进行监督，对会计资料进行内部审计，并配合做好审计、财政监督等外部监督工作，确保财政资金安全有效。</w:t>
      </w:r>
    </w:p>
    <w:p w14:paraId="49F098AA">
      <w:pPr>
        <w:pStyle w:val="10"/>
      </w:pPr>
      <w:r>
        <w:t>7、加强宣传宣传培训调研等。</w:t>
      </w:r>
    </w:p>
    <w:p w14:paraId="48B144CA">
      <w:pPr>
        <w:pStyle w:val="10"/>
        <w:rPr>
          <w:rFonts w:hint="eastAsia" w:eastAsia="方正仿宋_GBK"/>
          <w:lang w:val="en-US" w:eastAsia="zh-CN"/>
        </w:rPr>
      </w:pPr>
      <w:r>
        <w:t>加强人员培训，提高本部门职工业务素质;加强调研，提出优化财政资金配置、提高资金使用效益的意见;加大宣传力度。强化预算绩效管理意识，促进预算绩效管理水平进一步提升</w:t>
      </w:r>
      <w:r>
        <w:rPr>
          <w:rFonts w:hint="eastAsia"/>
          <w:lang w:eastAsia="zh-CN"/>
        </w:rPr>
        <w:t>。</w:t>
      </w:r>
    </w:p>
    <w:p w14:paraId="50E7FBDB">
      <w:pPr>
        <w:numPr>
          <w:ilvl w:val="0"/>
          <w:numId w:val="0"/>
        </w:numPr>
        <w:spacing w:before="10" w:after="10"/>
        <w:ind w:left="560" w:leftChars="0"/>
        <w:jc w:val="left"/>
        <w:outlineLvl w:val="1"/>
        <w:rPr>
          <w:rFonts w:ascii="方正黑体_GBK" w:hAnsi="方正黑体_GBK" w:eastAsia="方正黑体_GBK" w:cs="方正黑体_GBK"/>
          <w:color w:val="000000"/>
          <w:sz w:val="28"/>
        </w:rPr>
      </w:pPr>
    </w:p>
    <w:p w14:paraId="1869A49D">
      <w:pPr>
        <w:pStyle w:val="10"/>
      </w:pPr>
    </w:p>
    <w:p w14:paraId="3538D4AA">
      <w:pPr>
        <w:spacing w:before="0" w:after="0" w:line="240" w:lineRule="auto"/>
        <w:ind w:firstLine="0"/>
        <w:jc w:val="center"/>
        <w:outlineLvl w:val="9"/>
        <w:sectPr>
          <w:pgSz w:w="11900" w:h="16840"/>
          <w:pgMar w:top="1984" w:right="1304" w:bottom="1134" w:left="1304" w:header="720" w:footer="720" w:gutter="0"/>
          <w:pgNumType w:start="1"/>
          <w:cols w:space="720" w:num="1"/>
        </w:sectPr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p w14:paraId="0B43D580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32C2AA9E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34936D69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46312FD4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第二部分</w:t>
      </w:r>
    </w:p>
    <w:p w14:paraId="6545CA95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 xml:space="preserve"> </w:t>
      </w:r>
    </w:p>
    <w:p w14:paraId="296B1D58">
      <w:pPr>
        <w:spacing w:before="0" w:after="0" w:line="240" w:lineRule="auto"/>
        <w:ind w:firstLine="0"/>
        <w:jc w:val="center"/>
        <w:outlineLvl w:val="0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预算项目绩效目标</w:t>
      </w:r>
    </w:p>
    <w:p w14:paraId="7213D481">
      <w:pPr>
        <w:spacing w:before="0" w:after="0" w:line="240" w:lineRule="auto"/>
        <w:ind w:firstLine="0"/>
        <w:jc w:val="center"/>
        <w:outlineLvl w:val="9"/>
        <w:sectPr>
          <w:pgSz w:w="11900" w:h="16840"/>
          <w:pgMar w:top="1984" w:right="1304" w:bottom="1134" w:left="1304" w:header="720" w:footer="720" w:gutter="0"/>
          <w:cols w:space="720" w:num="1"/>
        </w:sectPr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p w14:paraId="5D660C84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42D69385">
      <w:pPr>
        <w:spacing w:before="0" w:after="0"/>
        <w:ind w:firstLine="560"/>
        <w:jc w:val="left"/>
        <w:outlineLvl w:val="3"/>
      </w:pPr>
      <w:bookmarkStart w:id="3" w:name="_Toc_4_4_0000000004"/>
      <w:r>
        <w:rPr>
          <w:rFonts w:ascii="方正仿宋_GBK" w:hAnsi="方正仿宋_GBK" w:eastAsia="方正仿宋_GBK" w:cs="方正仿宋_GBK"/>
          <w:color w:val="000000"/>
          <w:sz w:val="28"/>
        </w:rPr>
        <w:t>1.旅游厕所经费绩效目标表</w:t>
      </w:r>
      <w:bookmarkEnd w:id="3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08996DE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46D00E6B">
            <w:pPr>
              <w:pStyle w:val="12"/>
            </w:pPr>
            <w:r>
              <w:t>813001涞源县白石山景区管理委员会本级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2F7998F2">
            <w:pPr>
              <w:pStyle w:val="11"/>
            </w:pPr>
            <w:r>
              <w:t>单位：万元</w:t>
            </w:r>
          </w:p>
        </w:tc>
      </w:tr>
      <w:tr w14:paraId="7C63E8C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2C2076F5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545F0D83">
            <w:pPr>
              <w:pStyle w:val="13"/>
            </w:pPr>
            <w:r>
              <w:t>13063026P00009210010N</w:t>
            </w:r>
          </w:p>
        </w:tc>
        <w:tc>
          <w:tcPr>
            <w:tcW w:w="1587" w:type="dxa"/>
            <w:vAlign w:val="center"/>
          </w:tcPr>
          <w:p w14:paraId="48BAFC66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7BCB5C29">
            <w:pPr>
              <w:pStyle w:val="13"/>
            </w:pPr>
            <w:r>
              <w:t>旅游厕所经费</w:t>
            </w:r>
          </w:p>
        </w:tc>
      </w:tr>
      <w:tr w14:paraId="3B8AC60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0C2B85B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50FDBF2A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57AEE6FA">
            <w:pPr>
              <w:pStyle w:val="13"/>
            </w:pPr>
            <w:r>
              <w:t>2.00</w:t>
            </w:r>
          </w:p>
        </w:tc>
        <w:tc>
          <w:tcPr>
            <w:tcW w:w="1587" w:type="dxa"/>
            <w:vAlign w:val="center"/>
          </w:tcPr>
          <w:p w14:paraId="04985F1A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5C51474A">
            <w:pPr>
              <w:pStyle w:val="13"/>
            </w:pPr>
            <w:r>
              <w:t>2.00</w:t>
            </w:r>
          </w:p>
        </w:tc>
        <w:tc>
          <w:tcPr>
            <w:tcW w:w="1276" w:type="dxa"/>
            <w:vAlign w:val="center"/>
          </w:tcPr>
          <w:p w14:paraId="08A1DC88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2461BB49">
            <w:pPr>
              <w:pStyle w:val="13"/>
            </w:pPr>
            <w:r>
              <w:t xml:space="preserve"> </w:t>
            </w:r>
          </w:p>
        </w:tc>
      </w:tr>
      <w:tr w14:paraId="529B1DD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25CB941A"/>
        </w:tc>
        <w:tc>
          <w:tcPr>
            <w:tcW w:w="8618" w:type="dxa"/>
            <w:gridSpan w:val="6"/>
            <w:vAlign w:val="center"/>
          </w:tcPr>
          <w:p w14:paraId="4E23D329">
            <w:pPr>
              <w:pStyle w:val="13"/>
            </w:pPr>
            <w:r>
              <w:t>旅游厕所维护维修费用。</w:t>
            </w:r>
          </w:p>
        </w:tc>
      </w:tr>
      <w:tr w14:paraId="0C96220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C9A66A2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61E491E0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72960FDB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3FB97FBA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0369C60F">
            <w:pPr>
              <w:pStyle w:val="14"/>
            </w:pPr>
            <w:r>
              <w:t>12月底</w:t>
            </w:r>
          </w:p>
        </w:tc>
      </w:tr>
      <w:tr w14:paraId="4E44FD0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2E8588B0"/>
        </w:tc>
        <w:tc>
          <w:tcPr>
            <w:tcW w:w="2608" w:type="dxa"/>
            <w:gridSpan w:val="2"/>
            <w:vAlign w:val="center"/>
          </w:tcPr>
          <w:p w14:paraId="747A849E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319B579A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00DA4664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6B4F9A30">
            <w:pPr>
              <w:pStyle w:val="15"/>
            </w:pPr>
            <w:r>
              <w:t>100%</w:t>
            </w:r>
          </w:p>
        </w:tc>
      </w:tr>
      <w:tr w14:paraId="18D9C87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07D570D4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44FD7D7D">
            <w:pPr>
              <w:pStyle w:val="13"/>
            </w:pPr>
            <w:r>
              <w:t>1.体现人文关怀，体现涞源整体形象，确保为游客提供温馨服务环境。</w:t>
            </w:r>
          </w:p>
        </w:tc>
      </w:tr>
    </w:tbl>
    <w:p w14:paraId="0B36D23E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989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054"/>
        <w:gridCol w:w="1156"/>
        <w:gridCol w:w="2800"/>
      </w:tblGrid>
      <w:tr w14:paraId="1184735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1098D04A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3BF4FA64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681769D6">
            <w:pPr>
              <w:pStyle w:val="14"/>
            </w:pPr>
            <w:r>
              <w:t>三级指标</w:t>
            </w:r>
          </w:p>
        </w:tc>
        <w:tc>
          <w:tcPr>
            <w:tcW w:w="2054" w:type="dxa"/>
            <w:vAlign w:val="center"/>
          </w:tcPr>
          <w:p w14:paraId="11CE7A06">
            <w:pPr>
              <w:pStyle w:val="14"/>
            </w:pPr>
            <w:r>
              <w:t>绩效指标描述</w:t>
            </w:r>
          </w:p>
        </w:tc>
        <w:tc>
          <w:tcPr>
            <w:tcW w:w="1156" w:type="dxa"/>
            <w:vAlign w:val="center"/>
          </w:tcPr>
          <w:p w14:paraId="3FA4793F">
            <w:pPr>
              <w:pStyle w:val="14"/>
            </w:pPr>
            <w:r>
              <w:t>指标值</w:t>
            </w:r>
          </w:p>
        </w:tc>
        <w:tc>
          <w:tcPr>
            <w:tcW w:w="2800" w:type="dxa"/>
            <w:vAlign w:val="center"/>
          </w:tcPr>
          <w:p w14:paraId="774090D9">
            <w:pPr>
              <w:pStyle w:val="14"/>
            </w:pPr>
            <w:r>
              <w:t>指标值确定依据</w:t>
            </w:r>
          </w:p>
        </w:tc>
      </w:tr>
      <w:tr w14:paraId="44DEDF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C88E9FB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57659EC4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05E15BCD">
            <w:pPr>
              <w:pStyle w:val="13"/>
            </w:pPr>
            <w:r>
              <w:t>维护维修</w:t>
            </w:r>
          </w:p>
        </w:tc>
        <w:tc>
          <w:tcPr>
            <w:tcW w:w="2054" w:type="dxa"/>
            <w:vAlign w:val="center"/>
          </w:tcPr>
          <w:p w14:paraId="7D9DAD6E">
            <w:pPr>
              <w:pStyle w:val="13"/>
            </w:pPr>
            <w:r>
              <w:t>维护维修次数</w:t>
            </w:r>
          </w:p>
        </w:tc>
        <w:tc>
          <w:tcPr>
            <w:tcW w:w="1156" w:type="dxa"/>
            <w:vAlign w:val="center"/>
          </w:tcPr>
          <w:p w14:paraId="47CDCA0A">
            <w:pPr>
              <w:pStyle w:val="13"/>
            </w:pPr>
            <w:r>
              <w:t>≥2次</w:t>
            </w:r>
          </w:p>
        </w:tc>
        <w:tc>
          <w:tcPr>
            <w:tcW w:w="2800" w:type="dxa"/>
            <w:vAlign w:val="center"/>
          </w:tcPr>
          <w:p w14:paraId="1B87D02A">
            <w:pPr>
              <w:pStyle w:val="13"/>
            </w:pPr>
            <w:r>
              <w:t>《涞源县城乡环卫工程市场化特许经营协议合同》之补充协议、年度工作计划。</w:t>
            </w:r>
          </w:p>
          <w:p w14:paraId="4617CBDD">
            <w:pPr>
              <w:pStyle w:val="13"/>
            </w:pPr>
          </w:p>
        </w:tc>
      </w:tr>
      <w:tr w14:paraId="5514F7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7CD2735"/>
        </w:tc>
        <w:tc>
          <w:tcPr>
            <w:tcW w:w="1276" w:type="dxa"/>
            <w:vAlign w:val="center"/>
          </w:tcPr>
          <w:p w14:paraId="5B2FA440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07586D43">
            <w:pPr>
              <w:pStyle w:val="13"/>
            </w:pPr>
            <w:r>
              <w:t>维护维修完成率（%）</w:t>
            </w:r>
          </w:p>
        </w:tc>
        <w:tc>
          <w:tcPr>
            <w:tcW w:w="2054" w:type="dxa"/>
            <w:vAlign w:val="center"/>
          </w:tcPr>
          <w:p w14:paraId="0922EF8F">
            <w:pPr>
              <w:pStyle w:val="13"/>
            </w:pPr>
            <w:r>
              <w:t>保障旅游厕所的正常使用</w:t>
            </w:r>
          </w:p>
        </w:tc>
        <w:tc>
          <w:tcPr>
            <w:tcW w:w="1156" w:type="dxa"/>
            <w:vAlign w:val="center"/>
          </w:tcPr>
          <w:p w14:paraId="4C234DAE">
            <w:pPr>
              <w:pStyle w:val="13"/>
            </w:pPr>
            <w:r>
              <w:t>100%</w:t>
            </w:r>
          </w:p>
        </w:tc>
        <w:tc>
          <w:tcPr>
            <w:tcW w:w="2800" w:type="dxa"/>
            <w:vAlign w:val="center"/>
          </w:tcPr>
          <w:p w14:paraId="72E82FB6">
            <w:pPr>
              <w:pStyle w:val="13"/>
            </w:pPr>
            <w:r>
              <w:t>《涞源县城乡环卫工程市场化特许经营协议合同》之补充协议、年度工作计划。</w:t>
            </w:r>
          </w:p>
          <w:p w14:paraId="7E910D4C">
            <w:pPr>
              <w:pStyle w:val="13"/>
            </w:pPr>
          </w:p>
        </w:tc>
      </w:tr>
      <w:tr w14:paraId="7B5701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938FB87"/>
        </w:tc>
        <w:tc>
          <w:tcPr>
            <w:tcW w:w="1276" w:type="dxa"/>
            <w:vAlign w:val="center"/>
          </w:tcPr>
          <w:p w14:paraId="542CF59A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51591BA1">
            <w:pPr>
              <w:pStyle w:val="13"/>
            </w:pPr>
            <w:r>
              <w:t>维护维修及时率（%）</w:t>
            </w:r>
          </w:p>
        </w:tc>
        <w:tc>
          <w:tcPr>
            <w:tcW w:w="2054" w:type="dxa"/>
            <w:vAlign w:val="center"/>
          </w:tcPr>
          <w:p w14:paraId="27DF8BDE">
            <w:pPr>
              <w:pStyle w:val="13"/>
            </w:pPr>
            <w:r>
              <w:t>旅游厕所的维护维修及时完成</w:t>
            </w:r>
          </w:p>
        </w:tc>
        <w:tc>
          <w:tcPr>
            <w:tcW w:w="1156" w:type="dxa"/>
            <w:vAlign w:val="center"/>
          </w:tcPr>
          <w:p w14:paraId="5E24C1BD">
            <w:pPr>
              <w:pStyle w:val="13"/>
            </w:pPr>
            <w:r>
              <w:t>100%</w:t>
            </w:r>
          </w:p>
        </w:tc>
        <w:tc>
          <w:tcPr>
            <w:tcW w:w="2800" w:type="dxa"/>
            <w:vAlign w:val="center"/>
          </w:tcPr>
          <w:p w14:paraId="5FE6D608">
            <w:pPr>
              <w:pStyle w:val="13"/>
            </w:pPr>
            <w:r>
              <w:t>《涞源县城乡环卫工程市场化特许经营协议合同》之补充协议、年度工作计划。</w:t>
            </w:r>
          </w:p>
          <w:p w14:paraId="0B4941A8">
            <w:pPr>
              <w:pStyle w:val="13"/>
            </w:pPr>
          </w:p>
        </w:tc>
      </w:tr>
      <w:tr w14:paraId="108A96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A9670A1"/>
        </w:tc>
        <w:tc>
          <w:tcPr>
            <w:tcW w:w="1276" w:type="dxa"/>
            <w:vAlign w:val="center"/>
          </w:tcPr>
          <w:p w14:paraId="2E930644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3E7DC2B6">
            <w:pPr>
              <w:pStyle w:val="13"/>
            </w:pPr>
            <w:r>
              <w:t>预算执行率</w:t>
            </w:r>
          </w:p>
        </w:tc>
        <w:tc>
          <w:tcPr>
            <w:tcW w:w="2054" w:type="dxa"/>
            <w:vAlign w:val="center"/>
          </w:tcPr>
          <w:p w14:paraId="390B40CE">
            <w:pPr>
              <w:pStyle w:val="13"/>
            </w:pPr>
            <w:r>
              <w:t>实际支出÷预算*100%</w:t>
            </w:r>
          </w:p>
        </w:tc>
        <w:tc>
          <w:tcPr>
            <w:tcW w:w="1156" w:type="dxa"/>
            <w:vAlign w:val="center"/>
          </w:tcPr>
          <w:p w14:paraId="5F66C560">
            <w:pPr>
              <w:pStyle w:val="13"/>
            </w:pPr>
            <w:r>
              <w:t>≤100%</w:t>
            </w:r>
          </w:p>
        </w:tc>
        <w:tc>
          <w:tcPr>
            <w:tcW w:w="2800" w:type="dxa"/>
            <w:vAlign w:val="center"/>
          </w:tcPr>
          <w:p w14:paraId="096F3B85">
            <w:pPr>
              <w:pStyle w:val="13"/>
            </w:pPr>
            <w:r>
              <w:t>《涞源县城乡环卫工程市场化特许经营协议合同》之补充协议、年度工作计划。</w:t>
            </w:r>
          </w:p>
          <w:p w14:paraId="7D63D910">
            <w:pPr>
              <w:pStyle w:val="13"/>
            </w:pPr>
          </w:p>
        </w:tc>
      </w:tr>
      <w:tr w14:paraId="5B5D8C1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6B726091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4543A941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1968CCBF">
            <w:pPr>
              <w:pStyle w:val="13"/>
            </w:pPr>
            <w:r>
              <w:t>游客体验</w:t>
            </w:r>
          </w:p>
        </w:tc>
        <w:tc>
          <w:tcPr>
            <w:tcW w:w="2054" w:type="dxa"/>
            <w:vAlign w:val="center"/>
          </w:tcPr>
          <w:p w14:paraId="2D4E3569">
            <w:pPr>
              <w:pStyle w:val="13"/>
            </w:pPr>
            <w:r>
              <w:t>提高游客体验度</w:t>
            </w:r>
          </w:p>
        </w:tc>
        <w:tc>
          <w:tcPr>
            <w:tcW w:w="1156" w:type="dxa"/>
            <w:vAlign w:val="center"/>
          </w:tcPr>
          <w:p w14:paraId="59F91491">
            <w:pPr>
              <w:pStyle w:val="13"/>
            </w:pPr>
            <w:r>
              <w:t>显著提高</w:t>
            </w:r>
          </w:p>
        </w:tc>
        <w:tc>
          <w:tcPr>
            <w:tcW w:w="2800" w:type="dxa"/>
            <w:vAlign w:val="center"/>
          </w:tcPr>
          <w:p w14:paraId="10C589D6">
            <w:pPr>
              <w:pStyle w:val="13"/>
            </w:pPr>
            <w:r>
              <w:t>《涞源县城乡环卫工程市场化特许经营协议合同》之补充协议、年度工作计划。</w:t>
            </w:r>
          </w:p>
          <w:p w14:paraId="5B0868A9">
            <w:pPr>
              <w:pStyle w:val="13"/>
            </w:pPr>
          </w:p>
        </w:tc>
      </w:tr>
      <w:tr w14:paraId="2AC38E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F5DA06F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279F840B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3F24B0C9">
            <w:pPr>
              <w:pStyle w:val="13"/>
            </w:pPr>
            <w:r>
              <w:t>满意率（%）</w:t>
            </w:r>
          </w:p>
        </w:tc>
        <w:tc>
          <w:tcPr>
            <w:tcW w:w="2054" w:type="dxa"/>
            <w:vAlign w:val="center"/>
          </w:tcPr>
          <w:p w14:paraId="5EBD3A1F">
            <w:pPr>
              <w:pStyle w:val="13"/>
            </w:pPr>
            <w:r>
              <w:t>游客满意度</w:t>
            </w:r>
          </w:p>
        </w:tc>
        <w:tc>
          <w:tcPr>
            <w:tcW w:w="1156" w:type="dxa"/>
            <w:vAlign w:val="center"/>
          </w:tcPr>
          <w:p w14:paraId="74BF5921">
            <w:pPr>
              <w:pStyle w:val="13"/>
            </w:pPr>
            <w:r>
              <w:t>≥90%</w:t>
            </w:r>
          </w:p>
        </w:tc>
        <w:tc>
          <w:tcPr>
            <w:tcW w:w="2800" w:type="dxa"/>
            <w:vAlign w:val="center"/>
          </w:tcPr>
          <w:p w14:paraId="69245E9B">
            <w:pPr>
              <w:pStyle w:val="13"/>
            </w:pPr>
            <w:r>
              <w:t>调查问卷</w:t>
            </w:r>
          </w:p>
        </w:tc>
      </w:tr>
    </w:tbl>
    <w:p w14:paraId="63E92D69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304BB064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330C79A1">
      <w:pPr>
        <w:spacing w:before="0" w:after="0"/>
        <w:ind w:firstLine="560"/>
        <w:jc w:val="left"/>
        <w:outlineLvl w:val="3"/>
      </w:pPr>
      <w:bookmarkStart w:id="4" w:name="_Toc_4_4_0000000005"/>
      <w:r>
        <w:rPr>
          <w:rFonts w:ascii="方正仿宋_GBK" w:hAnsi="方正仿宋_GBK" w:eastAsia="方正仿宋_GBK" w:cs="方正仿宋_GBK"/>
          <w:color w:val="000000"/>
          <w:sz w:val="28"/>
        </w:rPr>
        <w:t>2.业务培训费绩效目标表</w:t>
      </w:r>
      <w:bookmarkEnd w:id="4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2E736A79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B124EBB">
            <w:pPr>
              <w:pStyle w:val="12"/>
            </w:pPr>
            <w:r>
              <w:t>813001涞源县白石山景区管理委员会本级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7BC88CCE">
            <w:pPr>
              <w:pStyle w:val="11"/>
            </w:pPr>
            <w:r>
              <w:t>单位：万元</w:t>
            </w:r>
          </w:p>
        </w:tc>
      </w:tr>
      <w:tr w14:paraId="5CA2A9F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316664F6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2D2E4079">
            <w:pPr>
              <w:pStyle w:val="13"/>
            </w:pPr>
            <w:r>
              <w:t>13063026P00009210011A</w:t>
            </w:r>
          </w:p>
        </w:tc>
        <w:tc>
          <w:tcPr>
            <w:tcW w:w="1587" w:type="dxa"/>
            <w:vAlign w:val="center"/>
          </w:tcPr>
          <w:p w14:paraId="4588F0F4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2F10C60F">
            <w:pPr>
              <w:pStyle w:val="13"/>
            </w:pPr>
            <w:r>
              <w:t>业务培训费</w:t>
            </w:r>
          </w:p>
        </w:tc>
      </w:tr>
      <w:tr w14:paraId="7BA4285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4DE8725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1587CB52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4D55E81E">
            <w:pPr>
              <w:pStyle w:val="13"/>
            </w:pPr>
            <w:r>
              <w:t>4.70</w:t>
            </w:r>
          </w:p>
        </w:tc>
        <w:tc>
          <w:tcPr>
            <w:tcW w:w="1587" w:type="dxa"/>
            <w:vAlign w:val="center"/>
          </w:tcPr>
          <w:p w14:paraId="714F2E42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237D6BDE">
            <w:pPr>
              <w:pStyle w:val="13"/>
            </w:pPr>
            <w:r>
              <w:t>4.70</w:t>
            </w:r>
          </w:p>
        </w:tc>
        <w:tc>
          <w:tcPr>
            <w:tcW w:w="1276" w:type="dxa"/>
            <w:vAlign w:val="center"/>
          </w:tcPr>
          <w:p w14:paraId="73D8102F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142B14D2">
            <w:pPr>
              <w:pStyle w:val="13"/>
            </w:pPr>
            <w:r>
              <w:t xml:space="preserve"> </w:t>
            </w:r>
          </w:p>
        </w:tc>
      </w:tr>
      <w:tr w14:paraId="33434B0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2A44845E"/>
        </w:tc>
        <w:tc>
          <w:tcPr>
            <w:tcW w:w="8618" w:type="dxa"/>
            <w:gridSpan w:val="6"/>
            <w:vAlign w:val="center"/>
          </w:tcPr>
          <w:p w14:paraId="5403C70F">
            <w:pPr>
              <w:pStyle w:val="13"/>
            </w:pPr>
            <w:r>
              <w:t>增强旅游企业从业人员的政治意识、政治站位,从业能力和服务水平，提升导游讲解人员的素质与水平。</w:t>
            </w:r>
          </w:p>
        </w:tc>
      </w:tr>
      <w:tr w14:paraId="49B8543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745271D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6C8CE50B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61420D7F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0CECAE3A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7F5DD41D">
            <w:pPr>
              <w:pStyle w:val="14"/>
            </w:pPr>
            <w:r>
              <w:t>12月底</w:t>
            </w:r>
          </w:p>
        </w:tc>
      </w:tr>
      <w:tr w14:paraId="61435241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0BEC357E"/>
        </w:tc>
        <w:tc>
          <w:tcPr>
            <w:tcW w:w="2608" w:type="dxa"/>
            <w:gridSpan w:val="2"/>
            <w:vAlign w:val="center"/>
          </w:tcPr>
          <w:p w14:paraId="536868FD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76AE37A5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48D470CC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700E3F11">
            <w:pPr>
              <w:pStyle w:val="15"/>
            </w:pPr>
            <w:r>
              <w:t>100%</w:t>
            </w:r>
          </w:p>
        </w:tc>
      </w:tr>
      <w:tr w14:paraId="2F0CE55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319B6FD4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47412BD8">
            <w:pPr>
              <w:pStyle w:val="13"/>
            </w:pPr>
            <w:r>
              <w:t>1.通过培训增强政治意识、提升政治站位，宣传扫培树企业依法经营、诚信经营思想意识，了解掌握旅游扶贫政策，深入了解扫黑除恶专项斗争形势和普法教育工作，培训满意度达95%以上。</w:t>
            </w:r>
          </w:p>
          <w:p w14:paraId="14A6354F">
            <w:pPr>
              <w:pStyle w:val="13"/>
            </w:pPr>
            <w:r>
              <w:t>2.通过培训，提升导游讲解人员的素质与水平，能够独立完成景区点的讲解工作任务，培训满意度达90%以上。</w:t>
            </w:r>
          </w:p>
          <w:p w14:paraId="6CC4881E">
            <w:pPr>
              <w:pStyle w:val="13"/>
            </w:pPr>
            <w:r>
              <w:t>3.通过培训，普遍提升旅游企业从业人员的从业能力和服务水平，强化诚信经营意识、增强安全生产意识，培训满意度达90%以上。</w:t>
            </w:r>
          </w:p>
        </w:tc>
      </w:tr>
    </w:tbl>
    <w:p w14:paraId="5D1033CF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989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72"/>
        <w:gridCol w:w="1189"/>
        <w:gridCol w:w="3249"/>
      </w:tblGrid>
      <w:tr w14:paraId="38AA79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612921E6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49000367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3A98C3F4">
            <w:pPr>
              <w:pStyle w:val="14"/>
            </w:pPr>
            <w:r>
              <w:t>三级指标</w:t>
            </w:r>
          </w:p>
        </w:tc>
        <w:tc>
          <w:tcPr>
            <w:tcW w:w="1572" w:type="dxa"/>
            <w:vAlign w:val="center"/>
          </w:tcPr>
          <w:p w14:paraId="27922E0E">
            <w:pPr>
              <w:pStyle w:val="14"/>
            </w:pPr>
            <w:r>
              <w:t>绩效指标描述</w:t>
            </w:r>
          </w:p>
        </w:tc>
        <w:tc>
          <w:tcPr>
            <w:tcW w:w="1189" w:type="dxa"/>
            <w:vAlign w:val="center"/>
          </w:tcPr>
          <w:p w14:paraId="2D5F5758">
            <w:pPr>
              <w:pStyle w:val="14"/>
            </w:pPr>
            <w:r>
              <w:t>指标值</w:t>
            </w:r>
          </w:p>
        </w:tc>
        <w:tc>
          <w:tcPr>
            <w:tcW w:w="3249" w:type="dxa"/>
            <w:vAlign w:val="center"/>
          </w:tcPr>
          <w:p w14:paraId="52CF80C4">
            <w:pPr>
              <w:pStyle w:val="14"/>
            </w:pPr>
            <w:r>
              <w:t>指标值确定依据</w:t>
            </w:r>
          </w:p>
        </w:tc>
      </w:tr>
      <w:tr w14:paraId="0A196F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0670D8A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28DFE433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394EE8D1">
            <w:pPr>
              <w:pStyle w:val="13"/>
            </w:pPr>
            <w:r>
              <w:t>培训次数</w:t>
            </w:r>
          </w:p>
        </w:tc>
        <w:tc>
          <w:tcPr>
            <w:tcW w:w="1572" w:type="dxa"/>
            <w:vAlign w:val="center"/>
          </w:tcPr>
          <w:p w14:paraId="19592BAC">
            <w:pPr>
              <w:pStyle w:val="13"/>
            </w:pPr>
            <w:r>
              <w:t>开展2次培训</w:t>
            </w:r>
          </w:p>
        </w:tc>
        <w:tc>
          <w:tcPr>
            <w:tcW w:w="1189" w:type="dxa"/>
            <w:vAlign w:val="center"/>
          </w:tcPr>
          <w:p w14:paraId="67F42D59">
            <w:pPr>
              <w:pStyle w:val="13"/>
            </w:pPr>
            <w:r>
              <w:t>2次</w:t>
            </w:r>
          </w:p>
        </w:tc>
        <w:tc>
          <w:tcPr>
            <w:tcW w:w="3249" w:type="dxa"/>
            <w:vAlign w:val="center"/>
          </w:tcPr>
          <w:p w14:paraId="7E252A12">
            <w:pPr>
              <w:pStyle w:val="13"/>
            </w:pPr>
            <w:r>
              <w:t>《《2024年导游讲解员培训合作协议书》（2025年合作协议书暂未签订）、中共涞源县委领导议事纪要〔2025〕19号——文旅融合发展专班会议纪要、年度工作计划。</w:t>
            </w:r>
          </w:p>
        </w:tc>
      </w:tr>
      <w:tr w14:paraId="503296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AF0630E"/>
        </w:tc>
        <w:tc>
          <w:tcPr>
            <w:tcW w:w="1276" w:type="dxa"/>
            <w:vAlign w:val="center"/>
          </w:tcPr>
          <w:p w14:paraId="6B059960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543249CE">
            <w:pPr>
              <w:pStyle w:val="13"/>
            </w:pPr>
            <w:r>
              <w:t>培训完成率（%）</w:t>
            </w:r>
          </w:p>
        </w:tc>
        <w:tc>
          <w:tcPr>
            <w:tcW w:w="1572" w:type="dxa"/>
            <w:vAlign w:val="center"/>
          </w:tcPr>
          <w:p w14:paraId="785FBCE7">
            <w:pPr>
              <w:pStyle w:val="13"/>
            </w:pPr>
            <w:r>
              <w:t>高质量举办培训工作</w:t>
            </w:r>
          </w:p>
        </w:tc>
        <w:tc>
          <w:tcPr>
            <w:tcW w:w="1189" w:type="dxa"/>
            <w:vAlign w:val="center"/>
          </w:tcPr>
          <w:p w14:paraId="436EECF7">
            <w:pPr>
              <w:pStyle w:val="13"/>
            </w:pPr>
            <w:r>
              <w:t>100%</w:t>
            </w:r>
          </w:p>
        </w:tc>
        <w:tc>
          <w:tcPr>
            <w:tcW w:w="3249" w:type="dxa"/>
            <w:vAlign w:val="center"/>
          </w:tcPr>
          <w:p w14:paraId="039CC3BC">
            <w:pPr>
              <w:pStyle w:val="13"/>
            </w:pPr>
            <w:r>
              <w:t>《《2024年导游讲解员培训合作协议书》（2025年合作协议书暂未签订）、中共涞源县委领导议事纪要〔2025〕19号——文旅融合发展专班会议纪要、年度工作计划。</w:t>
            </w:r>
          </w:p>
        </w:tc>
      </w:tr>
      <w:tr w14:paraId="2625E4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66C5CC2"/>
        </w:tc>
        <w:tc>
          <w:tcPr>
            <w:tcW w:w="1276" w:type="dxa"/>
            <w:vAlign w:val="center"/>
          </w:tcPr>
          <w:p w14:paraId="5B0921CF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0F8E8BC8">
            <w:pPr>
              <w:pStyle w:val="13"/>
            </w:pPr>
            <w:r>
              <w:t>业务培训完成及时率</w:t>
            </w:r>
          </w:p>
        </w:tc>
        <w:tc>
          <w:tcPr>
            <w:tcW w:w="1572" w:type="dxa"/>
            <w:vAlign w:val="center"/>
          </w:tcPr>
          <w:p w14:paraId="081CE525">
            <w:pPr>
              <w:pStyle w:val="13"/>
            </w:pPr>
            <w:r>
              <w:t>业务培训按计划及时完成</w:t>
            </w:r>
          </w:p>
        </w:tc>
        <w:tc>
          <w:tcPr>
            <w:tcW w:w="1189" w:type="dxa"/>
            <w:vAlign w:val="center"/>
          </w:tcPr>
          <w:p w14:paraId="192531B9">
            <w:pPr>
              <w:pStyle w:val="13"/>
            </w:pPr>
            <w:r>
              <w:t>100%</w:t>
            </w:r>
          </w:p>
        </w:tc>
        <w:tc>
          <w:tcPr>
            <w:tcW w:w="3249" w:type="dxa"/>
            <w:vAlign w:val="center"/>
          </w:tcPr>
          <w:p w14:paraId="21A65731">
            <w:pPr>
              <w:pStyle w:val="13"/>
            </w:pPr>
            <w:r>
              <w:t>《《2024年导游讲解员培训合作协议书》（2025年合作协议书暂未签订）、中共涞源县委领导议事纪要〔2025〕19号——文旅融合发展专班会议纪要、年度工作计划。</w:t>
            </w:r>
          </w:p>
        </w:tc>
      </w:tr>
      <w:tr w14:paraId="740688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C6BC36F"/>
        </w:tc>
        <w:tc>
          <w:tcPr>
            <w:tcW w:w="1276" w:type="dxa"/>
            <w:vAlign w:val="center"/>
          </w:tcPr>
          <w:p w14:paraId="59C04801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04B0D147">
            <w:pPr>
              <w:pStyle w:val="13"/>
            </w:pPr>
            <w:r>
              <w:t>预算执行率</w:t>
            </w:r>
          </w:p>
        </w:tc>
        <w:tc>
          <w:tcPr>
            <w:tcW w:w="1572" w:type="dxa"/>
            <w:vAlign w:val="center"/>
          </w:tcPr>
          <w:p w14:paraId="0F592975">
            <w:pPr>
              <w:pStyle w:val="13"/>
            </w:pPr>
            <w:r>
              <w:t>实际支出÷预算*100%</w:t>
            </w:r>
          </w:p>
        </w:tc>
        <w:tc>
          <w:tcPr>
            <w:tcW w:w="1189" w:type="dxa"/>
            <w:vAlign w:val="center"/>
          </w:tcPr>
          <w:p w14:paraId="4AF68C1D">
            <w:pPr>
              <w:pStyle w:val="13"/>
            </w:pPr>
            <w:r>
              <w:t>≤100%</w:t>
            </w:r>
          </w:p>
        </w:tc>
        <w:tc>
          <w:tcPr>
            <w:tcW w:w="3249" w:type="dxa"/>
            <w:vAlign w:val="center"/>
          </w:tcPr>
          <w:p w14:paraId="48FA525A">
            <w:pPr>
              <w:pStyle w:val="13"/>
            </w:pPr>
            <w:r>
              <w:t>《《2024年导游讲解员培训合作协议书》（2025年合作协议书暂未签订）、中共涞源县委领导议事纪要〔2025〕19号——文旅融合发展专班会议纪要、年度工作计划。</w:t>
            </w:r>
          </w:p>
        </w:tc>
      </w:tr>
      <w:tr w14:paraId="326EBC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14645AD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3F736763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70CC9A29">
            <w:pPr>
              <w:pStyle w:val="13"/>
            </w:pPr>
            <w:r>
              <w:t>提高经济效益</w:t>
            </w:r>
          </w:p>
        </w:tc>
        <w:tc>
          <w:tcPr>
            <w:tcW w:w="1572" w:type="dxa"/>
            <w:vAlign w:val="center"/>
          </w:tcPr>
          <w:p w14:paraId="70EDB0AF">
            <w:pPr>
              <w:pStyle w:val="13"/>
            </w:pPr>
            <w:r>
              <w:t>高质量服务带动旅游业发展</w:t>
            </w:r>
          </w:p>
        </w:tc>
        <w:tc>
          <w:tcPr>
            <w:tcW w:w="1189" w:type="dxa"/>
            <w:vAlign w:val="center"/>
          </w:tcPr>
          <w:p w14:paraId="28AF70B8">
            <w:pPr>
              <w:pStyle w:val="13"/>
            </w:pPr>
            <w:r>
              <w:t>显著提高</w:t>
            </w:r>
          </w:p>
        </w:tc>
        <w:tc>
          <w:tcPr>
            <w:tcW w:w="3249" w:type="dxa"/>
            <w:vAlign w:val="center"/>
          </w:tcPr>
          <w:p w14:paraId="2A6F1397">
            <w:pPr>
              <w:pStyle w:val="13"/>
            </w:pPr>
            <w:r>
              <w:t>《《2024年导游讲解员培训合作协议书》（2025年合作协议书暂未签订）、中共涞源县委领导议事纪要〔2025〕19号——文旅融合发展专班会议纪要、年度工作计划。</w:t>
            </w:r>
          </w:p>
        </w:tc>
      </w:tr>
      <w:tr w14:paraId="4EE0253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BA7ED1F"/>
        </w:tc>
        <w:tc>
          <w:tcPr>
            <w:tcW w:w="1276" w:type="dxa"/>
            <w:vAlign w:val="center"/>
          </w:tcPr>
          <w:p w14:paraId="10D7546F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380BB2F3">
            <w:pPr>
              <w:pStyle w:val="13"/>
            </w:pPr>
            <w:r>
              <w:t>游客体验</w:t>
            </w:r>
          </w:p>
        </w:tc>
        <w:tc>
          <w:tcPr>
            <w:tcW w:w="1572" w:type="dxa"/>
            <w:vAlign w:val="center"/>
          </w:tcPr>
          <w:p w14:paraId="7663A052">
            <w:pPr>
              <w:pStyle w:val="13"/>
            </w:pPr>
            <w:r>
              <w:t>提高游客体验度</w:t>
            </w:r>
          </w:p>
        </w:tc>
        <w:tc>
          <w:tcPr>
            <w:tcW w:w="1189" w:type="dxa"/>
            <w:vAlign w:val="center"/>
          </w:tcPr>
          <w:p w14:paraId="3C8BE899">
            <w:pPr>
              <w:pStyle w:val="13"/>
            </w:pPr>
            <w:r>
              <w:t>显著提高</w:t>
            </w:r>
          </w:p>
        </w:tc>
        <w:tc>
          <w:tcPr>
            <w:tcW w:w="3249" w:type="dxa"/>
            <w:vAlign w:val="center"/>
          </w:tcPr>
          <w:p w14:paraId="057DDA0E">
            <w:pPr>
              <w:pStyle w:val="13"/>
            </w:pPr>
            <w:r>
              <w:t>《《2024年导游讲解员培训合作协议书》（2025年合作协议书暂未签订）、中共涞源县委领导议事纪要〔2025〕19号——文旅融合发展专班会议纪要、年度工作计划。</w:t>
            </w:r>
          </w:p>
        </w:tc>
      </w:tr>
      <w:tr w14:paraId="44D129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7FE1A84"/>
        </w:tc>
        <w:tc>
          <w:tcPr>
            <w:tcW w:w="1276" w:type="dxa"/>
            <w:vAlign w:val="center"/>
          </w:tcPr>
          <w:p w14:paraId="03AD54B1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2B0DD3A2">
            <w:pPr>
              <w:pStyle w:val="13"/>
            </w:pPr>
            <w:r>
              <w:t>增强生态保护</w:t>
            </w:r>
          </w:p>
        </w:tc>
        <w:tc>
          <w:tcPr>
            <w:tcW w:w="1572" w:type="dxa"/>
            <w:vAlign w:val="center"/>
          </w:tcPr>
          <w:p w14:paraId="7989CB77">
            <w:pPr>
              <w:pStyle w:val="13"/>
            </w:pPr>
            <w:r>
              <w:t>从业人员素质提高增强生态保护意识</w:t>
            </w:r>
          </w:p>
        </w:tc>
        <w:tc>
          <w:tcPr>
            <w:tcW w:w="1189" w:type="dxa"/>
            <w:vAlign w:val="center"/>
          </w:tcPr>
          <w:p w14:paraId="41C797E5">
            <w:pPr>
              <w:pStyle w:val="13"/>
            </w:pPr>
            <w:r>
              <w:t>显著提高</w:t>
            </w:r>
          </w:p>
        </w:tc>
        <w:tc>
          <w:tcPr>
            <w:tcW w:w="3249" w:type="dxa"/>
            <w:vAlign w:val="center"/>
          </w:tcPr>
          <w:p w14:paraId="21B07170">
            <w:pPr>
              <w:pStyle w:val="13"/>
            </w:pPr>
            <w:r>
              <w:t>《《2024年导游讲解员培训合作协议书》（2025年合作协议书暂未签订）、中共涞源县委领导议事纪要〔2025〕19号——文旅融合发展专班会议纪要、年度工作计划。</w:t>
            </w:r>
          </w:p>
        </w:tc>
      </w:tr>
      <w:tr w14:paraId="587C70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5C404AA"/>
        </w:tc>
        <w:tc>
          <w:tcPr>
            <w:tcW w:w="1276" w:type="dxa"/>
            <w:vAlign w:val="center"/>
          </w:tcPr>
          <w:p w14:paraId="6EC51AE6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0D102BCF">
            <w:pPr>
              <w:pStyle w:val="13"/>
            </w:pPr>
            <w:r>
              <w:t>业务能力提升</w:t>
            </w:r>
          </w:p>
        </w:tc>
        <w:tc>
          <w:tcPr>
            <w:tcW w:w="1572" w:type="dxa"/>
            <w:vAlign w:val="center"/>
          </w:tcPr>
          <w:p w14:paraId="2879C84F">
            <w:pPr>
              <w:pStyle w:val="13"/>
            </w:pPr>
            <w:r>
              <w:t>持续提升旅游企业从业人员的从业能力和服务水平</w:t>
            </w:r>
          </w:p>
        </w:tc>
        <w:tc>
          <w:tcPr>
            <w:tcW w:w="1189" w:type="dxa"/>
            <w:vAlign w:val="center"/>
          </w:tcPr>
          <w:p w14:paraId="7DF8B6D8">
            <w:pPr>
              <w:pStyle w:val="13"/>
            </w:pPr>
            <w:r>
              <w:t>持续提升</w:t>
            </w:r>
          </w:p>
        </w:tc>
        <w:tc>
          <w:tcPr>
            <w:tcW w:w="3249" w:type="dxa"/>
            <w:vAlign w:val="center"/>
          </w:tcPr>
          <w:p w14:paraId="60E45B2A">
            <w:pPr>
              <w:pStyle w:val="13"/>
            </w:pPr>
            <w:r>
              <w:t>《《2024年导游讲解员培训合作协议书》（2025年合作协议书暂未签订）、中共涞源县委领导议事纪要〔2025〕19号——文旅融合发展专班会议纪要、年度工作计划。</w:t>
            </w:r>
          </w:p>
        </w:tc>
      </w:tr>
      <w:tr w14:paraId="47E8BE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54079E3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2981D190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328CD29F">
            <w:pPr>
              <w:pStyle w:val="13"/>
            </w:pPr>
            <w:r>
              <w:t>满意率（%）</w:t>
            </w:r>
          </w:p>
        </w:tc>
        <w:tc>
          <w:tcPr>
            <w:tcW w:w="1572" w:type="dxa"/>
            <w:vAlign w:val="center"/>
          </w:tcPr>
          <w:p w14:paraId="44DF7B63">
            <w:pPr>
              <w:pStyle w:val="13"/>
            </w:pPr>
            <w:r>
              <w:t>游客满意度</w:t>
            </w:r>
          </w:p>
        </w:tc>
        <w:tc>
          <w:tcPr>
            <w:tcW w:w="1189" w:type="dxa"/>
            <w:vAlign w:val="center"/>
          </w:tcPr>
          <w:p w14:paraId="27F523FC">
            <w:pPr>
              <w:pStyle w:val="13"/>
            </w:pPr>
            <w:r>
              <w:t>≥90%</w:t>
            </w:r>
          </w:p>
        </w:tc>
        <w:tc>
          <w:tcPr>
            <w:tcW w:w="3249" w:type="dxa"/>
            <w:vAlign w:val="center"/>
          </w:tcPr>
          <w:p w14:paraId="35A13D51">
            <w:pPr>
              <w:pStyle w:val="13"/>
            </w:pPr>
            <w:r>
              <w:t>问卷调查</w:t>
            </w:r>
          </w:p>
        </w:tc>
      </w:tr>
    </w:tbl>
    <w:p w14:paraId="301D5E65"/>
    <w:sectPr>
      <w:pgSz w:w="11900" w:h="16840"/>
      <w:pgMar w:top="1984" w:right="1304" w:bottom="1134" w:left="1304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书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楷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EC6D6C">
    <w:pPr>
      <w:jc w:val="right"/>
    </w:pPr>
    <w:r>
      <w:fldChar w:fldCharType="begin"/>
    </w:r>
    <w:r>
      <w:instrText xml:space="preserve">PAGE "page number"</w:instrText>
    </w:r>
    <w:r>
      <w:fldChar w:fldCharType="separate"/>
    </w:r>
    <w:r>
      <w:t>7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BC1205">
    <w:pPr>
      <w:jc w:val="left"/>
    </w:pPr>
    <w:r>
      <w:fldChar w:fldCharType="begin"/>
    </w:r>
    <w:r>
      <w:instrText xml:space="preserve">PAGE "page number"</w:instrText>
    </w:r>
    <w:r>
      <w:fldChar w:fldCharType="separate"/>
    </w:r>
    <w:r>
      <w:t>6</w:t>
    </w:r>
    <w: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545F9F"/>
    <w:multiLevelType w:val="singleLevel"/>
    <w:tmpl w:val="1E545F9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bordersDoNotSurroundHeader w:val="0"/>
  <w:bordersDoNotSurroundFooter w:val="0"/>
  <w:doNotTrackMoves/>
  <w:documentProtection w:enforcement="0"/>
  <w:defaultTabStop w:val="720"/>
  <w:evenAndOddHeaders w:val="1"/>
  <w:characterSpacingControl w:val="doNotCompress"/>
  <w:compat>
    <w:doNotLeaveBackslashAlon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0575419C"/>
    <w:rsid w:val="097B4BC9"/>
    <w:rsid w:val="151C63E2"/>
    <w:rsid w:val="19587343"/>
    <w:rsid w:val="26D94133"/>
    <w:rsid w:val="26F251F5"/>
    <w:rsid w:val="2D8F379E"/>
    <w:rsid w:val="37D3697D"/>
    <w:rsid w:val="3D115F7D"/>
    <w:rsid w:val="41994793"/>
    <w:rsid w:val="420460B1"/>
    <w:rsid w:val="42621029"/>
    <w:rsid w:val="568B06F7"/>
    <w:rsid w:val="5B590DC3"/>
    <w:rsid w:val="62922E0D"/>
    <w:rsid w:val="6449399F"/>
    <w:rsid w:val="75DA08FB"/>
    <w:rsid w:val="7A0F39A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qFormat="1" w:unhideWhenUsed="0" w:uiPriority="0" w:semiHidden="0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Theme="minorEastAsia" w:cstheme="minorBidi"/>
      <w:sz w:val="24"/>
      <w:szCs w:val="24"/>
      <w:lang w:val="en-US" w:eastAsia="uk-UA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qFormat/>
    <w:uiPriority w:val="0"/>
    <w:pPr>
      <w:spacing w:before="120" w:line="240" w:lineRule="auto"/>
      <w:ind w:firstLine="0"/>
    </w:pPr>
    <w:rPr>
      <w:rFonts w:ascii="Times New Roman" w:hAnsi="Times New Roman" w:eastAsia="方正仿宋_GBK" w:cs="Times New Roman"/>
      <w:color w:val="000000"/>
      <w:sz w:val="28"/>
      <w:lang w:val="en-US"/>
    </w:rPr>
  </w:style>
  <w:style w:type="paragraph" w:styleId="3">
    <w:name w:val="toc 4"/>
    <w:basedOn w:val="1"/>
    <w:qFormat/>
    <w:uiPriority w:val="0"/>
    <w:pPr>
      <w:ind w:left="720"/>
    </w:pPr>
  </w:style>
  <w:style w:type="paragraph" w:styleId="4">
    <w:name w:val="toc 2"/>
    <w:basedOn w:val="1"/>
    <w:qFormat/>
    <w:uiPriority w:val="0"/>
    <w:pPr>
      <w:ind w:left="240"/>
    </w:pPr>
  </w:style>
  <w:style w:type="table" w:styleId="6">
    <w:name w:val="Table Grid"/>
    <w:basedOn w:val="5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8">
    <w:name w:val="插入文本样式-插入总体目标文件"/>
    <w:basedOn w:val="1"/>
    <w:qFormat/>
    <w:uiPriority w:val="0"/>
    <w:pPr>
      <w:spacing w:before="0" w:after="0" w:line="500" w:lineRule="exact"/>
      <w:ind w:firstLine="560"/>
      <w:jc w:val="left"/>
      <w:outlineLvl w:val="9"/>
    </w:pPr>
    <w:rPr>
      <w:rFonts w:ascii="Times New Roman" w:hAnsi="Times New Roman" w:eastAsia="方正仿宋_GBK" w:cs="Times New Roman"/>
      <w:sz w:val="28"/>
    </w:rPr>
  </w:style>
  <w:style w:type="paragraph" w:customStyle="1" w:styleId="9">
    <w:name w:val="插入文本样式-插入职责分类绩效目标文件"/>
    <w:basedOn w:val="1"/>
    <w:qFormat/>
    <w:uiPriority w:val="0"/>
    <w:pPr>
      <w:spacing w:before="0" w:after="0" w:line="500" w:lineRule="exact"/>
      <w:ind w:firstLine="560"/>
      <w:jc w:val="left"/>
      <w:outlineLvl w:val="9"/>
    </w:pPr>
    <w:rPr>
      <w:rFonts w:ascii="Times New Roman" w:hAnsi="Times New Roman" w:eastAsia="方正仿宋_GBK" w:cs="Times New Roman"/>
      <w:sz w:val="28"/>
    </w:rPr>
  </w:style>
  <w:style w:type="paragraph" w:customStyle="1" w:styleId="10">
    <w:name w:val="插入文本样式-插入实现年度发展规划目标的保障措施文件"/>
    <w:basedOn w:val="1"/>
    <w:qFormat/>
    <w:uiPriority w:val="0"/>
    <w:pPr>
      <w:spacing w:before="0" w:after="0" w:line="500" w:lineRule="exact"/>
      <w:ind w:firstLine="560"/>
      <w:jc w:val="left"/>
      <w:outlineLvl w:val="9"/>
    </w:pPr>
    <w:rPr>
      <w:rFonts w:ascii="Times New Roman" w:hAnsi="Times New Roman" w:eastAsia="方正仿宋_GBK" w:cs="Times New Roman"/>
      <w:sz w:val="28"/>
    </w:rPr>
  </w:style>
  <w:style w:type="paragraph" w:customStyle="1" w:styleId="11">
    <w:name w:val="单元格样式4"/>
    <w:qFormat/>
    <w:uiPriority w:val="0"/>
    <w:pPr>
      <w:spacing w:before="0" w:after="0"/>
      <w:ind w:firstLine="0"/>
      <w:jc w:val="right"/>
      <w:outlineLvl w:val="9"/>
    </w:pPr>
    <w:rPr>
      <w:rFonts w:ascii="方正书宋_GBK" w:hAnsi="方正书宋_GBK" w:eastAsia="方正书宋_GBK" w:cs="方正书宋_GBK"/>
      <w:sz w:val="21"/>
      <w:szCs w:val="22"/>
    </w:rPr>
  </w:style>
  <w:style w:type="paragraph" w:customStyle="1" w:styleId="12">
    <w:name w:val="单元格样式5"/>
    <w:qFormat/>
    <w:uiPriority w:val="0"/>
    <w:pPr>
      <w:spacing w:before="0" w:after="0"/>
      <w:ind w:firstLine="0"/>
      <w:jc w:val="left"/>
      <w:outlineLvl w:val="9"/>
    </w:pPr>
    <w:rPr>
      <w:rFonts w:ascii="方正书宋_GBK" w:hAnsi="方正书宋_GBK" w:eastAsia="方正书宋_GBK" w:cs="方正书宋_GBK"/>
      <w:b/>
      <w:sz w:val="21"/>
      <w:szCs w:val="22"/>
    </w:rPr>
  </w:style>
  <w:style w:type="paragraph" w:customStyle="1" w:styleId="13">
    <w:name w:val="单元格样式2"/>
    <w:qFormat/>
    <w:uiPriority w:val="0"/>
    <w:pPr>
      <w:spacing w:before="0" w:after="0"/>
      <w:ind w:firstLine="0"/>
      <w:jc w:val="left"/>
      <w:outlineLvl w:val="9"/>
    </w:pPr>
    <w:rPr>
      <w:rFonts w:ascii="方正书宋_GBK" w:hAnsi="方正书宋_GBK" w:eastAsia="方正书宋_GBK" w:cs="方正书宋_GBK"/>
      <w:sz w:val="21"/>
      <w:szCs w:val="22"/>
    </w:rPr>
  </w:style>
  <w:style w:type="paragraph" w:customStyle="1" w:styleId="14">
    <w:name w:val="单元格样式1"/>
    <w:qFormat/>
    <w:uiPriority w:val="0"/>
    <w:pPr>
      <w:spacing w:before="0" w:after="0"/>
      <w:ind w:firstLine="0"/>
      <w:jc w:val="center"/>
      <w:outlineLvl w:val="9"/>
    </w:pPr>
    <w:rPr>
      <w:rFonts w:ascii="方正书宋_GBK" w:hAnsi="方正书宋_GBK" w:eastAsia="方正书宋_GBK" w:cs="方正书宋_GBK"/>
      <w:b/>
      <w:sz w:val="21"/>
      <w:szCs w:val="22"/>
    </w:rPr>
  </w:style>
  <w:style w:type="paragraph" w:customStyle="1" w:styleId="15">
    <w:name w:val="单元格样式3"/>
    <w:qFormat/>
    <w:uiPriority w:val="0"/>
    <w:pPr>
      <w:spacing w:before="0" w:after="0"/>
      <w:ind w:firstLine="0"/>
      <w:jc w:val="center"/>
      <w:outlineLvl w:val="9"/>
    </w:pPr>
    <w:rPr>
      <w:rFonts w:ascii="方正书宋_GBK" w:hAnsi="方正书宋_GBK" w:eastAsia="方正书宋_GBK" w:cs="方正书宋_GBK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10</Pages>
  <Words>2590</Words>
  <Characters>2803</Characters>
  <TotalTime>1</TotalTime>
  <ScaleCrop>false</ScaleCrop>
  <LinksUpToDate>false</LinksUpToDate>
  <CharactersWithSpaces>2863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2026-02-24T16:34:00Z</dcterms:created>
  <dc:creator>Administrator</dc:creator>
  <cp:lastModifiedBy>花中拾星辰</cp:lastModifiedBy>
  <dcterms:modified xsi:type="dcterms:W3CDTF">2026-03-02T02:11:12Z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eyJoZGlkIjoiNTYxYmE1N2M2OWRmMDMzZWM5NWYyN2RiMGNhMGE1NDYiLCJ1c2VySWQiOiI0MjQzNDE0MzYifQ==</vt:lpwstr>
  </property>
  <property fmtid="{D5CDD505-2E9C-101B-9397-08002B2CF9AE}" pid="3" name="KSOProductBuildVer">
    <vt:lpwstr>2052-12.1.0.25225</vt:lpwstr>
  </property>
  <property fmtid="{D5CDD505-2E9C-101B-9397-08002B2CF9AE}" pid="4" name="ICV">
    <vt:lpwstr>E79A2FFCC2174A45945965A41C0C1F65_12</vt:lpwstr>
  </property>
</Properties>
</file>