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792E3D">
      <w:pPr>
        <w:spacing w:before="0" w:after="0" w:line="240" w:lineRule="auto"/>
        <w:ind w:firstLine="0"/>
        <w:jc w:val="center"/>
        <w:outlineLvl w:val="9"/>
      </w:pPr>
      <w:r>
        <w:rPr>
          <w:rFonts w:ascii="方正小标宋_GBK" w:hAnsi="方正小标宋_GBK" w:eastAsia="方正小标宋_GBK" w:cs="方正小标宋_GBK"/>
          <w:color w:val="000000"/>
          <w:sz w:val="52"/>
        </w:rPr>
        <w:t xml:space="preserve"> </w:t>
      </w:r>
    </w:p>
    <w:p w14:paraId="7A5408DA">
      <w:pPr>
        <w:spacing w:before="0" w:after="0" w:line="240" w:lineRule="auto"/>
        <w:ind w:firstLine="0"/>
        <w:jc w:val="center"/>
        <w:outlineLvl w:val="9"/>
      </w:pPr>
      <w:r>
        <w:rPr>
          <w:rFonts w:ascii="方正小标宋_GBK" w:hAnsi="方正小标宋_GBK" w:eastAsia="方正小标宋_GBK" w:cs="方正小标宋_GBK"/>
          <w:color w:val="000000"/>
          <w:sz w:val="52"/>
        </w:rPr>
        <w:t xml:space="preserve"> </w:t>
      </w:r>
    </w:p>
    <w:p w14:paraId="2C659C0D">
      <w:pPr>
        <w:spacing w:before="0" w:after="0" w:line="240" w:lineRule="auto"/>
        <w:ind w:firstLine="0"/>
        <w:jc w:val="center"/>
        <w:outlineLvl w:val="9"/>
      </w:pPr>
      <w:r>
        <w:rPr>
          <w:rFonts w:ascii="方正小标宋_GBK" w:hAnsi="方正小标宋_GBK" w:eastAsia="方正小标宋_GBK" w:cs="方正小标宋_GBK"/>
          <w:color w:val="000000"/>
          <w:sz w:val="52"/>
        </w:rPr>
        <w:t xml:space="preserve"> </w:t>
      </w:r>
    </w:p>
    <w:p w14:paraId="6E44D3E1">
      <w:pPr>
        <w:spacing w:before="0" w:after="0" w:line="240" w:lineRule="auto"/>
        <w:ind w:firstLine="0"/>
        <w:jc w:val="center"/>
        <w:outlineLvl w:val="9"/>
      </w:pPr>
      <w:r>
        <w:rPr>
          <w:rFonts w:ascii="方正小标宋_GBK" w:hAnsi="方正小标宋_GBK" w:eastAsia="方正小标宋_GBK" w:cs="方正小标宋_GBK"/>
          <w:color w:val="000000"/>
          <w:sz w:val="72"/>
        </w:rPr>
        <w:t>涞源县供销合作社</w:t>
      </w:r>
    </w:p>
    <w:p w14:paraId="1B53707C">
      <w:pPr>
        <w:spacing w:before="0" w:after="0" w:line="240" w:lineRule="auto"/>
        <w:ind w:firstLine="0"/>
        <w:jc w:val="center"/>
        <w:outlineLvl w:val="9"/>
      </w:pPr>
      <w:r>
        <w:rPr>
          <w:rFonts w:ascii="方正小标宋_GBK" w:hAnsi="方正小标宋_GBK" w:eastAsia="方正小标宋_GBK" w:cs="方正小标宋_GBK"/>
          <w:color w:val="000000"/>
          <w:sz w:val="72"/>
        </w:rPr>
        <w:t>2026年部门预算绩效文本</w:t>
      </w:r>
    </w:p>
    <w:p w14:paraId="1A8D0696">
      <w:pPr>
        <w:spacing w:before="0" w:after="0" w:line="240" w:lineRule="auto"/>
        <w:ind w:firstLine="0"/>
        <w:jc w:val="center"/>
        <w:outlineLvl w:val="9"/>
      </w:pPr>
      <w:r>
        <w:rPr>
          <w:rFonts w:ascii="宋体" w:hAnsi="宋体" w:eastAsia="宋体" w:cs="宋体"/>
          <w:color w:val="000000"/>
          <w:sz w:val="21"/>
        </w:rPr>
        <w:t xml:space="preserve"> </w:t>
      </w:r>
    </w:p>
    <w:p w14:paraId="69A2EF22">
      <w:pPr>
        <w:spacing w:before="0" w:after="0" w:line="240" w:lineRule="auto"/>
        <w:ind w:firstLine="0"/>
        <w:jc w:val="center"/>
        <w:outlineLvl w:val="9"/>
      </w:pPr>
      <w:r>
        <w:rPr>
          <w:rFonts w:ascii="宋体" w:hAnsi="宋体" w:eastAsia="宋体" w:cs="宋体"/>
          <w:color w:val="000000"/>
          <w:sz w:val="21"/>
        </w:rPr>
        <w:t xml:space="preserve"> </w:t>
      </w:r>
    </w:p>
    <w:p w14:paraId="58E6BB59">
      <w:pPr>
        <w:spacing w:before="0" w:after="0" w:line="240" w:lineRule="auto"/>
        <w:ind w:firstLine="0"/>
        <w:jc w:val="center"/>
        <w:outlineLvl w:val="9"/>
      </w:pPr>
      <w:r>
        <w:rPr>
          <w:rFonts w:ascii="宋体" w:hAnsi="宋体" w:eastAsia="宋体" w:cs="宋体"/>
          <w:color w:val="000000"/>
          <w:sz w:val="21"/>
        </w:rPr>
        <w:t xml:space="preserve"> </w:t>
      </w:r>
    </w:p>
    <w:p w14:paraId="28620C09">
      <w:pPr>
        <w:spacing w:before="0" w:after="0" w:line="240" w:lineRule="auto"/>
        <w:ind w:firstLine="0"/>
        <w:jc w:val="center"/>
        <w:outlineLvl w:val="9"/>
      </w:pPr>
      <w:r>
        <w:rPr>
          <w:rFonts w:ascii="宋体" w:hAnsi="宋体" w:eastAsia="宋体" w:cs="宋体"/>
          <w:color w:val="000000"/>
          <w:sz w:val="21"/>
        </w:rPr>
        <w:t xml:space="preserve"> </w:t>
      </w:r>
    </w:p>
    <w:p w14:paraId="1FDF76AB">
      <w:pPr>
        <w:spacing w:before="0" w:after="0" w:line="240" w:lineRule="auto"/>
        <w:ind w:firstLine="0"/>
        <w:jc w:val="center"/>
        <w:outlineLvl w:val="9"/>
      </w:pPr>
      <w:r>
        <w:rPr>
          <w:rFonts w:ascii="宋体" w:hAnsi="宋体" w:eastAsia="宋体" w:cs="宋体"/>
          <w:color w:val="000000"/>
          <w:sz w:val="21"/>
        </w:rPr>
        <w:t xml:space="preserve"> </w:t>
      </w:r>
    </w:p>
    <w:p w14:paraId="4AA92A0B">
      <w:pPr>
        <w:spacing w:before="0" w:after="0" w:line="240" w:lineRule="auto"/>
        <w:ind w:firstLine="0"/>
        <w:jc w:val="center"/>
        <w:outlineLvl w:val="9"/>
      </w:pPr>
      <w:r>
        <w:rPr>
          <w:rFonts w:ascii="宋体" w:hAnsi="宋体" w:eastAsia="宋体" w:cs="宋体"/>
          <w:color w:val="000000"/>
          <w:sz w:val="21"/>
        </w:rPr>
        <w:t xml:space="preserve"> </w:t>
      </w:r>
    </w:p>
    <w:p w14:paraId="469DBF9A">
      <w:pPr>
        <w:spacing w:before="0" w:after="0" w:line="240" w:lineRule="auto"/>
        <w:ind w:firstLine="0"/>
        <w:jc w:val="center"/>
        <w:outlineLvl w:val="9"/>
      </w:pPr>
      <w:r>
        <w:rPr>
          <w:rFonts w:ascii="宋体" w:hAnsi="宋体" w:eastAsia="宋体" w:cs="宋体"/>
          <w:color w:val="000000"/>
          <w:sz w:val="21"/>
        </w:rPr>
        <w:t xml:space="preserve"> </w:t>
      </w:r>
    </w:p>
    <w:p w14:paraId="71CC727E">
      <w:pPr>
        <w:spacing w:before="0" w:after="0" w:line="240" w:lineRule="auto"/>
        <w:ind w:firstLine="0"/>
        <w:jc w:val="center"/>
        <w:outlineLvl w:val="9"/>
      </w:pPr>
      <w:r>
        <w:rPr>
          <w:rFonts w:ascii="宋体" w:hAnsi="宋体" w:eastAsia="宋体" w:cs="宋体"/>
          <w:color w:val="000000"/>
          <w:sz w:val="21"/>
        </w:rPr>
        <w:t xml:space="preserve"> </w:t>
      </w:r>
    </w:p>
    <w:p w14:paraId="5EDA2F19">
      <w:pPr>
        <w:spacing w:before="0" w:after="0" w:line="240" w:lineRule="auto"/>
        <w:ind w:firstLine="0"/>
        <w:jc w:val="center"/>
        <w:outlineLvl w:val="9"/>
      </w:pPr>
      <w:r>
        <w:rPr>
          <w:rFonts w:ascii="宋体" w:hAnsi="宋体" w:eastAsia="宋体" w:cs="宋体"/>
          <w:color w:val="000000"/>
          <w:sz w:val="21"/>
        </w:rPr>
        <w:t xml:space="preserve"> </w:t>
      </w:r>
    </w:p>
    <w:p w14:paraId="631F7DD4">
      <w:pPr>
        <w:spacing w:before="0" w:after="0" w:line="240" w:lineRule="auto"/>
        <w:ind w:firstLine="0"/>
        <w:jc w:val="center"/>
        <w:outlineLvl w:val="9"/>
      </w:pPr>
      <w:r>
        <w:rPr>
          <w:rFonts w:ascii="宋体" w:hAnsi="宋体" w:eastAsia="宋体" w:cs="宋体"/>
          <w:color w:val="000000"/>
          <w:sz w:val="21"/>
        </w:rPr>
        <w:t xml:space="preserve"> </w:t>
      </w:r>
    </w:p>
    <w:p w14:paraId="23483933">
      <w:pPr>
        <w:spacing w:before="0" w:after="0" w:line="240" w:lineRule="auto"/>
        <w:ind w:firstLine="0"/>
        <w:jc w:val="center"/>
        <w:outlineLvl w:val="9"/>
      </w:pPr>
      <w:r>
        <w:rPr>
          <w:rFonts w:ascii="宋体" w:hAnsi="宋体" w:eastAsia="宋体" w:cs="宋体"/>
          <w:color w:val="000000"/>
          <w:sz w:val="21"/>
        </w:rPr>
        <w:t xml:space="preserve"> </w:t>
      </w:r>
    </w:p>
    <w:p w14:paraId="004712DE">
      <w:pPr>
        <w:spacing w:before="0" w:after="0" w:line="240" w:lineRule="auto"/>
        <w:ind w:firstLine="0"/>
        <w:jc w:val="center"/>
        <w:outlineLvl w:val="9"/>
      </w:pPr>
      <w:r>
        <w:rPr>
          <w:rFonts w:ascii="宋体" w:hAnsi="宋体" w:eastAsia="宋体" w:cs="宋体"/>
          <w:color w:val="000000"/>
          <w:sz w:val="21"/>
        </w:rPr>
        <w:t xml:space="preserve"> </w:t>
      </w:r>
    </w:p>
    <w:p w14:paraId="1248AC99">
      <w:pPr>
        <w:spacing w:before="0" w:after="0" w:line="240" w:lineRule="auto"/>
        <w:ind w:firstLine="0"/>
        <w:jc w:val="center"/>
        <w:outlineLvl w:val="9"/>
      </w:pPr>
      <w:r>
        <w:rPr>
          <w:rFonts w:ascii="宋体" w:hAnsi="宋体" w:eastAsia="宋体" w:cs="宋体"/>
          <w:color w:val="000000"/>
          <w:sz w:val="21"/>
        </w:rPr>
        <w:t xml:space="preserve"> </w:t>
      </w:r>
    </w:p>
    <w:p w14:paraId="5B486A86">
      <w:pPr>
        <w:spacing w:before="0" w:after="0" w:line="240" w:lineRule="auto"/>
        <w:ind w:firstLine="0"/>
        <w:jc w:val="center"/>
        <w:outlineLvl w:val="9"/>
      </w:pPr>
      <w:r>
        <w:rPr>
          <w:rFonts w:ascii="宋体" w:hAnsi="宋体" w:eastAsia="宋体" w:cs="宋体"/>
          <w:color w:val="000000"/>
          <w:sz w:val="21"/>
        </w:rPr>
        <w:t xml:space="preserve"> </w:t>
      </w:r>
    </w:p>
    <w:p w14:paraId="37D35491">
      <w:pPr>
        <w:spacing w:before="0" w:after="0" w:line="240" w:lineRule="auto"/>
        <w:ind w:firstLine="0"/>
        <w:jc w:val="center"/>
        <w:outlineLvl w:val="9"/>
      </w:pPr>
      <w:r>
        <w:rPr>
          <w:rFonts w:ascii="宋体" w:hAnsi="宋体" w:eastAsia="宋体" w:cs="宋体"/>
          <w:color w:val="000000"/>
          <w:sz w:val="21"/>
        </w:rPr>
        <w:t xml:space="preserve"> </w:t>
      </w:r>
    </w:p>
    <w:p w14:paraId="6A84C823">
      <w:pPr>
        <w:spacing w:before="0" w:after="0" w:line="240" w:lineRule="auto"/>
        <w:ind w:firstLine="0"/>
        <w:jc w:val="center"/>
        <w:outlineLvl w:val="9"/>
      </w:pPr>
      <w:r>
        <w:rPr>
          <w:rFonts w:ascii="宋体" w:hAnsi="宋体" w:eastAsia="宋体" w:cs="宋体"/>
          <w:color w:val="000000"/>
          <w:sz w:val="21"/>
        </w:rPr>
        <w:t xml:space="preserve"> </w:t>
      </w:r>
    </w:p>
    <w:p w14:paraId="6E735493">
      <w:pPr>
        <w:spacing w:before="0" w:after="0" w:line="240" w:lineRule="auto"/>
        <w:ind w:firstLine="0"/>
        <w:jc w:val="center"/>
        <w:outlineLvl w:val="9"/>
      </w:pPr>
      <w:r>
        <w:rPr>
          <w:rFonts w:ascii="宋体" w:hAnsi="宋体" w:eastAsia="宋体" w:cs="宋体"/>
          <w:color w:val="000000"/>
          <w:sz w:val="21"/>
        </w:rPr>
        <w:t xml:space="preserve"> </w:t>
      </w:r>
    </w:p>
    <w:p w14:paraId="10F1471F">
      <w:pPr>
        <w:spacing w:before="0" w:after="0" w:line="240" w:lineRule="auto"/>
        <w:ind w:firstLine="0"/>
        <w:jc w:val="center"/>
        <w:outlineLvl w:val="9"/>
      </w:pPr>
      <w:r>
        <w:rPr>
          <w:rFonts w:ascii="宋体" w:hAnsi="宋体" w:eastAsia="宋体" w:cs="宋体"/>
          <w:color w:val="000000"/>
          <w:sz w:val="21"/>
        </w:rPr>
        <w:t xml:space="preserve"> </w:t>
      </w:r>
    </w:p>
    <w:p w14:paraId="31CB90AB">
      <w:pPr>
        <w:spacing w:before="0" w:after="0" w:line="240" w:lineRule="auto"/>
        <w:ind w:firstLine="0"/>
        <w:jc w:val="center"/>
        <w:outlineLvl w:val="9"/>
      </w:pPr>
      <w:r>
        <w:rPr>
          <w:rFonts w:ascii="方正楷体_GBK" w:hAnsi="方正楷体_GBK" w:eastAsia="方正楷体_GBK" w:cs="方正楷体_GBK"/>
          <w:b/>
          <w:color w:val="000000"/>
          <w:sz w:val="32"/>
        </w:rPr>
        <w:t>涞源县供销合作社编制</w:t>
      </w:r>
    </w:p>
    <w:p w14:paraId="278CF9E0">
      <w:pPr>
        <w:spacing w:before="0" w:after="0" w:line="240" w:lineRule="auto"/>
        <w:ind w:firstLine="0"/>
        <w:jc w:val="center"/>
        <w:outlineLvl w:val="9"/>
        <w:sectPr>
          <w:pgSz w:w="11900" w:h="16840"/>
          <w:pgMar w:top="1984" w:right="1304" w:bottom="1134" w:left="1304" w:header="720" w:footer="720" w:gutter="0"/>
          <w:cols w:space="720" w:num="1"/>
          <w:titlePg/>
        </w:sectPr>
      </w:pPr>
      <w:r>
        <w:rPr>
          <w:rFonts w:hint="eastAsia" w:ascii="方正楷体_GBK" w:hAnsi="方正楷体_GBK" w:eastAsia="方正楷体_GBK" w:cs="方正楷体_GBK"/>
          <w:b/>
          <w:color w:val="000000"/>
          <w:sz w:val="32"/>
          <w:lang w:eastAsia="zh-CN"/>
        </w:rPr>
        <w:t>涞源县</w:t>
      </w:r>
      <w:r>
        <w:rPr>
          <w:rFonts w:ascii="方正楷体_GBK" w:hAnsi="方正楷体_GBK" w:eastAsia="方正楷体_GBK" w:cs="方正楷体_GBK"/>
          <w:b/>
          <w:color w:val="000000"/>
          <w:sz w:val="32"/>
        </w:rPr>
        <w:t>财政局审核</w:t>
      </w:r>
    </w:p>
    <w:p w14:paraId="603934E6">
      <w:pPr>
        <w:spacing w:before="0" w:after="0" w:line="240" w:lineRule="auto"/>
        <w:ind w:firstLine="0"/>
        <w:jc w:val="center"/>
        <w:outlineLvl w:val="9"/>
      </w:pPr>
      <w:r>
        <w:rPr>
          <w:rFonts w:ascii="方正小标宋_GBK" w:hAnsi="方正小标宋_GBK" w:eastAsia="方正小标宋_GBK" w:cs="方正小标宋_GBK"/>
          <w:color w:val="000000"/>
          <w:sz w:val="36"/>
        </w:rPr>
        <w:t xml:space="preserve"> </w:t>
      </w:r>
    </w:p>
    <w:p w14:paraId="49065EBE">
      <w:pPr>
        <w:spacing w:before="0" w:after="0" w:line="240" w:lineRule="auto"/>
        <w:ind w:firstLine="0"/>
        <w:jc w:val="center"/>
        <w:outlineLvl w:val="0"/>
      </w:pPr>
      <w:r>
        <w:rPr>
          <w:rFonts w:ascii="方正小标宋_GBK" w:hAnsi="方正小标宋_GBK" w:eastAsia="方正小标宋_GBK" w:cs="方正小标宋_GBK"/>
          <w:color w:val="000000"/>
          <w:sz w:val="36"/>
        </w:rPr>
        <w:t>目    录</w:t>
      </w:r>
    </w:p>
    <w:p w14:paraId="21B472E5">
      <w:pPr>
        <w:spacing w:before="0" w:after="0" w:line="240" w:lineRule="auto"/>
        <w:ind w:firstLine="0"/>
        <w:jc w:val="center"/>
        <w:outlineLvl w:val="9"/>
      </w:pPr>
      <w:r>
        <w:rPr>
          <w:rFonts w:ascii="方正小标宋_GBK" w:hAnsi="方正小标宋_GBK" w:eastAsia="方正小标宋_GBK" w:cs="方正小标宋_GBK"/>
          <w:color w:val="000000"/>
          <w:sz w:val="30"/>
        </w:rPr>
        <w:t xml:space="preserve"> </w:t>
      </w:r>
    </w:p>
    <w:p w14:paraId="217FE32F">
      <w:pPr>
        <w:spacing w:before="0" w:after="0" w:line="240" w:lineRule="auto"/>
        <w:ind w:firstLine="0"/>
        <w:jc w:val="center"/>
        <w:outlineLvl w:val="9"/>
      </w:pPr>
      <w:r>
        <w:rPr>
          <w:rFonts w:ascii="方正小标宋_GBK" w:hAnsi="方正小标宋_GBK" w:eastAsia="方正小标宋_GBK" w:cs="方正小标宋_GBK"/>
          <w:color w:val="000000"/>
          <w:sz w:val="30"/>
        </w:rPr>
        <w:t>第一部分 部门整体绩效目标</w:t>
      </w:r>
    </w:p>
    <w:p w14:paraId="250651C7">
      <w:pPr>
        <w:pStyle w:val="4"/>
        <w:tabs>
          <w:tab w:val="right" w:leader="dot" w:pos="928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一、总体绩效目标</w:t>
      </w:r>
      <w:r>
        <w:tab/>
      </w:r>
      <w:r>
        <w:fldChar w:fldCharType="begin"/>
      </w:r>
      <w:r>
        <w:instrText xml:space="preserve">PAGEREF _Toc_2_2_0000000001 \h</w:instrText>
      </w:r>
      <w:r>
        <w:fldChar w:fldCharType="separate"/>
      </w:r>
      <w:r>
        <w:t>1</w:t>
      </w:r>
      <w:r>
        <w:fldChar w:fldCharType="end"/>
      </w:r>
      <w:r>
        <w:fldChar w:fldCharType="end"/>
      </w:r>
    </w:p>
    <w:p w14:paraId="040BA26E">
      <w:pPr>
        <w:pStyle w:val="4"/>
        <w:tabs>
          <w:tab w:val="right" w:leader="dot" w:pos="9282"/>
        </w:tabs>
      </w:pPr>
      <w:r>
        <w:fldChar w:fldCharType="begin"/>
      </w:r>
      <w:r>
        <w:instrText xml:space="preserve">HYPERLINK \l _Toc_2_2_0000000002</w:instrText>
      </w:r>
      <w:r>
        <w:fldChar w:fldCharType="separate"/>
      </w:r>
      <w:r>
        <w:t>二、分项绩效目标</w:t>
      </w:r>
      <w:r>
        <w:tab/>
      </w:r>
      <w:r>
        <w:fldChar w:fldCharType="begin"/>
      </w:r>
      <w:r>
        <w:instrText xml:space="preserve">PAGEREF _Toc_2_2_0000000002 \h</w:instrText>
      </w:r>
      <w:r>
        <w:fldChar w:fldCharType="separate"/>
      </w:r>
      <w:r>
        <w:t>1</w:t>
      </w:r>
      <w:r>
        <w:fldChar w:fldCharType="end"/>
      </w:r>
      <w:r>
        <w:fldChar w:fldCharType="end"/>
      </w:r>
    </w:p>
    <w:p w14:paraId="448AD8D8">
      <w:pPr>
        <w:pStyle w:val="4"/>
        <w:tabs>
          <w:tab w:val="right" w:leader="dot" w:pos="9282"/>
        </w:tabs>
      </w:pPr>
      <w:r>
        <w:fldChar w:fldCharType="begin"/>
      </w:r>
      <w:r>
        <w:instrText xml:space="preserve">HYPERLINK \l _Toc_2_2_0000000003</w:instrText>
      </w:r>
      <w:r>
        <w:fldChar w:fldCharType="separate"/>
      </w:r>
      <w:r>
        <w:t>三、工作保障措施</w:t>
      </w:r>
      <w:r>
        <w:tab/>
      </w:r>
      <w:r>
        <w:fldChar w:fldCharType="begin"/>
      </w:r>
      <w:r>
        <w:instrText xml:space="preserve">PAGEREF _Toc_2_2_0000000003 \h</w:instrText>
      </w:r>
      <w:r>
        <w:fldChar w:fldCharType="separate"/>
      </w:r>
      <w:r>
        <w:t>1</w:t>
      </w:r>
      <w:r>
        <w:fldChar w:fldCharType="end"/>
      </w:r>
      <w:r>
        <w:fldChar w:fldCharType="end"/>
      </w:r>
    </w:p>
    <w:p w14:paraId="4E64F8F5">
      <w:r>
        <w:fldChar w:fldCharType="end"/>
      </w:r>
    </w:p>
    <w:p w14:paraId="1E2CBEE8">
      <w:pPr>
        <w:spacing w:before="0" w:after="0" w:line="240" w:lineRule="auto"/>
        <w:ind w:firstLine="0"/>
        <w:jc w:val="center"/>
        <w:outlineLvl w:val="9"/>
      </w:pPr>
      <w:r>
        <w:rPr>
          <w:rFonts w:ascii="方正小标宋_GBK" w:hAnsi="方正小标宋_GBK" w:eastAsia="方正小标宋_GBK" w:cs="方正小标宋_GBK"/>
          <w:color w:val="000000"/>
          <w:sz w:val="30"/>
        </w:rPr>
        <w:t>第二部分 预算项目绩效目标</w:t>
      </w:r>
    </w:p>
    <w:p w14:paraId="5FE7B5A6">
      <w:pPr>
        <w:pStyle w:val="4"/>
        <w:tabs>
          <w:tab w:val="right" w:leader="dot" w:pos="9282"/>
        </w:tabs>
      </w:pPr>
      <w:r>
        <w:fldChar w:fldCharType="begin"/>
      </w:r>
      <w:r>
        <w:instrText xml:space="preserve">TOC \o "4-4" \h \z \u</w:instrText>
      </w:r>
      <w:r>
        <w:fldChar w:fldCharType="separate"/>
      </w:r>
      <w:r>
        <w:fldChar w:fldCharType="begin"/>
      </w:r>
      <w:r>
        <w:instrText xml:space="preserve">HYPERLINK \l _Toc_4_4_0000000004</w:instrText>
      </w:r>
      <w:r>
        <w:fldChar w:fldCharType="separate"/>
      </w:r>
      <w:r>
        <w:t>1.县社农村产权交易中心工作经费项目绩效目标表</w:t>
      </w:r>
      <w:r>
        <w:tab/>
      </w:r>
      <w:r>
        <w:fldChar w:fldCharType="begin"/>
      </w:r>
      <w:r>
        <w:instrText xml:space="preserve">PAGEREF _Toc_4_4_0000000004 \h</w:instrText>
      </w:r>
      <w:r>
        <w:fldChar w:fldCharType="separate"/>
      </w:r>
      <w:r>
        <w:t>3</w:t>
      </w:r>
      <w:r>
        <w:fldChar w:fldCharType="end"/>
      </w:r>
      <w:r>
        <w:fldChar w:fldCharType="end"/>
      </w:r>
    </w:p>
    <w:p w14:paraId="022524CB">
      <w:pPr>
        <w:pStyle w:val="4"/>
        <w:tabs>
          <w:tab w:val="right" w:leader="dot" w:pos="9282"/>
        </w:tabs>
      </w:pPr>
      <w:r>
        <w:fldChar w:fldCharType="begin"/>
      </w:r>
      <w:r>
        <w:instrText xml:space="preserve">HYPERLINK \l _Toc_4_4_0000000005</w:instrText>
      </w:r>
      <w:r>
        <w:fldChar w:fldCharType="separate"/>
      </w:r>
      <w:r>
        <w:t>2.县社食盐储备补贴资金项目绩效目标表</w:t>
      </w:r>
      <w:r>
        <w:tab/>
      </w:r>
      <w:r>
        <w:fldChar w:fldCharType="begin"/>
      </w:r>
      <w:r>
        <w:instrText xml:space="preserve">PAGEREF _Toc_4_4_0000000005 \h</w:instrText>
      </w:r>
      <w:r>
        <w:fldChar w:fldCharType="separate"/>
      </w:r>
      <w:r>
        <w:t>4</w:t>
      </w:r>
      <w:r>
        <w:fldChar w:fldCharType="end"/>
      </w:r>
      <w:r>
        <w:fldChar w:fldCharType="end"/>
      </w:r>
    </w:p>
    <w:p w14:paraId="3E465915">
      <w:pPr>
        <w:pStyle w:val="4"/>
        <w:tabs>
          <w:tab w:val="right" w:leader="dot" w:pos="9282"/>
        </w:tabs>
      </w:pPr>
      <w:r>
        <w:fldChar w:fldCharType="begin"/>
      </w:r>
      <w:r>
        <w:instrText xml:space="preserve">HYPERLINK \l _Toc_4_4_0000000006</w:instrText>
      </w:r>
      <w:r>
        <w:fldChar w:fldCharType="separate"/>
      </w:r>
      <w:r>
        <w:t>3.县社盐政改制人员工资及保险补贴资金项目绩效目标表</w:t>
      </w:r>
      <w:r>
        <w:tab/>
      </w:r>
      <w:r>
        <w:fldChar w:fldCharType="begin"/>
      </w:r>
      <w:r>
        <w:instrText xml:space="preserve">PAGEREF _Toc_4_4_0000000006 \h</w:instrText>
      </w:r>
      <w:r>
        <w:fldChar w:fldCharType="separate"/>
      </w:r>
      <w:r>
        <w:t>5</w:t>
      </w:r>
      <w:r>
        <w:fldChar w:fldCharType="end"/>
      </w:r>
      <w:r>
        <w:fldChar w:fldCharType="end"/>
      </w:r>
    </w:p>
    <w:p w14:paraId="1D34CBC6">
      <w:r>
        <w:fldChar w:fldCharType="end"/>
      </w:r>
    </w:p>
    <w:p w14:paraId="4425D4B6">
      <w:pPr>
        <w:sectPr>
          <w:footerReference r:id="rId3" w:type="default"/>
          <w:footerReference r:id="rId4" w:type="even"/>
          <w:pgSz w:w="11900" w:h="16840"/>
          <w:pgMar w:top="1984" w:right="1304" w:bottom="1134" w:left="1304" w:header="720" w:footer="720" w:gutter="0"/>
          <w:pgNumType w:start="1"/>
          <w:cols w:space="720" w:num="1"/>
        </w:sectPr>
      </w:pPr>
      <w:r>
        <w:br w:type="page"/>
      </w:r>
    </w:p>
    <w:p w14:paraId="3118A07C">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EDC1448">
      <w:pPr>
        <w:spacing w:before="0" w:after="0" w:line="240" w:lineRule="auto"/>
        <w:ind w:firstLine="0"/>
        <w:jc w:val="center"/>
        <w:outlineLvl w:val="9"/>
      </w:pPr>
      <w:r>
        <w:rPr>
          <w:rFonts w:ascii="方正小标宋_GBK" w:hAnsi="方正小标宋_GBK" w:eastAsia="方正小标宋_GBK" w:cs="方正小标宋_GBK"/>
          <w:color w:val="000000"/>
          <w:sz w:val="44"/>
        </w:rPr>
        <w:t>第一部分</w:t>
      </w:r>
    </w:p>
    <w:p w14:paraId="24506B9F">
      <w:pPr>
        <w:spacing w:before="0" w:after="0" w:line="240" w:lineRule="auto"/>
        <w:ind w:firstLine="0"/>
        <w:jc w:val="center"/>
        <w:outlineLvl w:val="0"/>
      </w:pPr>
      <w:r>
        <w:rPr>
          <w:rFonts w:ascii="方正小标宋_GBK" w:hAnsi="方正小标宋_GBK" w:eastAsia="方正小标宋_GBK" w:cs="方正小标宋_GBK"/>
          <w:color w:val="000000"/>
          <w:sz w:val="44"/>
        </w:rPr>
        <w:t>部门整体绩效目标</w:t>
      </w:r>
    </w:p>
    <w:p w14:paraId="7CAD01D6">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2A58121">
      <w:pPr>
        <w:spacing w:before="10" w:after="10"/>
        <w:ind w:firstLine="560"/>
        <w:jc w:val="left"/>
        <w:outlineLvl w:val="1"/>
        <w:rPr>
          <w:b/>
          <w:bCs/>
        </w:rPr>
      </w:pPr>
      <w:bookmarkStart w:id="0" w:name="_Toc_2_2_0000000001"/>
      <w:r>
        <w:rPr>
          <w:rFonts w:ascii="方正黑体_GBK" w:hAnsi="方正黑体_GBK" w:eastAsia="方正黑体_GBK" w:cs="方正黑体_GBK"/>
          <w:b/>
          <w:bCs/>
          <w:color w:val="000000"/>
          <w:sz w:val="28"/>
        </w:rPr>
        <w:t>一、总体绩效目标</w:t>
      </w:r>
      <w:bookmarkEnd w:id="0"/>
    </w:p>
    <w:p w14:paraId="48AA20CF">
      <w:pPr>
        <w:spacing w:before="10" w:after="10"/>
        <w:ind w:firstLine="560"/>
        <w:jc w:val="left"/>
        <w:outlineLvl w:val="1"/>
        <w:rPr>
          <w:rFonts w:hint="eastAsia" w:ascii="方正黑体_GBK" w:hAnsi="方正黑体_GBK" w:eastAsia="方正黑体_GBK" w:cs="方正黑体_GBK"/>
          <w:color w:val="000000"/>
          <w:sz w:val="28"/>
          <w:lang w:eastAsia="zh-CN"/>
        </w:rPr>
      </w:pPr>
      <w:r>
        <w:rPr>
          <w:rFonts w:hint="eastAsia" w:ascii="方正黑体_GBK" w:hAnsi="方正黑体_GBK" w:eastAsia="方正黑体_GBK" w:cs="方正黑体_GBK"/>
          <w:color w:val="000000"/>
          <w:sz w:val="28"/>
        </w:rPr>
        <w:t>总体绩效目标：认真学习贯彻落实习近平总书记关于供销社工作作出的重要指示批示精神，把指示批示精神贯穿到今后工作全过程。始终践行为农服务宗旨，持续推进改革创新，不断提高为“三农”服务的综合能力，进一步抓好促进和带动农业社会化服务、农业现代流通、农民专业合作社等重点工作，优化重要农资和农副产品供应服务，</w:t>
      </w:r>
      <w:r>
        <w:rPr>
          <w:rFonts w:hint="eastAsia" w:ascii="方正黑体_GBK" w:hAnsi="方正黑体_GBK" w:eastAsia="方正黑体_GBK" w:cs="方正黑体_GBK"/>
          <w:color w:val="000000"/>
          <w:sz w:val="28"/>
          <w:lang w:eastAsia="zh-CN"/>
        </w:rPr>
        <w:t>提高物资储备保障能力，保障机关工作正常高效运转。</w:t>
      </w:r>
    </w:p>
    <w:p w14:paraId="0DF7CE96">
      <w:pPr>
        <w:spacing w:before="10" w:after="10"/>
        <w:ind w:firstLine="560"/>
        <w:jc w:val="left"/>
        <w:outlineLvl w:val="1"/>
        <w:rPr>
          <w:b/>
          <w:bCs/>
        </w:rPr>
      </w:pPr>
      <w:bookmarkStart w:id="1" w:name="_Toc_2_2_0000000002"/>
      <w:r>
        <w:rPr>
          <w:rFonts w:ascii="方正黑体_GBK" w:hAnsi="方正黑体_GBK" w:eastAsia="方正黑体_GBK" w:cs="方正黑体_GBK"/>
          <w:b/>
          <w:bCs/>
          <w:color w:val="000000"/>
          <w:sz w:val="28"/>
        </w:rPr>
        <w:t>二、分项绩效目标</w:t>
      </w:r>
      <w:bookmarkEnd w:id="1"/>
    </w:p>
    <w:p w14:paraId="6C16DC96">
      <w:pPr>
        <w:spacing w:before="10" w:after="10"/>
        <w:ind w:firstLine="560"/>
        <w:jc w:val="left"/>
        <w:outlineLvl w:val="1"/>
        <w:rPr>
          <w:rFonts w:hint="eastAsia" w:ascii="方正黑体_GBK" w:hAnsi="方正黑体_GBK" w:eastAsia="方正黑体_GBK" w:cs="方正黑体_GBK"/>
          <w:color w:val="000000"/>
          <w:sz w:val="28"/>
        </w:rPr>
      </w:pPr>
      <w:r>
        <w:rPr>
          <w:rFonts w:hint="eastAsia" w:ascii="方正黑体_GBK" w:hAnsi="方正黑体_GBK" w:eastAsia="方正黑体_GBK" w:cs="方正黑体_GBK"/>
          <w:color w:val="000000"/>
          <w:sz w:val="28"/>
          <w:lang w:eastAsia="zh-CN"/>
        </w:rPr>
        <w:t>1.</w:t>
      </w:r>
      <w:r>
        <w:rPr>
          <w:rFonts w:hint="eastAsia" w:ascii="方正黑体_GBK" w:hAnsi="方正黑体_GBK" w:eastAsia="方正黑体_GBK" w:cs="方正黑体_GBK"/>
          <w:color w:val="000000"/>
          <w:sz w:val="28"/>
        </w:rPr>
        <w:t>发展现代流通网络建设与管理</w:t>
      </w:r>
      <w:bookmarkStart w:id="6" w:name="_GoBack"/>
      <w:bookmarkEnd w:id="6"/>
    </w:p>
    <w:p w14:paraId="382D58F4">
      <w:pPr>
        <w:spacing w:before="10" w:after="10"/>
        <w:ind w:firstLine="560"/>
        <w:jc w:val="left"/>
        <w:outlineLvl w:val="1"/>
        <w:rPr>
          <w:rFonts w:hint="eastAsia" w:ascii="方正黑体_GBK" w:hAnsi="方正黑体_GBK" w:eastAsia="方正黑体_GBK" w:cs="方正黑体_GBK"/>
          <w:color w:val="000000"/>
          <w:sz w:val="28"/>
        </w:rPr>
      </w:pPr>
      <w:r>
        <w:rPr>
          <w:rFonts w:hint="eastAsia" w:ascii="方正黑体_GBK" w:hAnsi="方正黑体_GBK" w:eastAsia="方正黑体_GBK" w:cs="方正黑体_GBK"/>
          <w:color w:val="000000"/>
          <w:sz w:val="28"/>
        </w:rPr>
        <w:t>绩效目标</w:t>
      </w:r>
      <w:r>
        <w:rPr>
          <w:rFonts w:hint="eastAsia" w:ascii="方正黑体_GBK" w:hAnsi="方正黑体_GBK" w:eastAsia="方正黑体_GBK" w:cs="方正黑体_GBK"/>
          <w:color w:val="000000"/>
          <w:sz w:val="28"/>
          <w:lang w:eastAsia="zh-CN"/>
        </w:rPr>
        <w:t>：</w:t>
      </w:r>
      <w:r>
        <w:rPr>
          <w:rFonts w:hint="eastAsia" w:ascii="方正黑体_GBK" w:hAnsi="方正黑体_GBK" w:eastAsia="方正黑体_GBK" w:cs="方正黑体_GBK"/>
          <w:color w:val="000000"/>
          <w:sz w:val="28"/>
        </w:rPr>
        <w:t>健全农资、农副产品、日用消费品、再生资源回收利用四大网络，发展农村电子商务。</w:t>
      </w:r>
    </w:p>
    <w:p w14:paraId="20AB29B0">
      <w:pPr>
        <w:spacing w:before="10" w:after="10"/>
        <w:ind w:firstLine="560"/>
        <w:jc w:val="left"/>
        <w:outlineLvl w:val="1"/>
        <w:rPr>
          <w:rFonts w:hint="default" w:ascii="方正黑体_GBK" w:hAnsi="方正黑体_GBK" w:eastAsia="方正黑体_GBK" w:cs="方正黑体_GBK"/>
          <w:color w:val="000000"/>
          <w:sz w:val="28"/>
          <w:lang w:val="en-US" w:eastAsia="zh-CN"/>
        </w:rPr>
      </w:pPr>
      <w:r>
        <w:rPr>
          <w:rFonts w:hint="eastAsia" w:ascii="方正黑体_GBK" w:hAnsi="方正黑体_GBK" w:eastAsia="方正黑体_GBK" w:cs="方正黑体_GBK"/>
          <w:color w:val="000000"/>
          <w:sz w:val="28"/>
        </w:rPr>
        <w:t>绩效指标</w:t>
      </w:r>
      <w:r>
        <w:rPr>
          <w:rFonts w:hint="eastAsia" w:ascii="方正黑体_GBK" w:hAnsi="方正黑体_GBK" w:eastAsia="方正黑体_GBK" w:cs="方正黑体_GBK"/>
          <w:color w:val="000000"/>
          <w:sz w:val="28"/>
          <w:lang w:eastAsia="zh-CN"/>
        </w:rPr>
        <w:t>：</w:t>
      </w:r>
      <w:r>
        <w:rPr>
          <w:rFonts w:hint="eastAsia" w:ascii="方正黑体_GBK" w:hAnsi="方正黑体_GBK" w:eastAsia="方正黑体_GBK" w:cs="方正黑体_GBK"/>
          <w:color w:val="000000"/>
          <w:sz w:val="28"/>
        </w:rPr>
        <w:t>全县供销系统流通网络购销总额增长率不低于5%，电子商务销售额增长率不低于5%。</w:t>
      </w:r>
      <w:r>
        <w:rPr>
          <w:rFonts w:hint="eastAsia" w:ascii="方正黑体_GBK" w:hAnsi="方正黑体_GBK" w:eastAsia="方正黑体_GBK" w:cs="方正黑体_GBK"/>
          <w:color w:val="000000"/>
          <w:sz w:val="28"/>
          <w:lang w:eastAsia="zh-CN"/>
        </w:rPr>
        <w:t>实现系统购销额不断</w:t>
      </w:r>
      <w:r>
        <w:rPr>
          <w:rFonts w:hint="eastAsia" w:ascii="方正黑体_GBK" w:hAnsi="方正黑体_GBK" w:eastAsia="方正黑体_GBK" w:cs="方正黑体_GBK"/>
          <w:color w:val="000000"/>
          <w:sz w:val="28"/>
          <w:lang w:val="en-US" w:eastAsia="zh-CN"/>
        </w:rPr>
        <w:t>增长。</w:t>
      </w:r>
    </w:p>
    <w:p w14:paraId="1F38126F">
      <w:pPr>
        <w:spacing w:before="10" w:after="10"/>
        <w:ind w:firstLine="560"/>
        <w:jc w:val="left"/>
        <w:outlineLvl w:val="1"/>
        <w:rPr>
          <w:rFonts w:hint="eastAsia" w:ascii="方正黑体_GBK" w:hAnsi="方正黑体_GBK" w:eastAsia="方正黑体_GBK" w:cs="方正黑体_GBK"/>
          <w:color w:val="000000"/>
          <w:sz w:val="28"/>
        </w:rPr>
      </w:pPr>
      <w:r>
        <w:rPr>
          <w:rFonts w:hint="eastAsia" w:ascii="方正黑体_GBK" w:hAnsi="方正黑体_GBK" w:eastAsia="方正黑体_GBK" w:cs="方正黑体_GBK"/>
          <w:color w:val="000000"/>
          <w:sz w:val="28"/>
          <w:lang w:eastAsia="zh-CN"/>
        </w:rPr>
        <w:t>2.</w:t>
      </w:r>
      <w:r>
        <w:rPr>
          <w:rFonts w:hint="eastAsia" w:ascii="方正黑体_GBK" w:hAnsi="方正黑体_GBK" w:eastAsia="方正黑体_GBK" w:cs="方正黑体_GBK"/>
          <w:color w:val="000000"/>
          <w:sz w:val="28"/>
        </w:rPr>
        <w:t>社属企业运营管理与建设</w:t>
      </w:r>
    </w:p>
    <w:p w14:paraId="7622E510">
      <w:pPr>
        <w:spacing w:before="10" w:after="10"/>
        <w:ind w:firstLine="560"/>
        <w:jc w:val="left"/>
        <w:outlineLvl w:val="1"/>
        <w:rPr>
          <w:rFonts w:hint="eastAsia" w:ascii="方正黑体_GBK" w:hAnsi="方正黑体_GBK" w:eastAsia="方正黑体_GBK" w:cs="方正黑体_GBK"/>
          <w:color w:val="000000"/>
          <w:sz w:val="28"/>
        </w:rPr>
      </w:pPr>
      <w:r>
        <w:rPr>
          <w:rFonts w:hint="eastAsia" w:ascii="方正黑体_GBK" w:hAnsi="方正黑体_GBK" w:eastAsia="方正黑体_GBK" w:cs="方正黑体_GBK"/>
          <w:color w:val="000000"/>
          <w:sz w:val="28"/>
        </w:rPr>
        <w:t>绩效目标</w:t>
      </w:r>
      <w:r>
        <w:rPr>
          <w:rFonts w:hint="eastAsia" w:ascii="方正黑体_GBK" w:hAnsi="方正黑体_GBK" w:eastAsia="方正黑体_GBK" w:cs="方正黑体_GBK"/>
          <w:color w:val="000000"/>
          <w:sz w:val="28"/>
          <w:lang w:eastAsia="zh-CN"/>
        </w:rPr>
        <w:t>：</w:t>
      </w:r>
      <w:r>
        <w:rPr>
          <w:rFonts w:hint="eastAsia" w:ascii="方正黑体_GBK" w:hAnsi="方正黑体_GBK" w:eastAsia="方正黑体_GBK" w:cs="方正黑体_GBK"/>
          <w:color w:val="000000"/>
          <w:sz w:val="28"/>
        </w:rPr>
        <w:t>社有企业实现跨越式发展，供销社体制机制明显优化，营业收入、利润总额和净资产均有不同程度增长。</w:t>
      </w:r>
    </w:p>
    <w:p w14:paraId="00ED1B37">
      <w:pPr>
        <w:spacing w:before="10" w:after="10"/>
        <w:ind w:firstLine="560"/>
        <w:jc w:val="left"/>
        <w:outlineLvl w:val="1"/>
        <w:rPr>
          <w:rFonts w:hint="eastAsia" w:ascii="方正黑体_GBK" w:hAnsi="方正黑体_GBK" w:eastAsia="方正黑体_GBK" w:cs="方正黑体_GBK"/>
          <w:color w:val="000000"/>
          <w:sz w:val="28"/>
          <w:lang w:eastAsia="zh-CN"/>
        </w:rPr>
      </w:pPr>
      <w:r>
        <w:rPr>
          <w:rFonts w:hint="eastAsia" w:ascii="方正黑体_GBK" w:hAnsi="方正黑体_GBK" w:eastAsia="方正黑体_GBK" w:cs="方正黑体_GBK"/>
          <w:color w:val="000000"/>
          <w:sz w:val="28"/>
        </w:rPr>
        <w:t>绩效指标</w:t>
      </w:r>
      <w:r>
        <w:rPr>
          <w:rFonts w:hint="eastAsia" w:ascii="方正黑体_GBK" w:hAnsi="方正黑体_GBK" w:eastAsia="方正黑体_GBK" w:cs="方正黑体_GBK"/>
          <w:color w:val="000000"/>
          <w:sz w:val="28"/>
          <w:lang w:eastAsia="zh-CN"/>
        </w:rPr>
        <w:t>：</w:t>
      </w:r>
      <w:r>
        <w:rPr>
          <w:rFonts w:hint="eastAsia" w:ascii="方正黑体_GBK" w:hAnsi="方正黑体_GBK" w:eastAsia="方正黑体_GBK" w:cs="方正黑体_GBK"/>
          <w:color w:val="000000"/>
          <w:sz w:val="28"/>
        </w:rPr>
        <w:t>社有资产增长率、营业收入增长率、利润总额增长率不低于5%。</w:t>
      </w:r>
      <w:r>
        <w:rPr>
          <w:rFonts w:hint="eastAsia" w:ascii="方正黑体_GBK" w:hAnsi="方正黑体_GBK" w:eastAsia="方正黑体_GBK" w:cs="方正黑体_GBK"/>
          <w:color w:val="000000"/>
          <w:sz w:val="28"/>
          <w:lang w:eastAsia="zh-CN"/>
        </w:rPr>
        <w:t>提高经济效益，推动企业发展。</w:t>
      </w:r>
    </w:p>
    <w:p w14:paraId="70870054">
      <w:pPr>
        <w:spacing w:before="10" w:after="10"/>
        <w:ind w:firstLine="560"/>
        <w:jc w:val="left"/>
        <w:outlineLvl w:val="1"/>
        <w:rPr>
          <w:rFonts w:hint="eastAsia" w:ascii="方正黑体_GBK" w:hAnsi="方正黑体_GBK" w:eastAsia="方正黑体_GBK" w:cs="方正黑体_GBK"/>
          <w:color w:val="000000"/>
          <w:sz w:val="28"/>
        </w:rPr>
      </w:pPr>
      <w:r>
        <w:rPr>
          <w:rFonts w:hint="eastAsia" w:ascii="方正黑体_GBK" w:hAnsi="方正黑体_GBK" w:eastAsia="方正黑体_GBK" w:cs="方正黑体_GBK"/>
          <w:color w:val="000000"/>
          <w:sz w:val="28"/>
          <w:lang w:eastAsia="zh-CN"/>
        </w:rPr>
        <w:t>3.</w:t>
      </w:r>
      <w:r>
        <w:rPr>
          <w:rFonts w:hint="eastAsia" w:ascii="方正黑体_GBK" w:hAnsi="方正黑体_GBK" w:eastAsia="方正黑体_GBK" w:cs="方正黑体_GBK"/>
          <w:color w:val="000000"/>
          <w:sz w:val="28"/>
        </w:rPr>
        <w:t>完善基层服务体系</w:t>
      </w:r>
    </w:p>
    <w:p w14:paraId="79A252A2">
      <w:pPr>
        <w:spacing w:before="10" w:after="10"/>
        <w:ind w:firstLine="560"/>
        <w:jc w:val="left"/>
        <w:outlineLvl w:val="1"/>
        <w:rPr>
          <w:rFonts w:hint="eastAsia" w:ascii="方正黑体_GBK" w:hAnsi="方正黑体_GBK" w:eastAsia="方正黑体_GBK" w:cs="方正黑体_GBK"/>
          <w:color w:val="000000"/>
          <w:sz w:val="28"/>
          <w:lang w:eastAsia="zh-CN"/>
        </w:rPr>
      </w:pPr>
      <w:r>
        <w:rPr>
          <w:rFonts w:hint="eastAsia" w:ascii="方正黑体_GBK" w:hAnsi="方正黑体_GBK" w:eastAsia="方正黑体_GBK" w:cs="方正黑体_GBK"/>
          <w:color w:val="000000"/>
          <w:sz w:val="28"/>
        </w:rPr>
        <w:t>绩效目标</w:t>
      </w:r>
      <w:r>
        <w:rPr>
          <w:rFonts w:hint="eastAsia" w:ascii="方正黑体_GBK" w:hAnsi="方正黑体_GBK" w:eastAsia="方正黑体_GBK" w:cs="方正黑体_GBK"/>
          <w:color w:val="000000"/>
          <w:sz w:val="28"/>
          <w:lang w:eastAsia="zh-CN"/>
        </w:rPr>
        <w:t>：</w:t>
      </w:r>
      <w:r>
        <w:rPr>
          <w:rFonts w:hint="eastAsia" w:ascii="方正黑体_GBK" w:hAnsi="方正黑体_GBK" w:eastAsia="方正黑体_GBK" w:cs="方正黑体_GBK"/>
          <w:color w:val="000000"/>
          <w:sz w:val="28"/>
        </w:rPr>
        <w:t>本年度改造提升基层社数量有所增加</w:t>
      </w:r>
      <w:r>
        <w:rPr>
          <w:rFonts w:hint="eastAsia" w:ascii="方正黑体_GBK" w:hAnsi="方正黑体_GBK" w:eastAsia="方正黑体_GBK" w:cs="方正黑体_GBK"/>
          <w:color w:val="000000"/>
          <w:sz w:val="28"/>
          <w:lang w:eastAsia="zh-CN"/>
        </w:rPr>
        <w:t>，综合服务能力得到加强。</w:t>
      </w:r>
    </w:p>
    <w:p w14:paraId="07BAC205">
      <w:pPr>
        <w:spacing w:before="10" w:after="10"/>
        <w:ind w:firstLine="560"/>
        <w:jc w:val="left"/>
        <w:outlineLvl w:val="1"/>
        <w:rPr>
          <w:rFonts w:hint="eastAsia" w:ascii="方正黑体_GBK" w:hAnsi="方正黑体_GBK" w:eastAsia="方正黑体_GBK" w:cs="方正黑体_GBK"/>
          <w:color w:val="000000"/>
          <w:sz w:val="28"/>
          <w:lang w:eastAsia="zh-CN"/>
        </w:rPr>
      </w:pPr>
      <w:r>
        <w:rPr>
          <w:rFonts w:hint="eastAsia" w:ascii="方正黑体_GBK" w:hAnsi="方正黑体_GBK" w:eastAsia="方正黑体_GBK" w:cs="方正黑体_GBK"/>
          <w:color w:val="000000"/>
          <w:sz w:val="28"/>
        </w:rPr>
        <w:t>绩效指标</w:t>
      </w:r>
      <w:r>
        <w:rPr>
          <w:rFonts w:hint="eastAsia" w:ascii="方正黑体_GBK" w:hAnsi="方正黑体_GBK" w:eastAsia="方正黑体_GBK" w:cs="方正黑体_GBK"/>
          <w:color w:val="000000"/>
          <w:sz w:val="28"/>
          <w:lang w:eastAsia="zh-CN"/>
        </w:rPr>
        <w:t>：</w:t>
      </w:r>
      <w:r>
        <w:rPr>
          <w:rFonts w:hint="eastAsia" w:ascii="方正黑体_GBK" w:hAnsi="方正黑体_GBK" w:eastAsia="方正黑体_GBK" w:cs="方正黑体_GBK"/>
          <w:color w:val="000000"/>
          <w:sz w:val="28"/>
        </w:rPr>
        <w:t>本年提升改造薄弱基层社</w:t>
      </w:r>
      <w:r>
        <w:rPr>
          <w:rFonts w:hint="eastAsia" w:ascii="方正黑体_GBK" w:hAnsi="方正黑体_GBK" w:eastAsia="方正黑体_GBK" w:cs="方正黑体_GBK"/>
          <w:color w:val="000000"/>
          <w:sz w:val="28"/>
          <w:lang w:val="en-US" w:eastAsia="zh-CN"/>
        </w:rPr>
        <w:t>1</w:t>
      </w:r>
      <w:r>
        <w:rPr>
          <w:rFonts w:hint="eastAsia" w:ascii="方正黑体_GBK" w:hAnsi="方正黑体_GBK" w:eastAsia="方正黑体_GBK" w:cs="方正黑体_GBK"/>
          <w:color w:val="000000"/>
          <w:sz w:val="28"/>
        </w:rPr>
        <w:t>家</w:t>
      </w:r>
      <w:r>
        <w:rPr>
          <w:rFonts w:hint="eastAsia" w:ascii="方正黑体_GBK" w:hAnsi="方正黑体_GBK" w:eastAsia="方正黑体_GBK" w:cs="方正黑体_GBK"/>
          <w:color w:val="000000"/>
          <w:sz w:val="28"/>
          <w:lang w:eastAsia="zh-CN"/>
        </w:rPr>
        <w:t>，升级基础硬件设施。</w:t>
      </w:r>
    </w:p>
    <w:p w14:paraId="61928DA6">
      <w:pPr>
        <w:spacing w:before="10" w:after="10"/>
        <w:ind w:firstLine="560"/>
        <w:jc w:val="left"/>
        <w:outlineLvl w:val="1"/>
        <w:rPr>
          <w:rFonts w:hint="eastAsia" w:ascii="方正黑体_GBK" w:hAnsi="方正黑体_GBK" w:eastAsia="方正黑体_GBK" w:cs="方正黑体_GBK"/>
          <w:color w:val="000000"/>
          <w:sz w:val="28"/>
        </w:rPr>
      </w:pPr>
      <w:r>
        <w:rPr>
          <w:rFonts w:hint="eastAsia" w:ascii="方正黑体_GBK" w:hAnsi="方正黑体_GBK" w:eastAsia="方正黑体_GBK" w:cs="方正黑体_GBK"/>
          <w:color w:val="000000"/>
          <w:sz w:val="28"/>
          <w:lang w:eastAsia="zh-CN"/>
        </w:rPr>
        <w:t>4.</w:t>
      </w:r>
      <w:r>
        <w:rPr>
          <w:rFonts w:hint="eastAsia" w:ascii="方正黑体_GBK" w:hAnsi="方正黑体_GBK" w:eastAsia="方正黑体_GBK" w:cs="方正黑体_GBK"/>
          <w:color w:val="000000"/>
          <w:sz w:val="28"/>
        </w:rPr>
        <w:t>全面实施农业社会化服务惠农工程</w:t>
      </w:r>
    </w:p>
    <w:p w14:paraId="6B77E514">
      <w:pPr>
        <w:spacing w:before="10" w:after="10"/>
        <w:ind w:firstLine="560"/>
        <w:jc w:val="left"/>
        <w:outlineLvl w:val="1"/>
        <w:rPr>
          <w:rFonts w:hint="eastAsia" w:ascii="方正黑体_GBK" w:hAnsi="方正黑体_GBK" w:eastAsia="方正黑体_GBK" w:cs="方正黑体_GBK"/>
          <w:color w:val="000000"/>
          <w:sz w:val="28"/>
          <w:lang w:eastAsia="zh-CN"/>
        </w:rPr>
      </w:pPr>
      <w:r>
        <w:rPr>
          <w:rFonts w:hint="eastAsia" w:ascii="方正黑体_GBK" w:hAnsi="方正黑体_GBK" w:eastAsia="方正黑体_GBK" w:cs="方正黑体_GBK"/>
          <w:color w:val="000000"/>
          <w:sz w:val="28"/>
        </w:rPr>
        <w:t>绩效目标</w:t>
      </w:r>
      <w:r>
        <w:rPr>
          <w:rFonts w:hint="eastAsia" w:ascii="方正黑体_GBK" w:hAnsi="方正黑体_GBK" w:eastAsia="方正黑体_GBK" w:cs="方正黑体_GBK"/>
          <w:color w:val="000000"/>
          <w:sz w:val="28"/>
          <w:lang w:eastAsia="zh-CN"/>
        </w:rPr>
        <w:t>：加强惠农服务平台建设。</w:t>
      </w:r>
    </w:p>
    <w:p w14:paraId="371D8A0C">
      <w:pPr>
        <w:spacing w:before="10" w:after="10"/>
        <w:ind w:firstLine="560"/>
        <w:jc w:val="left"/>
        <w:outlineLvl w:val="1"/>
        <w:rPr>
          <w:rFonts w:hint="eastAsia" w:ascii="方正黑体_GBK" w:hAnsi="方正黑体_GBK" w:eastAsia="方正黑体_GBK" w:cs="方正黑体_GBK"/>
          <w:color w:val="000000"/>
          <w:sz w:val="28"/>
          <w:lang w:eastAsia="zh-CN"/>
        </w:rPr>
      </w:pPr>
      <w:r>
        <w:rPr>
          <w:rFonts w:hint="eastAsia" w:ascii="方正黑体_GBK" w:hAnsi="方正黑体_GBK" w:eastAsia="方正黑体_GBK" w:cs="方正黑体_GBK"/>
          <w:color w:val="000000"/>
          <w:sz w:val="28"/>
        </w:rPr>
        <w:t>绩效指标</w:t>
      </w:r>
      <w:r>
        <w:rPr>
          <w:rFonts w:hint="eastAsia" w:ascii="方正黑体_GBK" w:hAnsi="方正黑体_GBK" w:eastAsia="方正黑体_GBK" w:cs="方正黑体_GBK"/>
          <w:color w:val="000000"/>
          <w:sz w:val="28"/>
          <w:lang w:eastAsia="zh-CN"/>
        </w:rPr>
        <w:t>：进一步增强为农服务功能。</w:t>
      </w:r>
    </w:p>
    <w:p w14:paraId="0AFA04DC">
      <w:pPr>
        <w:spacing w:before="10" w:after="10"/>
        <w:ind w:firstLine="560"/>
        <w:jc w:val="left"/>
        <w:outlineLvl w:val="1"/>
        <w:rPr>
          <w:rFonts w:hint="eastAsia" w:ascii="方正黑体_GBK" w:hAnsi="方正黑体_GBK" w:eastAsia="方正黑体_GBK" w:cs="方正黑体_GBK"/>
          <w:color w:val="000000"/>
          <w:sz w:val="28"/>
        </w:rPr>
      </w:pPr>
      <w:r>
        <w:rPr>
          <w:rFonts w:hint="eastAsia" w:ascii="方正黑体_GBK" w:hAnsi="方正黑体_GBK" w:eastAsia="方正黑体_GBK" w:cs="方正黑体_GBK"/>
          <w:color w:val="000000"/>
          <w:sz w:val="28"/>
          <w:lang w:eastAsia="zh-CN"/>
        </w:rPr>
        <w:t>5.</w:t>
      </w:r>
      <w:r>
        <w:rPr>
          <w:rFonts w:hint="eastAsia" w:ascii="方正黑体_GBK" w:hAnsi="方正黑体_GBK" w:eastAsia="方正黑体_GBK" w:cs="方正黑体_GBK"/>
          <w:color w:val="000000"/>
          <w:sz w:val="28"/>
        </w:rPr>
        <w:t>重要物资储备及监管</w:t>
      </w:r>
    </w:p>
    <w:p w14:paraId="62C71BC1">
      <w:pPr>
        <w:spacing w:before="10" w:after="10"/>
        <w:ind w:firstLine="560"/>
        <w:jc w:val="left"/>
        <w:outlineLvl w:val="1"/>
        <w:rPr>
          <w:rFonts w:hint="eastAsia" w:ascii="方正黑体_GBK" w:hAnsi="方正黑体_GBK" w:eastAsia="方正黑体_GBK" w:cs="方正黑体_GBK"/>
          <w:color w:val="000000"/>
          <w:sz w:val="28"/>
        </w:rPr>
      </w:pPr>
      <w:r>
        <w:rPr>
          <w:rFonts w:hint="eastAsia" w:ascii="方正黑体_GBK" w:hAnsi="方正黑体_GBK" w:eastAsia="方正黑体_GBK" w:cs="方正黑体_GBK"/>
          <w:color w:val="000000"/>
          <w:sz w:val="28"/>
        </w:rPr>
        <w:t>绩效目标</w:t>
      </w:r>
      <w:r>
        <w:rPr>
          <w:rFonts w:hint="eastAsia" w:ascii="方正黑体_GBK" w:hAnsi="方正黑体_GBK" w:eastAsia="方正黑体_GBK" w:cs="方正黑体_GBK"/>
          <w:color w:val="000000"/>
          <w:sz w:val="28"/>
          <w:lang w:eastAsia="zh-CN"/>
        </w:rPr>
        <w:t>：</w:t>
      </w:r>
      <w:r>
        <w:rPr>
          <w:rFonts w:hint="eastAsia" w:ascii="方正黑体_GBK" w:hAnsi="方正黑体_GBK" w:eastAsia="方正黑体_GBK" w:cs="方正黑体_GBK"/>
          <w:color w:val="000000"/>
          <w:sz w:val="28"/>
        </w:rPr>
        <w:t>安排、组织代储企业依据储备计划及时足额、保质保量做好储备商品的储备工作。</w:t>
      </w:r>
    </w:p>
    <w:p w14:paraId="55FD5F5F">
      <w:pPr>
        <w:spacing w:before="10" w:after="10"/>
        <w:ind w:firstLine="560"/>
        <w:jc w:val="left"/>
        <w:outlineLvl w:val="1"/>
        <w:rPr>
          <w:rFonts w:hint="eastAsia" w:ascii="方正黑体_GBK" w:hAnsi="方正黑体_GBK" w:eastAsia="方正黑体_GBK" w:cs="方正黑体_GBK"/>
          <w:color w:val="000000"/>
          <w:sz w:val="28"/>
          <w:lang w:val="en-US" w:eastAsia="zh-CN"/>
        </w:rPr>
      </w:pPr>
      <w:r>
        <w:rPr>
          <w:rFonts w:hint="eastAsia" w:ascii="方正黑体_GBK" w:hAnsi="方正黑体_GBK" w:eastAsia="方正黑体_GBK" w:cs="方正黑体_GBK"/>
          <w:color w:val="000000"/>
          <w:sz w:val="28"/>
        </w:rPr>
        <w:t>绩效指标</w:t>
      </w:r>
      <w:r>
        <w:rPr>
          <w:rFonts w:hint="eastAsia" w:ascii="方正黑体_GBK" w:hAnsi="方正黑体_GBK" w:eastAsia="方正黑体_GBK" w:cs="方正黑体_GBK"/>
          <w:color w:val="000000"/>
          <w:sz w:val="28"/>
          <w:lang w:eastAsia="zh-CN"/>
        </w:rPr>
        <w:t>：</w:t>
      </w:r>
      <w:r>
        <w:rPr>
          <w:rFonts w:hint="eastAsia" w:ascii="方正黑体_GBK" w:hAnsi="方正黑体_GBK" w:eastAsia="方正黑体_GBK" w:cs="方正黑体_GBK"/>
          <w:color w:val="000000"/>
          <w:sz w:val="28"/>
        </w:rPr>
        <w:t>实际储备量占计划储备量比例≧100%，无质量问题储备量占计划储备量的比例等于100%</w:t>
      </w:r>
      <w:r>
        <w:rPr>
          <w:rFonts w:hint="eastAsia" w:ascii="方正黑体_GBK" w:hAnsi="方正黑体_GBK" w:eastAsia="方正黑体_GBK" w:cs="方正黑体_GBK"/>
          <w:color w:val="000000"/>
          <w:sz w:val="28"/>
          <w:lang w:eastAsia="zh-CN"/>
        </w:rPr>
        <w:t>。</w:t>
      </w:r>
      <w:r>
        <w:rPr>
          <w:rFonts w:hint="eastAsia" w:ascii="方正黑体_GBK" w:hAnsi="方正黑体_GBK" w:eastAsia="方正黑体_GBK" w:cs="方正黑体_GBK"/>
          <w:color w:val="000000"/>
          <w:sz w:val="28"/>
          <w:lang w:val="en-US" w:eastAsia="zh-CN"/>
        </w:rPr>
        <w:t>全县食盐市场平稳运行，食盐供应和食盐安全得到保障。</w:t>
      </w:r>
    </w:p>
    <w:p w14:paraId="0DAEC1A0">
      <w:pPr>
        <w:spacing w:before="10" w:after="10"/>
        <w:ind w:firstLine="560"/>
        <w:jc w:val="left"/>
        <w:outlineLvl w:val="1"/>
        <w:rPr>
          <w:rFonts w:hint="eastAsia" w:ascii="方正黑体_GBK" w:hAnsi="方正黑体_GBK" w:eastAsia="方正黑体_GBK" w:cs="方正黑体_GBK"/>
          <w:color w:val="000000"/>
          <w:sz w:val="28"/>
        </w:rPr>
      </w:pPr>
      <w:r>
        <w:rPr>
          <w:rFonts w:hint="eastAsia" w:ascii="方正黑体_GBK" w:hAnsi="方正黑体_GBK" w:eastAsia="方正黑体_GBK" w:cs="方正黑体_GBK"/>
          <w:color w:val="000000"/>
          <w:sz w:val="28"/>
          <w:lang w:eastAsia="zh-CN"/>
        </w:rPr>
        <w:t>6.</w:t>
      </w:r>
      <w:r>
        <w:rPr>
          <w:rFonts w:hint="eastAsia" w:ascii="方正黑体_GBK" w:hAnsi="方正黑体_GBK" w:eastAsia="方正黑体_GBK" w:cs="方正黑体_GBK"/>
          <w:color w:val="000000"/>
          <w:sz w:val="28"/>
        </w:rPr>
        <w:t>综合事务管理</w:t>
      </w:r>
    </w:p>
    <w:p w14:paraId="501B42DE">
      <w:pPr>
        <w:spacing w:before="10" w:after="10"/>
        <w:ind w:firstLine="560"/>
        <w:jc w:val="left"/>
        <w:outlineLvl w:val="1"/>
        <w:rPr>
          <w:rFonts w:hint="eastAsia" w:ascii="方正黑体_GBK" w:hAnsi="方正黑体_GBK" w:eastAsia="方正黑体_GBK" w:cs="方正黑体_GBK"/>
          <w:color w:val="000000"/>
          <w:sz w:val="28"/>
          <w:lang w:eastAsia="zh-CN"/>
        </w:rPr>
      </w:pPr>
      <w:r>
        <w:rPr>
          <w:rFonts w:hint="eastAsia" w:ascii="方正黑体_GBK" w:hAnsi="方正黑体_GBK" w:eastAsia="方正黑体_GBK" w:cs="方正黑体_GBK"/>
          <w:color w:val="000000"/>
          <w:sz w:val="28"/>
        </w:rPr>
        <w:t>绩效目标：保障机关正常高效运转</w:t>
      </w:r>
      <w:r>
        <w:rPr>
          <w:rFonts w:hint="eastAsia" w:ascii="方正黑体_GBK" w:hAnsi="方正黑体_GBK" w:eastAsia="方正黑体_GBK" w:cs="方正黑体_GBK"/>
          <w:color w:val="000000"/>
          <w:sz w:val="28"/>
          <w:lang w:eastAsia="zh-CN"/>
        </w:rPr>
        <w:t>，提升业务保障能力。</w:t>
      </w:r>
    </w:p>
    <w:p w14:paraId="477BE52D">
      <w:pPr>
        <w:spacing w:before="10" w:after="10"/>
        <w:ind w:firstLine="560"/>
        <w:jc w:val="left"/>
        <w:outlineLvl w:val="1"/>
        <w:rPr>
          <w:rFonts w:hint="eastAsia" w:ascii="方正黑体_GBK" w:hAnsi="方正黑体_GBK" w:eastAsia="方正黑体_GBK" w:cs="方正黑体_GBK"/>
          <w:color w:val="000000"/>
          <w:sz w:val="28"/>
          <w:lang w:eastAsia="zh-CN"/>
        </w:rPr>
      </w:pPr>
      <w:r>
        <w:rPr>
          <w:rFonts w:hint="eastAsia" w:ascii="方正黑体_GBK" w:hAnsi="方正黑体_GBK" w:eastAsia="方正黑体_GBK" w:cs="方正黑体_GBK"/>
          <w:color w:val="000000"/>
          <w:sz w:val="28"/>
        </w:rPr>
        <w:t>绩效指标：综合行政事务办结率达100%</w:t>
      </w:r>
      <w:r>
        <w:rPr>
          <w:rFonts w:hint="eastAsia" w:ascii="方正黑体_GBK" w:hAnsi="方正黑体_GBK" w:eastAsia="方正黑体_GBK" w:cs="方正黑体_GBK"/>
          <w:color w:val="000000"/>
          <w:sz w:val="28"/>
          <w:lang w:eastAsia="zh-CN"/>
        </w:rPr>
        <w:t>，业务保障能力进一步提升。</w:t>
      </w:r>
    </w:p>
    <w:p w14:paraId="2252CCB7">
      <w:pPr>
        <w:numPr>
          <w:ilvl w:val="0"/>
          <w:numId w:val="1"/>
        </w:numPr>
        <w:spacing w:before="10" w:after="10"/>
        <w:ind w:firstLine="560"/>
        <w:jc w:val="left"/>
        <w:outlineLvl w:val="1"/>
        <w:rPr>
          <w:rFonts w:hint="eastAsia" w:ascii="方正黑体_GBK" w:hAnsi="方正黑体_GBK" w:eastAsia="方正黑体_GBK" w:cs="方正黑体_GBK"/>
          <w:b/>
          <w:bCs/>
          <w:color w:val="000000"/>
          <w:sz w:val="28"/>
        </w:rPr>
      </w:pPr>
      <w:bookmarkStart w:id="2" w:name="_Toc_2_2_0000000003"/>
      <w:r>
        <w:rPr>
          <w:rFonts w:hint="eastAsia" w:ascii="方正黑体_GBK" w:hAnsi="方正黑体_GBK" w:eastAsia="方正黑体_GBK" w:cs="方正黑体_GBK"/>
          <w:b/>
          <w:bCs/>
          <w:color w:val="000000"/>
          <w:sz w:val="28"/>
        </w:rPr>
        <w:t>工作保障措施</w:t>
      </w:r>
      <w:bookmarkEnd w:id="2"/>
    </w:p>
    <w:p w14:paraId="11616FE5">
      <w:pPr>
        <w:spacing w:before="10" w:after="10"/>
        <w:ind w:firstLine="560"/>
        <w:jc w:val="left"/>
        <w:outlineLvl w:val="1"/>
        <w:rPr>
          <w:rFonts w:hint="eastAsia" w:ascii="方正黑体_GBK" w:hAnsi="方正黑体_GBK" w:eastAsia="方正黑体_GBK" w:cs="方正黑体_GBK"/>
          <w:color w:val="000000"/>
          <w:sz w:val="28"/>
        </w:rPr>
      </w:pPr>
      <w:r>
        <w:rPr>
          <w:rFonts w:hint="eastAsia" w:ascii="方正黑体_GBK" w:hAnsi="方正黑体_GBK" w:eastAsia="方正黑体_GBK" w:cs="方正黑体_GBK"/>
          <w:color w:val="000000"/>
          <w:sz w:val="28"/>
        </w:rPr>
        <w:t>完善制度建设。制定完善预算绩效管理制度、资金管理办法、工作保障制度等，为全年预算绩效目标的实现奠定制度基础。</w:t>
      </w:r>
    </w:p>
    <w:p w14:paraId="3D17D6BE">
      <w:pPr>
        <w:spacing w:before="10" w:after="10"/>
        <w:ind w:firstLine="560"/>
        <w:jc w:val="left"/>
        <w:outlineLvl w:val="1"/>
        <w:rPr>
          <w:rFonts w:hint="eastAsia" w:ascii="方正黑体_GBK" w:hAnsi="方正黑体_GBK" w:eastAsia="方正黑体_GBK" w:cs="方正黑体_GBK"/>
          <w:color w:val="000000"/>
          <w:sz w:val="28"/>
        </w:rPr>
      </w:pPr>
      <w:r>
        <w:rPr>
          <w:rFonts w:hint="eastAsia" w:ascii="方正黑体_GBK" w:hAnsi="方正黑体_GBK" w:eastAsia="方正黑体_GBK" w:cs="方正黑体_GBK"/>
          <w:color w:val="000000"/>
          <w:sz w:val="28"/>
        </w:rPr>
        <w:t>加强支出管理。通过优化支出结构、编细编实预算、及时支付资金、按规定及时下达资金等多种措施，确保支出进度达标。</w:t>
      </w:r>
    </w:p>
    <w:p w14:paraId="49CEA0E2">
      <w:pPr>
        <w:spacing w:before="10" w:after="10"/>
        <w:ind w:firstLine="560"/>
        <w:jc w:val="left"/>
        <w:outlineLvl w:val="1"/>
        <w:rPr>
          <w:rFonts w:hint="eastAsia" w:ascii="方正黑体_GBK" w:hAnsi="方正黑体_GBK" w:eastAsia="方正黑体_GBK" w:cs="方正黑体_GBK"/>
          <w:color w:val="000000"/>
          <w:sz w:val="28"/>
        </w:rPr>
      </w:pPr>
      <w:r>
        <w:rPr>
          <w:rFonts w:hint="eastAsia" w:ascii="方正黑体_GBK" w:hAnsi="方正黑体_GBK" w:eastAsia="方正黑体_GBK" w:cs="方正黑体_GBK"/>
          <w:color w:val="000000"/>
          <w:sz w:val="28"/>
        </w:rPr>
        <w:t>加强绩效运行监控。按要求开展绩效运行监控，发现问题及时采取措施，确保绩效目标如期保质实现。</w:t>
      </w:r>
    </w:p>
    <w:p w14:paraId="3C530EDF">
      <w:pPr>
        <w:spacing w:before="10" w:after="10"/>
        <w:ind w:firstLine="560"/>
        <w:jc w:val="left"/>
        <w:outlineLvl w:val="1"/>
        <w:rPr>
          <w:rFonts w:hint="eastAsia" w:ascii="方正黑体_GBK" w:hAnsi="方正黑体_GBK" w:eastAsia="方正黑体_GBK" w:cs="方正黑体_GBK"/>
          <w:color w:val="000000"/>
          <w:sz w:val="28"/>
        </w:rPr>
      </w:pPr>
      <w:r>
        <w:rPr>
          <w:rFonts w:hint="eastAsia" w:ascii="方正黑体_GBK" w:hAnsi="方正黑体_GBK" w:eastAsia="方正黑体_GBK" w:cs="方正黑体_GBK"/>
          <w:color w:val="000000"/>
          <w:sz w:val="28"/>
        </w:rPr>
        <w:t>做好绩效自评。按要求开展上年度部门预算绩效自评和重点评价工作，对评价中发现的问题及时整改，调整优化支出结构提高财政资金使用效益。</w:t>
      </w:r>
    </w:p>
    <w:p w14:paraId="7EABD1C3">
      <w:pPr>
        <w:spacing w:before="10" w:after="10"/>
        <w:ind w:firstLine="560"/>
        <w:jc w:val="left"/>
        <w:outlineLvl w:val="1"/>
        <w:rPr>
          <w:rFonts w:hint="eastAsia" w:ascii="方正黑体_GBK" w:hAnsi="方正黑体_GBK" w:eastAsia="方正黑体_GBK" w:cs="方正黑体_GBK"/>
          <w:color w:val="000000"/>
          <w:sz w:val="28"/>
        </w:rPr>
      </w:pPr>
      <w:r>
        <w:rPr>
          <w:rFonts w:hint="eastAsia" w:ascii="方正黑体_GBK" w:hAnsi="方正黑体_GBK" w:eastAsia="方正黑体_GBK" w:cs="方正黑体_GBK"/>
          <w:color w:val="000000"/>
          <w:sz w:val="28"/>
        </w:rPr>
        <w:t>规范财务资产管理。完善财务管理制度，严格审批程序加强固定资产登记、使用和报废处置管理，做到支出合理，物尽其用。</w:t>
      </w:r>
    </w:p>
    <w:p w14:paraId="035248BA">
      <w:pPr>
        <w:spacing w:before="10" w:after="10"/>
        <w:ind w:firstLine="560"/>
        <w:jc w:val="left"/>
        <w:outlineLvl w:val="1"/>
        <w:rPr>
          <w:rFonts w:hint="eastAsia" w:ascii="方正黑体_GBK" w:hAnsi="方正黑体_GBK" w:eastAsia="方正黑体_GBK" w:cs="方正黑体_GBK"/>
          <w:color w:val="000000"/>
          <w:sz w:val="28"/>
        </w:rPr>
      </w:pPr>
      <w:r>
        <w:rPr>
          <w:rFonts w:hint="eastAsia" w:ascii="方正黑体_GBK" w:hAnsi="方正黑体_GBK" w:eastAsia="方正黑体_GBK" w:cs="方正黑体_GBK"/>
          <w:color w:val="000000"/>
          <w:sz w:val="28"/>
        </w:rPr>
        <w:t>加强内部监督。加强内部监督制度建设，对绩效运行情况、重大支出决策</w:t>
      </w:r>
      <w:r>
        <w:rPr>
          <w:rFonts w:hint="eastAsia" w:ascii="方正黑体_GBK" w:hAnsi="方正黑体_GBK" w:eastAsia="方正黑体_GBK" w:cs="方正黑体_GBK"/>
          <w:color w:val="000000"/>
          <w:sz w:val="28"/>
          <w:lang w:eastAsia="zh-CN"/>
        </w:rPr>
        <w:t>，以及</w:t>
      </w:r>
      <w:r>
        <w:rPr>
          <w:rFonts w:hint="eastAsia" w:ascii="方正黑体_GBK" w:hAnsi="方正黑体_GBK" w:eastAsia="方正黑体_GBK" w:cs="方正黑体_GBK"/>
          <w:color w:val="000000"/>
          <w:sz w:val="28"/>
        </w:rPr>
        <w:t>其他重要经济业务事项的决策和执行进行督导，对会计资料进行内部审计，并配合做好审计、财政监督等外部监督工作，确保财政资金安全有效。</w:t>
      </w:r>
    </w:p>
    <w:p w14:paraId="57ADCE9C">
      <w:pPr>
        <w:spacing w:before="10" w:after="10"/>
        <w:ind w:firstLine="560"/>
        <w:jc w:val="left"/>
        <w:outlineLvl w:val="1"/>
        <w:rPr>
          <w:rFonts w:hint="eastAsia" w:ascii="方正黑体_GBK" w:hAnsi="方正黑体_GBK" w:eastAsia="方正黑体_GBK" w:cs="方正黑体_GBK"/>
          <w:color w:val="000000"/>
          <w:sz w:val="28"/>
        </w:rPr>
      </w:pPr>
      <w:r>
        <w:rPr>
          <w:rFonts w:hint="eastAsia" w:ascii="方正黑体_GBK" w:hAnsi="方正黑体_GBK" w:eastAsia="方正黑体_GBK" w:cs="方正黑体_GBK"/>
          <w:color w:val="000000"/>
          <w:sz w:val="28"/>
          <w:lang w:val="en-US" w:eastAsia="zh-CN"/>
        </w:rPr>
        <w:t>加强宣传培训调研。加强人员培训，提高本部门职工业务素质；加强调研，提出优化财政资金配置、提高资金使用效益的意见；加大宣传力度，强化预算绩效管理意识，促进预算绩效管理水平进一步提升。</w:t>
      </w:r>
    </w:p>
    <w:p w14:paraId="71973DC5">
      <w:pPr>
        <w:spacing w:before="10" w:after="10"/>
        <w:ind w:firstLine="560"/>
        <w:jc w:val="left"/>
        <w:outlineLvl w:val="1"/>
        <w:rPr>
          <w:rFonts w:hint="eastAsia" w:ascii="方正黑体_GBK" w:hAnsi="方正黑体_GBK" w:eastAsia="方正黑体_GBK" w:cs="方正黑体_GBK"/>
          <w:color w:val="000000"/>
          <w:sz w:val="28"/>
        </w:rPr>
        <w:sectPr>
          <w:footerReference r:id="rId5" w:type="default"/>
          <w:footerReference r:id="rId6" w:type="even"/>
          <w:pgSz w:w="11900" w:h="16840"/>
          <w:pgMar w:top="1984" w:right="1304" w:bottom="1134" w:left="1304" w:header="720" w:footer="720" w:gutter="0"/>
          <w:pgNumType w:start="1"/>
          <w:cols w:space="720" w:num="1"/>
        </w:sectPr>
      </w:pPr>
    </w:p>
    <w:p w14:paraId="6E0A3A6A">
      <w:pPr>
        <w:spacing w:before="0" w:after="0" w:line="240" w:lineRule="auto"/>
        <w:ind w:firstLine="0"/>
        <w:jc w:val="center"/>
        <w:outlineLvl w:val="9"/>
      </w:pPr>
      <w:r>
        <w:rPr>
          <w:rFonts w:ascii="方正小标宋_GBK" w:hAnsi="方正小标宋_GBK" w:eastAsia="方正小标宋_GBK" w:cs="方正小标宋_GBK"/>
          <w:color w:val="000000"/>
          <w:sz w:val="52"/>
        </w:rPr>
        <w:t xml:space="preserve"> </w:t>
      </w:r>
    </w:p>
    <w:p w14:paraId="2D91A097">
      <w:pPr>
        <w:spacing w:before="0" w:after="0" w:line="240" w:lineRule="auto"/>
        <w:ind w:firstLine="0"/>
        <w:jc w:val="center"/>
        <w:outlineLvl w:val="9"/>
      </w:pPr>
      <w:r>
        <w:rPr>
          <w:rFonts w:ascii="方正小标宋_GBK" w:hAnsi="方正小标宋_GBK" w:eastAsia="方正小标宋_GBK" w:cs="方正小标宋_GBK"/>
          <w:color w:val="000000"/>
          <w:sz w:val="52"/>
        </w:rPr>
        <w:t xml:space="preserve"> </w:t>
      </w:r>
    </w:p>
    <w:p w14:paraId="6CD0506F">
      <w:pPr>
        <w:spacing w:before="0" w:after="0" w:line="240" w:lineRule="auto"/>
        <w:ind w:firstLine="0"/>
        <w:jc w:val="center"/>
        <w:outlineLvl w:val="9"/>
      </w:pPr>
      <w:r>
        <w:rPr>
          <w:rFonts w:ascii="方正小标宋_GBK" w:hAnsi="方正小标宋_GBK" w:eastAsia="方正小标宋_GBK" w:cs="方正小标宋_GBK"/>
          <w:color w:val="000000"/>
          <w:sz w:val="52"/>
        </w:rPr>
        <w:t xml:space="preserve"> </w:t>
      </w:r>
    </w:p>
    <w:p w14:paraId="6966E8EB">
      <w:pPr>
        <w:spacing w:before="0" w:after="0" w:line="240" w:lineRule="auto"/>
        <w:ind w:firstLine="0"/>
        <w:jc w:val="center"/>
        <w:outlineLvl w:val="9"/>
      </w:pPr>
      <w:r>
        <w:rPr>
          <w:rFonts w:ascii="方正小标宋_GBK" w:hAnsi="方正小标宋_GBK" w:eastAsia="方正小标宋_GBK" w:cs="方正小标宋_GBK"/>
          <w:color w:val="000000"/>
          <w:sz w:val="44"/>
        </w:rPr>
        <w:t>第二部分</w:t>
      </w:r>
    </w:p>
    <w:p w14:paraId="56CF33AF">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9C04678">
      <w:pPr>
        <w:spacing w:before="0" w:after="0" w:line="240" w:lineRule="auto"/>
        <w:ind w:firstLine="0"/>
        <w:jc w:val="center"/>
        <w:outlineLvl w:val="0"/>
      </w:pPr>
      <w:r>
        <w:rPr>
          <w:rFonts w:ascii="方正小标宋_GBK" w:hAnsi="方正小标宋_GBK" w:eastAsia="方正小标宋_GBK" w:cs="方正小标宋_GBK"/>
          <w:color w:val="000000"/>
          <w:sz w:val="44"/>
        </w:rPr>
        <w:t>预算项目绩效目标</w:t>
      </w:r>
    </w:p>
    <w:p w14:paraId="0720C79E">
      <w:pPr>
        <w:spacing w:before="0" w:after="0" w:line="240" w:lineRule="auto"/>
        <w:ind w:firstLine="0"/>
        <w:jc w:val="center"/>
        <w:outlineLvl w:val="9"/>
        <w:sectPr>
          <w:pgSz w:w="11900" w:h="16840"/>
          <w:pgMar w:top="1984" w:right="1304" w:bottom="1134" w:left="1304" w:header="720" w:footer="720" w:gutter="0"/>
          <w:cols w:space="720" w:num="1"/>
        </w:sectPr>
      </w:pPr>
      <w:r>
        <w:rPr>
          <w:rFonts w:ascii="方正书宋_GBK" w:hAnsi="方正书宋_GBK" w:eastAsia="方正书宋_GBK" w:cs="方正书宋_GBK"/>
          <w:color w:val="000000"/>
          <w:sz w:val="21"/>
        </w:rPr>
        <w:t xml:space="preserve"> </w:t>
      </w:r>
    </w:p>
    <w:p w14:paraId="6A7FACA9">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4735306B">
      <w:pPr>
        <w:spacing w:before="0" w:after="0"/>
        <w:ind w:firstLine="560"/>
        <w:jc w:val="left"/>
        <w:outlineLvl w:val="3"/>
      </w:pPr>
      <w:bookmarkStart w:id="3" w:name="_Toc_4_4_0000000004"/>
      <w:r>
        <w:rPr>
          <w:rFonts w:ascii="方正仿宋_GBK" w:hAnsi="方正仿宋_GBK" w:eastAsia="方正仿宋_GBK" w:cs="方正仿宋_GBK"/>
          <w:color w:val="000000"/>
          <w:sz w:val="28"/>
        </w:rPr>
        <w:t>1.县社农村产权交易中心工作经费项目绩效目标表</w:t>
      </w:r>
      <w:bookmarkEnd w:id="3"/>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0B0910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0CD14D17">
            <w:pPr>
              <w:pStyle w:val="14"/>
            </w:pPr>
            <w:r>
              <w:t>838001涞源县供销合作社本级</w:t>
            </w:r>
          </w:p>
        </w:tc>
        <w:tc>
          <w:tcPr>
            <w:tcW w:w="1843" w:type="dxa"/>
            <w:tcBorders>
              <w:top w:val="single" w:color="FFFFFF" w:sz="6" w:space="0"/>
              <w:left w:val="single" w:color="FFFFFF" w:sz="6" w:space="0"/>
              <w:right w:val="single" w:color="FFFFFF" w:sz="6" w:space="0"/>
            </w:tcBorders>
            <w:vAlign w:val="center"/>
          </w:tcPr>
          <w:p w14:paraId="7016FD4E">
            <w:pPr>
              <w:pStyle w:val="13"/>
            </w:pPr>
            <w:r>
              <w:t>单位：万元</w:t>
            </w:r>
          </w:p>
        </w:tc>
      </w:tr>
      <w:tr w14:paraId="482E5B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87A76F0">
            <w:pPr>
              <w:pStyle w:val="16"/>
            </w:pPr>
            <w:r>
              <w:t>项目编码</w:t>
            </w:r>
          </w:p>
        </w:tc>
        <w:tc>
          <w:tcPr>
            <w:tcW w:w="2608" w:type="dxa"/>
            <w:gridSpan w:val="2"/>
            <w:vAlign w:val="center"/>
          </w:tcPr>
          <w:p w14:paraId="1E7AE71C">
            <w:pPr>
              <w:pStyle w:val="15"/>
            </w:pPr>
            <w:r>
              <w:t>13063026P006318100021</w:t>
            </w:r>
          </w:p>
        </w:tc>
        <w:tc>
          <w:tcPr>
            <w:tcW w:w="1587" w:type="dxa"/>
            <w:vAlign w:val="center"/>
          </w:tcPr>
          <w:p w14:paraId="33F0474D">
            <w:pPr>
              <w:pStyle w:val="16"/>
            </w:pPr>
            <w:r>
              <w:t>项目名称</w:t>
            </w:r>
          </w:p>
        </w:tc>
        <w:tc>
          <w:tcPr>
            <w:tcW w:w="4423" w:type="dxa"/>
            <w:gridSpan w:val="3"/>
            <w:vAlign w:val="center"/>
          </w:tcPr>
          <w:p w14:paraId="161AC98D">
            <w:pPr>
              <w:pStyle w:val="15"/>
            </w:pPr>
            <w:r>
              <w:t>县社农村产权交易中心工作经费项目</w:t>
            </w:r>
          </w:p>
        </w:tc>
      </w:tr>
      <w:tr w14:paraId="2C296E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DE23C1">
            <w:pPr>
              <w:pStyle w:val="16"/>
            </w:pPr>
            <w:r>
              <w:t>预算规模及资金用途</w:t>
            </w:r>
          </w:p>
        </w:tc>
        <w:tc>
          <w:tcPr>
            <w:tcW w:w="1276" w:type="dxa"/>
            <w:vAlign w:val="center"/>
          </w:tcPr>
          <w:p w14:paraId="550888B9">
            <w:pPr>
              <w:pStyle w:val="16"/>
            </w:pPr>
            <w:r>
              <w:t>预算数</w:t>
            </w:r>
          </w:p>
        </w:tc>
        <w:tc>
          <w:tcPr>
            <w:tcW w:w="1332" w:type="dxa"/>
            <w:vAlign w:val="center"/>
          </w:tcPr>
          <w:p w14:paraId="263E84B8">
            <w:pPr>
              <w:pStyle w:val="15"/>
            </w:pPr>
            <w:r>
              <w:t>5.00</w:t>
            </w:r>
          </w:p>
        </w:tc>
        <w:tc>
          <w:tcPr>
            <w:tcW w:w="1587" w:type="dxa"/>
            <w:vAlign w:val="center"/>
          </w:tcPr>
          <w:p w14:paraId="0B4F669C">
            <w:pPr>
              <w:pStyle w:val="16"/>
            </w:pPr>
            <w:r>
              <w:t>其中：财政资金</w:t>
            </w:r>
          </w:p>
        </w:tc>
        <w:tc>
          <w:tcPr>
            <w:tcW w:w="1304" w:type="dxa"/>
            <w:vAlign w:val="center"/>
          </w:tcPr>
          <w:p w14:paraId="08B1B71F">
            <w:pPr>
              <w:pStyle w:val="15"/>
            </w:pPr>
            <w:r>
              <w:t>5.00</w:t>
            </w:r>
          </w:p>
        </w:tc>
        <w:tc>
          <w:tcPr>
            <w:tcW w:w="1276" w:type="dxa"/>
            <w:vAlign w:val="center"/>
          </w:tcPr>
          <w:p w14:paraId="64114F70">
            <w:pPr>
              <w:pStyle w:val="16"/>
            </w:pPr>
            <w:r>
              <w:t>其他资金</w:t>
            </w:r>
          </w:p>
        </w:tc>
        <w:tc>
          <w:tcPr>
            <w:tcW w:w="1843" w:type="dxa"/>
            <w:vAlign w:val="center"/>
          </w:tcPr>
          <w:p w14:paraId="03A19811">
            <w:pPr>
              <w:pStyle w:val="15"/>
            </w:pPr>
            <w:r>
              <w:t xml:space="preserve"> </w:t>
            </w:r>
          </w:p>
        </w:tc>
      </w:tr>
      <w:tr w14:paraId="7454D1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2AFA49B"/>
        </w:tc>
        <w:tc>
          <w:tcPr>
            <w:tcW w:w="8618" w:type="dxa"/>
            <w:gridSpan w:val="6"/>
            <w:vAlign w:val="center"/>
          </w:tcPr>
          <w:p w14:paraId="535D038A">
            <w:pPr>
              <w:pStyle w:val="15"/>
            </w:pPr>
            <w:r>
              <w:t>资金用于人员工资及办公费用。</w:t>
            </w:r>
          </w:p>
        </w:tc>
      </w:tr>
      <w:tr w14:paraId="58AF06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1FE196">
            <w:pPr>
              <w:pStyle w:val="16"/>
            </w:pPr>
            <w:r>
              <w:t>资金支出计划（%）</w:t>
            </w:r>
          </w:p>
        </w:tc>
        <w:tc>
          <w:tcPr>
            <w:tcW w:w="2608" w:type="dxa"/>
            <w:gridSpan w:val="2"/>
            <w:vAlign w:val="center"/>
          </w:tcPr>
          <w:p w14:paraId="5765A2CF">
            <w:pPr>
              <w:pStyle w:val="16"/>
            </w:pPr>
            <w:r>
              <w:t>3月底</w:t>
            </w:r>
          </w:p>
        </w:tc>
        <w:tc>
          <w:tcPr>
            <w:tcW w:w="1587" w:type="dxa"/>
            <w:vAlign w:val="center"/>
          </w:tcPr>
          <w:p w14:paraId="53B0693E">
            <w:pPr>
              <w:pStyle w:val="16"/>
            </w:pPr>
            <w:r>
              <w:t>6月底</w:t>
            </w:r>
          </w:p>
        </w:tc>
        <w:tc>
          <w:tcPr>
            <w:tcW w:w="1304" w:type="dxa"/>
            <w:vAlign w:val="center"/>
          </w:tcPr>
          <w:p w14:paraId="34643EC5">
            <w:pPr>
              <w:pStyle w:val="16"/>
            </w:pPr>
            <w:r>
              <w:t>10月底</w:t>
            </w:r>
          </w:p>
        </w:tc>
        <w:tc>
          <w:tcPr>
            <w:tcW w:w="3119" w:type="dxa"/>
            <w:gridSpan w:val="2"/>
            <w:vAlign w:val="center"/>
          </w:tcPr>
          <w:p w14:paraId="7B14DF51">
            <w:pPr>
              <w:pStyle w:val="16"/>
            </w:pPr>
            <w:r>
              <w:t>12月底</w:t>
            </w:r>
          </w:p>
        </w:tc>
      </w:tr>
      <w:tr w14:paraId="6DAFBE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01112AF"/>
        </w:tc>
        <w:tc>
          <w:tcPr>
            <w:tcW w:w="2608" w:type="dxa"/>
            <w:gridSpan w:val="2"/>
            <w:vAlign w:val="center"/>
          </w:tcPr>
          <w:p w14:paraId="3989532F">
            <w:pPr>
              <w:pStyle w:val="17"/>
            </w:pPr>
            <w:r>
              <w:t>25%</w:t>
            </w:r>
          </w:p>
        </w:tc>
        <w:tc>
          <w:tcPr>
            <w:tcW w:w="1587" w:type="dxa"/>
            <w:vAlign w:val="center"/>
          </w:tcPr>
          <w:p w14:paraId="1FED7014">
            <w:pPr>
              <w:pStyle w:val="17"/>
            </w:pPr>
            <w:r>
              <w:t>50%</w:t>
            </w:r>
          </w:p>
        </w:tc>
        <w:tc>
          <w:tcPr>
            <w:tcW w:w="1304" w:type="dxa"/>
            <w:vAlign w:val="center"/>
          </w:tcPr>
          <w:p w14:paraId="3E5D9545">
            <w:pPr>
              <w:pStyle w:val="17"/>
            </w:pPr>
            <w:r>
              <w:t>75%</w:t>
            </w:r>
          </w:p>
        </w:tc>
        <w:tc>
          <w:tcPr>
            <w:tcW w:w="3119" w:type="dxa"/>
            <w:gridSpan w:val="2"/>
            <w:vAlign w:val="center"/>
          </w:tcPr>
          <w:p w14:paraId="4341049B">
            <w:pPr>
              <w:pStyle w:val="17"/>
            </w:pPr>
            <w:r>
              <w:t>100%</w:t>
            </w:r>
          </w:p>
        </w:tc>
      </w:tr>
      <w:tr w14:paraId="3D993E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D8C8B59">
            <w:pPr>
              <w:pStyle w:val="16"/>
            </w:pPr>
            <w:r>
              <w:t>绩效目标</w:t>
            </w:r>
          </w:p>
        </w:tc>
        <w:tc>
          <w:tcPr>
            <w:tcW w:w="8618" w:type="dxa"/>
            <w:gridSpan w:val="6"/>
            <w:vAlign w:val="center"/>
          </w:tcPr>
          <w:p w14:paraId="6EC2FE72">
            <w:pPr>
              <w:pStyle w:val="15"/>
            </w:pPr>
            <w:r>
              <w:t>1.资金及时足额发放，确保满意</w:t>
            </w:r>
          </w:p>
          <w:p w14:paraId="5156605A">
            <w:pPr>
              <w:pStyle w:val="15"/>
            </w:pPr>
            <w:r>
              <w:t>2.服务对象满意度达90%</w:t>
            </w:r>
          </w:p>
          <w:p w14:paraId="29B2F071">
            <w:pPr>
              <w:pStyle w:val="15"/>
            </w:pPr>
            <w:r>
              <w:t>3.保障中心工作正常运转</w:t>
            </w:r>
          </w:p>
        </w:tc>
      </w:tr>
    </w:tbl>
    <w:p w14:paraId="63185D6E">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70784B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E2C77CD">
            <w:pPr>
              <w:pStyle w:val="16"/>
            </w:pPr>
            <w:r>
              <w:t>一级指标</w:t>
            </w:r>
          </w:p>
        </w:tc>
        <w:tc>
          <w:tcPr>
            <w:tcW w:w="1276" w:type="dxa"/>
            <w:vAlign w:val="center"/>
          </w:tcPr>
          <w:p w14:paraId="458FC931">
            <w:pPr>
              <w:pStyle w:val="16"/>
            </w:pPr>
            <w:r>
              <w:t>二级指标</w:t>
            </w:r>
          </w:p>
        </w:tc>
        <w:tc>
          <w:tcPr>
            <w:tcW w:w="1332" w:type="dxa"/>
            <w:vAlign w:val="center"/>
          </w:tcPr>
          <w:p w14:paraId="31701204">
            <w:pPr>
              <w:pStyle w:val="16"/>
            </w:pPr>
            <w:r>
              <w:t>三级指标</w:t>
            </w:r>
          </w:p>
        </w:tc>
        <w:tc>
          <w:tcPr>
            <w:tcW w:w="2891" w:type="dxa"/>
            <w:vAlign w:val="center"/>
          </w:tcPr>
          <w:p w14:paraId="557C8A24">
            <w:pPr>
              <w:pStyle w:val="16"/>
            </w:pPr>
            <w:r>
              <w:t>绩效指标描述</w:t>
            </w:r>
          </w:p>
        </w:tc>
        <w:tc>
          <w:tcPr>
            <w:tcW w:w="1276" w:type="dxa"/>
            <w:vAlign w:val="center"/>
          </w:tcPr>
          <w:p w14:paraId="58165937">
            <w:pPr>
              <w:pStyle w:val="16"/>
            </w:pPr>
            <w:r>
              <w:t>指标值</w:t>
            </w:r>
          </w:p>
        </w:tc>
        <w:tc>
          <w:tcPr>
            <w:tcW w:w="1843" w:type="dxa"/>
            <w:vAlign w:val="center"/>
          </w:tcPr>
          <w:p w14:paraId="17C5D647">
            <w:pPr>
              <w:pStyle w:val="16"/>
            </w:pPr>
            <w:r>
              <w:t>指标值确定依据</w:t>
            </w:r>
          </w:p>
        </w:tc>
      </w:tr>
      <w:tr w14:paraId="26143E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789880">
            <w:pPr>
              <w:pStyle w:val="17"/>
            </w:pPr>
            <w:r>
              <w:t>产出指标</w:t>
            </w:r>
          </w:p>
        </w:tc>
        <w:tc>
          <w:tcPr>
            <w:tcW w:w="1276" w:type="dxa"/>
            <w:vAlign w:val="center"/>
          </w:tcPr>
          <w:p w14:paraId="1093C7FF">
            <w:pPr>
              <w:pStyle w:val="15"/>
            </w:pPr>
            <w:r>
              <w:t>数量指标</w:t>
            </w:r>
          </w:p>
        </w:tc>
        <w:tc>
          <w:tcPr>
            <w:tcW w:w="1332" w:type="dxa"/>
            <w:vAlign w:val="center"/>
          </w:tcPr>
          <w:p w14:paraId="20862699">
            <w:pPr>
              <w:pStyle w:val="15"/>
            </w:pPr>
            <w:r>
              <w:t>人员数量</w:t>
            </w:r>
          </w:p>
        </w:tc>
        <w:tc>
          <w:tcPr>
            <w:tcW w:w="2891" w:type="dxa"/>
            <w:vAlign w:val="center"/>
          </w:tcPr>
          <w:p w14:paraId="680B02A4">
            <w:pPr>
              <w:pStyle w:val="15"/>
            </w:pPr>
            <w:r>
              <w:t>发放工资人员数量</w:t>
            </w:r>
          </w:p>
        </w:tc>
        <w:tc>
          <w:tcPr>
            <w:tcW w:w="1276" w:type="dxa"/>
            <w:vAlign w:val="center"/>
          </w:tcPr>
          <w:p w14:paraId="107AA4EE">
            <w:pPr>
              <w:pStyle w:val="15"/>
            </w:pPr>
            <w:r>
              <w:t>2人</w:t>
            </w:r>
          </w:p>
        </w:tc>
        <w:tc>
          <w:tcPr>
            <w:tcW w:w="1843" w:type="dxa"/>
            <w:vAlign w:val="center"/>
          </w:tcPr>
          <w:p w14:paraId="075CFB64">
            <w:pPr>
              <w:pStyle w:val="15"/>
            </w:pPr>
            <w:r>
              <w:t>年度工作计划</w:t>
            </w:r>
          </w:p>
        </w:tc>
      </w:tr>
      <w:tr w14:paraId="60E536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D561D63"/>
        </w:tc>
        <w:tc>
          <w:tcPr>
            <w:tcW w:w="1276" w:type="dxa"/>
            <w:vAlign w:val="center"/>
          </w:tcPr>
          <w:p w14:paraId="4E0AAFC6">
            <w:pPr>
              <w:pStyle w:val="15"/>
            </w:pPr>
            <w:r>
              <w:t>数量指标</w:t>
            </w:r>
          </w:p>
        </w:tc>
        <w:tc>
          <w:tcPr>
            <w:tcW w:w="1332" w:type="dxa"/>
            <w:vAlign w:val="center"/>
          </w:tcPr>
          <w:p w14:paraId="74466D01">
            <w:pPr>
              <w:pStyle w:val="15"/>
            </w:pPr>
            <w:r>
              <w:t>采购数量</w:t>
            </w:r>
          </w:p>
        </w:tc>
        <w:tc>
          <w:tcPr>
            <w:tcW w:w="2891" w:type="dxa"/>
            <w:vAlign w:val="center"/>
          </w:tcPr>
          <w:p w14:paraId="7450D783">
            <w:pPr>
              <w:pStyle w:val="15"/>
            </w:pPr>
            <w:r>
              <w:t>购买档案盒</w:t>
            </w:r>
          </w:p>
        </w:tc>
        <w:tc>
          <w:tcPr>
            <w:tcW w:w="1276" w:type="dxa"/>
            <w:vAlign w:val="center"/>
          </w:tcPr>
          <w:p w14:paraId="40CE7EDA">
            <w:pPr>
              <w:pStyle w:val="15"/>
            </w:pPr>
            <w:r>
              <w:t>120个</w:t>
            </w:r>
          </w:p>
        </w:tc>
        <w:tc>
          <w:tcPr>
            <w:tcW w:w="1843" w:type="dxa"/>
            <w:vAlign w:val="center"/>
          </w:tcPr>
          <w:p w14:paraId="572EDE12">
            <w:pPr>
              <w:pStyle w:val="15"/>
            </w:pPr>
            <w:r>
              <w:t>年度工作计划</w:t>
            </w:r>
          </w:p>
        </w:tc>
      </w:tr>
      <w:tr w14:paraId="6C6E94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FBC4A1C"/>
        </w:tc>
        <w:tc>
          <w:tcPr>
            <w:tcW w:w="1276" w:type="dxa"/>
            <w:vAlign w:val="center"/>
          </w:tcPr>
          <w:p w14:paraId="4070E096">
            <w:pPr>
              <w:pStyle w:val="15"/>
            </w:pPr>
            <w:r>
              <w:t>数量指标</w:t>
            </w:r>
          </w:p>
        </w:tc>
        <w:tc>
          <w:tcPr>
            <w:tcW w:w="1332" w:type="dxa"/>
            <w:vAlign w:val="center"/>
          </w:tcPr>
          <w:p w14:paraId="063A2C81">
            <w:pPr>
              <w:pStyle w:val="15"/>
            </w:pPr>
            <w:r>
              <w:t>采购数量</w:t>
            </w:r>
          </w:p>
        </w:tc>
        <w:tc>
          <w:tcPr>
            <w:tcW w:w="2891" w:type="dxa"/>
            <w:vAlign w:val="center"/>
          </w:tcPr>
          <w:p w14:paraId="2676BCA5">
            <w:pPr>
              <w:pStyle w:val="15"/>
            </w:pPr>
            <w:r>
              <w:t>购买办公A4纸</w:t>
            </w:r>
          </w:p>
        </w:tc>
        <w:tc>
          <w:tcPr>
            <w:tcW w:w="1276" w:type="dxa"/>
            <w:vAlign w:val="center"/>
          </w:tcPr>
          <w:p w14:paraId="50C65AD7">
            <w:pPr>
              <w:pStyle w:val="15"/>
            </w:pPr>
            <w:r>
              <w:t>20箱</w:t>
            </w:r>
          </w:p>
        </w:tc>
        <w:tc>
          <w:tcPr>
            <w:tcW w:w="1843" w:type="dxa"/>
            <w:vAlign w:val="center"/>
          </w:tcPr>
          <w:p w14:paraId="1665923E">
            <w:pPr>
              <w:pStyle w:val="15"/>
            </w:pPr>
            <w:r>
              <w:t>年度工作计划</w:t>
            </w:r>
          </w:p>
        </w:tc>
      </w:tr>
      <w:tr w14:paraId="2E9CDE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CA2DDEA"/>
        </w:tc>
        <w:tc>
          <w:tcPr>
            <w:tcW w:w="1276" w:type="dxa"/>
            <w:vAlign w:val="center"/>
          </w:tcPr>
          <w:p w14:paraId="708038D6">
            <w:pPr>
              <w:pStyle w:val="15"/>
            </w:pPr>
            <w:r>
              <w:t>质量指标</w:t>
            </w:r>
          </w:p>
        </w:tc>
        <w:tc>
          <w:tcPr>
            <w:tcW w:w="1332" w:type="dxa"/>
            <w:vAlign w:val="center"/>
          </w:tcPr>
          <w:p w14:paraId="7FAE34BD">
            <w:pPr>
              <w:pStyle w:val="15"/>
            </w:pPr>
            <w:r>
              <w:t>考勤出勤率</w:t>
            </w:r>
          </w:p>
        </w:tc>
        <w:tc>
          <w:tcPr>
            <w:tcW w:w="2891" w:type="dxa"/>
            <w:vAlign w:val="center"/>
          </w:tcPr>
          <w:p w14:paraId="0AFD3FBF">
            <w:pPr>
              <w:pStyle w:val="15"/>
            </w:pPr>
            <w:r>
              <w:t>考勤出勤率</w:t>
            </w:r>
          </w:p>
        </w:tc>
        <w:tc>
          <w:tcPr>
            <w:tcW w:w="1276" w:type="dxa"/>
            <w:vAlign w:val="center"/>
          </w:tcPr>
          <w:p w14:paraId="43A82485">
            <w:pPr>
              <w:pStyle w:val="15"/>
            </w:pPr>
            <w:r>
              <w:t>100%</w:t>
            </w:r>
          </w:p>
        </w:tc>
        <w:tc>
          <w:tcPr>
            <w:tcW w:w="1843" w:type="dxa"/>
            <w:vAlign w:val="center"/>
          </w:tcPr>
          <w:p w14:paraId="5169099B">
            <w:pPr>
              <w:pStyle w:val="15"/>
            </w:pPr>
            <w:r>
              <w:t>历史经验</w:t>
            </w:r>
          </w:p>
        </w:tc>
      </w:tr>
      <w:tr w14:paraId="5903FF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5CAC034"/>
        </w:tc>
        <w:tc>
          <w:tcPr>
            <w:tcW w:w="1276" w:type="dxa"/>
            <w:vAlign w:val="center"/>
          </w:tcPr>
          <w:p w14:paraId="2E7A56F3">
            <w:pPr>
              <w:pStyle w:val="15"/>
            </w:pPr>
            <w:r>
              <w:t>质量指标</w:t>
            </w:r>
          </w:p>
        </w:tc>
        <w:tc>
          <w:tcPr>
            <w:tcW w:w="1332" w:type="dxa"/>
            <w:vAlign w:val="center"/>
          </w:tcPr>
          <w:p w14:paraId="0A5CBDB7">
            <w:pPr>
              <w:pStyle w:val="15"/>
            </w:pPr>
            <w:r>
              <w:t>资金使用合规率</w:t>
            </w:r>
          </w:p>
        </w:tc>
        <w:tc>
          <w:tcPr>
            <w:tcW w:w="2891" w:type="dxa"/>
            <w:vAlign w:val="center"/>
          </w:tcPr>
          <w:p w14:paraId="748E6474">
            <w:pPr>
              <w:pStyle w:val="15"/>
            </w:pPr>
            <w:r>
              <w:t>资金使用合规率</w:t>
            </w:r>
          </w:p>
        </w:tc>
        <w:tc>
          <w:tcPr>
            <w:tcW w:w="1276" w:type="dxa"/>
            <w:vAlign w:val="center"/>
          </w:tcPr>
          <w:p w14:paraId="770F97D8">
            <w:pPr>
              <w:pStyle w:val="15"/>
            </w:pPr>
            <w:r>
              <w:t>100%</w:t>
            </w:r>
          </w:p>
        </w:tc>
        <w:tc>
          <w:tcPr>
            <w:tcW w:w="1843" w:type="dxa"/>
            <w:vAlign w:val="center"/>
          </w:tcPr>
          <w:p w14:paraId="57ADA398">
            <w:pPr>
              <w:pStyle w:val="15"/>
            </w:pPr>
            <w:r>
              <w:t>历史经验</w:t>
            </w:r>
          </w:p>
        </w:tc>
      </w:tr>
      <w:tr w14:paraId="1B84E8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458E6C1"/>
        </w:tc>
        <w:tc>
          <w:tcPr>
            <w:tcW w:w="1276" w:type="dxa"/>
            <w:vAlign w:val="center"/>
          </w:tcPr>
          <w:p w14:paraId="200FEF2D">
            <w:pPr>
              <w:pStyle w:val="15"/>
            </w:pPr>
            <w:r>
              <w:t>成本指标</w:t>
            </w:r>
          </w:p>
        </w:tc>
        <w:tc>
          <w:tcPr>
            <w:tcW w:w="1332" w:type="dxa"/>
            <w:vAlign w:val="center"/>
          </w:tcPr>
          <w:p w14:paraId="27D8F925">
            <w:pPr>
              <w:pStyle w:val="15"/>
            </w:pPr>
            <w:r>
              <w:t>预算控制率</w:t>
            </w:r>
          </w:p>
        </w:tc>
        <w:tc>
          <w:tcPr>
            <w:tcW w:w="2891" w:type="dxa"/>
            <w:vAlign w:val="center"/>
          </w:tcPr>
          <w:p w14:paraId="5F50FA41">
            <w:pPr>
              <w:pStyle w:val="15"/>
            </w:pPr>
            <w:r>
              <w:t>实际支出比预算数</w:t>
            </w:r>
          </w:p>
        </w:tc>
        <w:tc>
          <w:tcPr>
            <w:tcW w:w="1276" w:type="dxa"/>
            <w:vAlign w:val="center"/>
          </w:tcPr>
          <w:p w14:paraId="1592888E">
            <w:pPr>
              <w:pStyle w:val="15"/>
            </w:pPr>
            <w:r>
              <w:t>≤100%</w:t>
            </w:r>
          </w:p>
        </w:tc>
        <w:tc>
          <w:tcPr>
            <w:tcW w:w="1843" w:type="dxa"/>
            <w:vAlign w:val="center"/>
          </w:tcPr>
          <w:p w14:paraId="72F53278">
            <w:pPr>
              <w:pStyle w:val="15"/>
            </w:pPr>
            <w:r>
              <w:t>年度工作计划</w:t>
            </w:r>
          </w:p>
        </w:tc>
      </w:tr>
      <w:tr w14:paraId="0DE307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38313B8"/>
        </w:tc>
        <w:tc>
          <w:tcPr>
            <w:tcW w:w="1276" w:type="dxa"/>
            <w:vAlign w:val="center"/>
          </w:tcPr>
          <w:p w14:paraId="075BE23C">
            <w:pPr>
              <w:pStyle w:val="15"/>
            </w:pPr>
            <w:r>
              <w:t>时效指标</w:t>
            </w:r>
          </w:p>
        </w:tc>
        <w:tc>
          <w:tcPr>
            <w:tcW w:w="1332" w:type="dxa"/>
            <w:vAlign w:val="center"/>
          </w:tcPr>
          <w:p w14:paraId="3E61D2F4">
            <w:pPr>
              <w:pStyle w:val="15"/>
            </w:pPr>
            <w:r>
              <w:t>支付及时率</w:t>
            </w:r>
          </w:p>
        </w:tc>
        <w:tc>
          <w:tcPr>
            <w:tcW w:w="2891" w:type="dxa"/>
            <w:vAlign w:val="center"/>
          </w:tcPr>
          <w:p w14:paraId="2F3413D0">
            <w:pPr>
              <w:pStyle w:val="15"/>
            </w:pPr>
            <w:r>
              <w:t>支付及时率</w:t>
            </w:r>
          </w:p>
        </w:tc>
        <w:tc>
          <w:tcPr>
            <w:tcW w:w="1276" w:type="dxa"/>
            <w:vAlign w:val="center"/>
          </w:tcPr>
          <w:p w14:paraId="266AFE20">
            <w:pPr>
              <w:pStyle w:val="15"/>
            </w:pPr>
            <w:r>
              <w:t>100%</w:t>
            </w:r>
          </w:p>
        </w:tc>
        <w:tc>
          <w:tcPr>
            <w:tcW w:w="1843" w:type="dxa"/>
            <w:vAlign w:val="center"/>
          </w:tcPr>
          <w:p w14:paraId="34DAC1FA">
            <w:pPr>
              <w:pStyle w:val="15"/>
            </w:pPr>
            <w:r>
              <w:t>年度工作计划</w:t>
            </w:r>
          </w:p>
        </w:tc>
      </w:tr>
      <w:tr w14:paraId="73D334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F97361F">
            <w:pPr>
              <w:pStyle w:val="17"/>
            </w:pPr>
            <w:r>
              <w:t>效益指标</w:t>
            </w:r>
          </w:p>
        </w:tc>
        <w:tc>
          <w:tcPr>
            <w:tcW w:w="1276" w:type="dxa"/>
            <w:vAlign w:val="center"/>
          </w:tcPr>
          <w:p w14:paraId="0BB45319">
            <w:pPr>
              <w:pStyle w:val="15"/>
            </w:pPr>
            <w:r>
              <w:t>社会效益指标</w:t>
            </w:r>
          </w:p>
        </w:tc>
        <w:tc>
          <w:tcPr>
            <w:tcW w:w="1332" w:type="dxa"/>
            <w:vAlign w:val="center"/>
          </w:tcPr>
          <w:p w14:paraId="6CC1E4B7">
            <w:pPr>
              <w:pStyle w:val="15"/>
            </w:pPr>
            <w:r>
              <w:t>业务保障能力</w:t>
            </w:r>
          </w:p>
        </w:tc>
        <w:tc>
          <w:tcPr>
            <w:tcW w:w="2891" w:type="dxa"/>
            <w:vAlign w:val="center"/>
          </w:tcPr>
          <w:p w14:paraId="32330A41">
            <w:pPr>
              <w:pStyle w:val="15"/>
            </w:pPr>
            <w:r>
              <w:t>业务保障能力</w:t>
            </w:r>
          </w:p>
        </w:tc>
        <w:tc>
          <w:tcPr>
            <w:tcW w:w="1276" w:type="dxa"/>
            <w:vAlign w:val="center"/>
          </w:tcPr>
          <w:p w14:paraId="528455A2">
            <w:pPr>
              <w:pStyle w:val="15"/>
            </w:pPr>
            <w:r>
              <w:t>提高</w:t>
            </w:r>
          </w:p>
        </w:tc>
        <w:tc>
          <w:tcPr>
            <w:tcW w:w="1843" w:type="dxa"/>
            <w:vAlign w:val="center"/>
          </w:tcPr>
          <w:p w14:paraId="49160ECA">
            <w:pPr>
              <w:pStyle w:val="15"/>
            </w:pPr>
            <w:r>
              <w:t>年度工作计划</w:t>
            </w:r>
          </w:p>
        </w:tc>
      </w:tr>
      <w:tr w14:paraId="2898A7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A6CC0C4">
            <w:pPr>
              <w:pStyle w:val="17"/>
            </w:pPr>
            <w:r>
              <w:t>满意度指标</w:t>
            </w:r>
          </w:p>
        </w:tc>
        <w:tc>
          <w:tcPr>
            <w:tcW w:w="1276" w:type="dxa"/>
            <w:vAlign w:val="center"/>
          </w:tcPr>
          <w:p w14:paraId="0F8412D4">
            <w:pPr>
              <w:pStyle w:val="15"/>
            </w:pPr>
            <w:r>
              <w:t>服务对象满意度指标</w:t>
            </w:r>
          </w:p>
        </w:tc>
        <w:tc>
          <w:tcPr>
            <w:tcW w:w="1332" w:type="dxa"/>
            <w:vAlign w:val="center"/>
          </w:tcPr>
          <w:p w14:paraId="5036BFD6">
            <w:pPr>
              <w:pStyle w:val="15"/>
            </w:pPr>
            <w:r>
              <w:t>服务对象满意度</w:t>
            </w:r>
          </w:p>
        </w:tc>
        <w:tc>
          <w:tcPr>
            <w:tcW w:w="2891" w:type="dxa"/>
            <w:vAlign w:val="center"/>
          </w:tcPr>
          <w:p w14:paraId="20A9B7D2">
            <w:pPr>
              <w:pStyle w:val="15"/>
            </w:pPr>
            <w:r>
              <w:t>服务对象满意度</w:t>
            </w:r>
          </w:p>
        </w:tc>
        <w:tc>
          <w:tcPr>
            <w:tcW w:w="1276" w:type="dxa"/>
            <w:vAlign w:val="center"/>
          </w:tcPr>
          <w:p w14:paraId="3BC0C483">
            <w:pPr>
              <w:pStyle w:val="15"/>
            </w:pPr>
            <w:r>
              <w:t>≥90%</w:t>
            </w:r>
          </w:p>
        </w:tc>
        <w:tc>
          <w:tcPr>
            <w:tcW w:w="1843" w:type="dxa"/>
            <w:vAlign w:val="center"/>
          </w:tcPr>
          <w:p w14:paraId="2960FEFC">
            <w:pPr>
              <w:pStyle w:val="15"/>
            </w:pPr>
            <w:r>
              <w:t>历史经验</w:t>
            </w:r>
          </w:p>
        </w:tc>
      </w:tr>
    </w:tbl>
    <w:p w14:paraId="28395222">
      <w:pPr>
        <w:sectPr>
          <w:pgSz w:w="11900" w:h="16840"/>
          <w:pgMar w:top="1984" w:right="1304" w:bottom="1134" w:left="1304" w:header="720" w:footer="720" w:gutter="0"/>
          <w:cols w:space="720" w:num="1"/>
        </w:sectPr>
      </w:pPr>
    </w:p>
    <w:p w14:paraId="299A8FCE">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6B5C368D">
      <w:pPr>
        <w:spacing w:before="0" w:after="0"/>
        <w:ind w:firstLine="560"/>
        <w:jc w:val="left"/>
        <w:outlineLvl w:val="3"/>
      </w:pPr>
      <w:bookmarkStart w:id="4" w:name="_Toc_4_4_0000000005"/>
      <w:r>
        <w:rPr>
          <w:rFonts w:ascii="方正仿宋_GBK" w:hAnsi="方正仿宋_GBK" w:eastAsia="方正仿宋_GBK" w:cs="方正仿宋_GBK"/>
          <w:color w:val="000000"/>
          <w:sz w:val="28"/>
        </w:rPr>
        <w:t>2.县社食盐储备补贴资金项目绩效目标表</w:t>
      </w:r>
      <w:bookmarkEnd w:id="4"/>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718B9C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0564B8BB">
            <w:pPr>
              <w:pStyle w:val="14"/>
            </w:pPr>
            <w:r>
              <w:t>838001涞源县供销合作社本级</w:t>
            </w:r>
          </w:p>
        </w:tc>
        <w:tc>
          <w:tcPr>
            <w:tcW w:w="1843" w:type="dxa"/>
            <w:tcBorders>
              <w:top w:val="single" w:color="FFFFFF" w:sz="6" w:space="0"/>
              <w:left w:val="single" w:color="FFFFFF" w:sz="6" w:space="0"/>
              <w:right w:val="single" w:color="FFFFFF" w:sz="6" w:space="0"/>
            </w:tcBorders>
            <w:vAlign w:val="center"/>
          </w:tcPr>
          <w:p w14:paraId="6C8CD769">
            <w:pPr>
              <w:pStyle w:val="13"/>
            </w:pPr>
            <w:r>
              <w:t>单位：万元</w:t>
            </w:r>
          </w:p>
        </w:tc>
      </w:tr>
      <w:tr w14:paraId="1CFEEF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8281F3B">
            <w:pPr>
              <w:pStyle w:val="16"/>
            </w:pPr>
            <w:r>
              <w:t>项目编码</w:t>
            </w:r>
          </w:p>
        </w:tc>
        <w:tc>
          <w:tcPr>
            <w:tcW w:w="2608" w:type="dxa"/>
            <w:gridSpan w:val="2"/>
            <w:vAlign w:val="center"/>
          </w:tcPr>
          <w:p w14:paraId="1CD6B1B8">
            <w:pPr>
              <w:pStyle w:val="15"/>
            </w:pPr>
            <w:r>
              <w:t>13063026P00631810003L</w:t>
            </w:r>
          </w:p>
        </w:tc>
        <w:tc>
          <w:tcPr>
            <w:tcW w:w="1587" w:type="dxa"/>
            <w:vAlign w:val="center"/>
          </w:tcPr>
          <w:p w14:paraId="057D13D9">
            <w:pPr>
              <w:pStyle w:val="16"/>
            </w:pPr>
            <w:r>
              <w:t>项目名称</w:t>
            </w:r>
          </w:p>
        </w:tc>
        <w:tc>
          <w:tcPr>
            <w:tcW w:w="4423" w:type="dxa"/>
            <w:gridSpan w:val="3"/>
            <w:vAlign w:val="center"/>
          </w:tcPr>
          <w:p w14:paraId="42AED178">
            <w:pPr>
              <w:pStyle w:val="15"/>
            </w:pPr>
            <w:r>
              <w:t>县社食盐储备补贴资金项目</w:t>
            </w:r>
          </w:p>
        </w:tc>
      </w:tr>
      <w:tr w14:paraId="7DDFB0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3EFC73">
            <w:pPr>
              <w:pStyle w:val="16"/>
            </w:pPr>
            <w:r>
              <w:t>预算规模及资金用途</w:t>
            </w:r>
          </w:p>
        </w:tc>
        <w:tc>
          <w:tcPr>
            <w:tcW w:w="1276" w:type="dxa"/>
            <w:vAlign w:val="center"/>
          </w:tcPr>
          <w:p w14:paraId="3C00A6F6">
            <w:pPr>
              <w:pStyle w:val="16"/>
            </w:pPr>
            <w:r>
              <w:t>预算数</w:t>
            </w:r>
          </w:p>
        </w:tc>
        <w:tc>
          <w:tcPr>
            <w:tcW w:w="1332" w:type="dxa"/>
            <w:vAlign w:val="center"/>
          </w:tcPr>
          <w:p w14:paraId="1746664B">
            <w:pPr>
              <w:pStyle w:val="15"/>
            </w:pPr>
            <w:r>
              <w:t>10.00</w:t>
            </w:r>
          </w:p>
        </w:tc>
        <w:tc>
          <w:tcPr>
            <w:tcW w:w="1587" w:type="dxa"/>
            <w:vAlign w:val="center"/>
          </w:tcPr>
          <w:p w14:paraId="3195CDD6">
            <w:pPr>
              <w:pStyle w:val="16"/>
            </w:pPr>
            <w:r>
              <w:t>其中：财政资金</w:t>
            </w:r>
          </w:p>
        </w:tc>
        <w:tc>
          <w:tcPr>
            <w:tcW w:w="1304" w:type="dxa"/>
            <w:vAlign w:val="center"/>
          </w:tcPr>
          <w:p w14:paraId="01CC18C2">
            <w:pPr>
              <w:pStyle w:val="15"/>
            </w:pPr>
            <w:r>
              <w:t>10.00</w:t>
            </w:r>
          </w:p>
        </w:tc>
        <w:tc>
          <w:tcPr>
            <w:tcW w:w="1276" w:type="dxa"/>
            <w:vAlign w:val="center"/>
          </w:tcPr>
          <w:p w14:paraId="4E6CB2AE">
            <w:pPr>
              <w:pStyle w:val="16"/>
            </w:pPr>
            <w:r>
              <w:t>其他资金</w:t>
            </w:r>
          </w:p>
        </w:tc>
        <w:tc>
          <w:tcPr>
            <w:tcW w:w="1843" w:type="dxa"/>
            <w:vAlign w:val="center"/>
          </w:tcPr>
          <w:p w14:paraId="52C2D1CD">
            <w:pPr>
              <w:pStyle w:val="15"/>
            </w:pPr>
            <w:r>
              <w:t xml:space="preserve"> </w:t>
            </w:r>
          </w:p>
        </w:tc>
      </w:tr>
      <w:tr w14:paraId="11BE6A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817B82"/>
        </w:tc>
        <w:tc>
          <w:tcPr>
            <w:tcW w:w="8618" w:type="dxa"/>
            <w:gridSpan w:val="6"/>
            <w:vAlign w:val="center"/>
          </w:tcPr>
          <w:p w14:paraId="180AC630">
            <w:pPr>
              <w:pStyle w:val="15"/>
            </w:pPr>
            <w:r>
              <w:t>用于支付人员工资及库房维修。</w:t>
            </w:r>
          </w:p>
        </w:tc>
      </w:tr>
      <w:tr w14:paraId="7AFBFE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D5362F">
            <w:pPr>
              <w:pStyle w:val="16"/>
            </w:pPr>
            <w:r>
              <w:t>资金支出计划（%）</w:t>
            </w:r>
          </w:p>
        </w:tc>
        <w:tc>
          <w:tcPr>
            <w:tcW w:w="2608" w:type="dxa"/>
            <w:gridSpan w:val="2"/>
            <w:vAlign w:val="center"/>
          </w:tcPr>
          <w:p w14:paraId="224708DE">
            <w:pPr>
              <w:pStyle w:val="16"/>
            </w:pPr>
            <w:r>
              <w:t>3月底</w:t>
            </w:r>
          </w:p>
        </w:tc>
        <w:tc>
          <w:tcPr>
            <w:tcW w:w="1587" w:type="dxa"/>
            <w:vAlign w:val="center"/>
          </w:tcPr>
          <w:p w14:paraId="2550781E">
            <w:pPr>
              <w:pStyle w:val="16"/>
            </w:pPr>
            <w:r>
              <w:t>6月底</w:t>
            </w:r>
          </w:p>
        </w:tc>
        <w:tc>
          <w:tcPr>
            <w:tcW w:w="1304" w:type="dxa"/>
            <w:vAlign w:val="center"/>
          </w:tcPr>
          <w:p w14:paraId="646A1609">
            <w:pPr>
              <w:pStyle w:val="16"/>
            </w:pPr>
            <w:r>
              <w:t>10月底</w:t>
            </w:r>
          </w:p>
        </w:tc>
        <w:tc>
          <w:tcPr>
            <w:tcW w:w="3119" w:type="dxa"/>
            <w:gridSpan w:val="2"/>
            <w:vAlign w:val="center"/>
          </w:tcPr>
          <w:p w14:paraId="3B88DD92">
            <w:pPr>
              <w:pStyle w:val="16"/>
            </w:pPr>
            <w:r>
              <w:t>12月底</w:t>
            </w:r>
          </w:p>
        </w:tc>
      </w:tr>
      <w:tr w14:paraId="6ECAF4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B7E6EF9"/>
        </w:tc>
        <w:tc>
          <w:tcPr>
            <w:tcW w:w="2608" w:type="dxa"/>
            <w:gridSpan w:val="2"/>
            <w:vAlign w:val="center"/>
          </w:tcPr>
          <w:p w14:paraId="3E470038">
            <w:pPr>
              <w:pStyle w:val="17"/>
            </w:pPr>
            <w:r>
              <w:t>25%</w:t>
            </w:r>
          </w:p>
        </w:tc>
        <w:tc>
          <w:tcPr>
            <w:tcW w:w="1587" w:type="dxa"/>
            <w:vAlign w:val="center"/>
          </w:tcPr>
          <w:p w14:paraId="7F6D9314">
            <w:pPr>
              <w:pStyle w:val="17"/>
            </w:pPr>
            <w:r>
              <w:t>50%</w:t>
            </w:r>
          </w:p>
        </w:tc>
        <w:tc>
          <w:tcPr>
            <w:tcW w:w="1304" w:type="dxa"/>
            <w:vAlign w:val="center"/>
          </w:tcPr>
          <w:p w14:paraId="01AD65C9">
            <w:pPr>
              <w:pStyle w:val="17"/>
            </w:pPr>
            <w:r>
              <w:t>75%</w:t>
            </w:r>
          </w:p>
        </w:tc>
        <w:tc>
          <w:tcPr>
            <w:tcW w:w="3119" w:type="dxa"/>
            <w:gridSpan w:val="2"/>
            <w:vAlign w:val="center"/>
          </w:tcPr>
          <w:p w14:paraId="7372AB82">
            <w:pPr>
              <w:pStyle w:val="17"/>
            </w:pPr>
            <w:r>
              <w:t>100%</w:t>
            </w:r>
          </w:p>
        </w:tc>
      </w:tr>
      <w:tr w14:paraId="0045DC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5582C5E">
            <w:pPr>
              <w:pStyle w:val="16"/>
            </w:pPr>
            <w:r>
              <w:t>绩效目标</w:t>
            </w:r>
          </w:p>
        </w:tc>
        <w:tc>
          <w:tcPr>
            <w:tcW w:w="8618" w:type="dxa"/>
            <w:gridSpan w:val="6"/>
            <w:vAlign w:val="center"/>
          </w:tcPr>
          <w:p w14:paraId="0B4A65C2">
            <w:pPr>
              <w:pStyle w:val="15"/>
            </w:pPr>
            <w:r>
              <w:t>1.资金及时足额支付，资金使用合规率达100%</w:t>
            </w:r>
          </w:p>
          <w:p w14:paraId="26DA70A8">
            <w:pPr>
              <w:pStyle w:val="15"/>
            </w:pPr>
            <w:r>
              <w:t>2.服务对象满意度达95%以上</w:t>
            </w:r>
          </w:p>
          <w:p w14:paraId="463B7E4E">
            <w:pPr>
              <w:pStyle w:val="15"/>
            </w:pPr>
            <w:r>
              <w:t>3.确保储备任务按时完成，保障食盐市场平稳运行，保证食盐供应和食盐安全</w:t>
            </w:r>
          </w:p>
        </w:tc>
      </w:tr>
    </w:tbl>
    <w:p w14:paraId="5BC552AB">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13D1BB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630AF0F">
            <w:pPr>
              <w:pStyle w:val="16"/>
            </w:pPr>
            <w:r>
              <w:t>一级指标</w:t>
            </w:r>
          </w:p>
        </w:tc>
        <w:tc>
          <w:tcPr>
            <w:tcW w:w="1276" w:type="dxa"/>
            <w:vAlign w:val="center"/>
          </w:tcPr>
          <w:p w14:paraId="1D5A43E8">
            <w:pPr>
              <w:pStyle w:val="16"/>
            </w:pPr>
            <w:r>
              <w:t>二级指标</w:t>
            </w:r>
          </w:p>
        </w:tc>
        <w:tc>
          <w:tcPr>
            <w:tcW w:w="1332" w:type="dxa"/>
            <w:vAlign w:val="center"/>
          </w:tcPr>
          <w:p w14:paraId="1D21D941">
            <w:pPr>
              <w:pStyle w:val="16"/>
            </w:pPr>
            <w:r>
              <w:t>三级指标</w:t>
            </w:r>
          </w:p>
        </w:tc>
        <w:tc>
          <w:tcPr>
            <w:tcW w:w="2891" w:type="dxa"/>
            <w:vAlign w:val="center"/>
          </w:tcPr>
          <w:p w14:paraId="330ED9DC">
            <w:pPr>
              <w:pStyle w:val="16"/>
            </w:pPr>
            <w:r>
              <w:t>绩效指标描述</w:t>
            </w:r>
          </w:p>
        </w:tc>
        <w:tc>
          <w:tcPr>
            <w:tcW w:w="1276" w:type="dxa"/>
            <w:vAlign w:val="center"/>
          </w:tcPr>
          <w:p w14:paraId="6AB24C11">
            <w:pPr>
              <w:pStyle w:val="16"/>
            </w:pPr>
            <w:r>
              <w:t>指标值</w:t>
            </w:r>
          </w:p>
        </w:tc>
        <w:tc>
          <w:tcPr>
            <w:tcW w:w="1843" w:type="dxa"/>
            <w:vAlign w:val="center"/>
          </w:tcPr>
          <w:p w14:paraId="1DA8C0DA">
            <w:pPr>
              <w:pStyle w:val="16"/>
            </w:pPr>
            <w:r>
              <w:t>指标值确定依据</w:t>
            </w:r>
          </w:p>
        </w:tc>
      </w:tr>
      <w:tr w14:paraId="2D2F90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97E859">
            <w:pPr>
              <w:pStyle w:val="17"/>
            </w:pPr>
            <w:r>
              <w:t>产出指标</w:t>
            </w:r>
          </w:p>
        </w:tc>
        <w:tc>
          <w:tcPr>
            <w:tcW w:w="1276" w:type="dxa"/>
            <w:vAlign w:val="center"/>
          </w:tcPr>
          <w:p w14:paraId="54EB365E">
            <w:pPr>
              <w:pStyle w:val="15"/>
            </w:pPr>
            <w:r>
              <w:t>数量指标</w:t>
            </w:r>
          </w:p>
        </w:tc>
        <w:tc>
          <w:tcPr>
            <w:tcW w:w="1332" w:type="dxa"/>
            <w:vAlign w:val="center"/>
          </w:tcPr>
          <w:p w14:paraId="5E9E4DCD">
            <w:pPr>
              <w:pStyle w:val="15"/>
            </w:pPr>
            <w:r>
              <w:t>储备食盐数量</w:t>
            </w:r>
          </w:p>
        </w:tc>
        <w:tc>
          <w:tcPr>
            <w:tcW w:w="2891" w:type="dxa"/>
            <w:vAlign w:val="center"/>
          </w:tcPr>
          <w:p w14:paraId="4F6ADF6E">
            <w:pPr>
              <w:pStyle w:val="15"/>
            </w:pPr>
            <w:r>
              <w:t>年内计划储备食盐数量</w:t>
            </w:r>
          </w:p>
        </w:tc>
        <w:tc>
          <w:tcPr>
            <w:tcW w:w="1276" w:type="dxa"/>
            <w:vAlign w:val="center"/>
          </w:tcPr>
          <w:p w14:paraId="754EE8ED">
            <w:pPr>
              <w:pStyle w:val="15"/>
            </w:pPr>
            <w:r>
              <w:t>≥70吨</w:t>
            </w:r>
          </w:p>
        </w:tc>
        <w:tc>
          <w:tcPr>
            <w:tcW w:w="1843" w:type="dxa"/>
            <w:vAlign w:val="center"/>
          </w:tcPr>
          <w:p w14:paraId="0AF47225">
            <w:pPr>
              <w:pStyle w:val="15"/>
            </w:pPr>
            <w:r>
              <w:t>年度工作计划</w:t>
            </w:r>
          </w:p>
        </w:tc>
      </w:tr>
      <w:tr w14:paraId="5FCE19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5A8BA59"/>
        </w:tc>
        <w:tc>
          <w:tcPr>
            <w:tcW w:w="1276" w:type="dxa"/>
            <w:vAlign w:val="center"/>
          </w:tcPr>
          <w:p w14:paraId="0EC41216">
            <w:pPr>
              <w:pStyle w:val="15"/>
            </w:pPr>
            <w:r>
              <w:t>数量指标</w:t>
            </w:r>
          </w:p>
        </w:tc>
        <w:tc>
          <w:tcPr>
            <w:tcW w:w="1332" w:type="dxa"/>
            <w:vAlign w:val="center"/>
          </w:tcPr>
          <w:p w14:paraId="0AE14333">
            <w:pPr>
              <w:pStyle w:val="15"/>
            </w:pPr>
            <w:r>
              <w:t>人员数量</w:t>
            </w:r>
          </w:p>
        </w:tc>
        <w:tc>
          <w:tcPr>
            <w:tcW w:w="2891" w:type="dxa"/>
            <w:vAlign w:val="center"/>
          </w:tcPr>
          <w:p w14:paraId="3DAAF8F0">
            <w:pPr>
              <w:pStyle w:val="15"/>
            </w:pPr>
            <w:r>
              <w:t>发放人员数量</w:t>
            </w:r>
          </w:p>
        </w:tc>
        <w:tc>
          <w:tcPr>
            <w:tcW w:w="1276" w:type="dxa"/>
            <w:vAlign w:val="center"/>
          </w:tcPr>
          <w:p w14:paraId="4C4CE463">
            <w:pPr>
              <w:pStyle w:val="15"/>
            </w:pPr>
            <w:r>
              <w:t>4人</w:t>
            </w:r>
          </w:p>
        </w:tc>
        <w:tc>
          <w:tcPr>
            <w:tcW w:w="1843" w:type="dxa"/>
            <w:vAlign w:val="center"/>
          </w:tcPr>
          <w:p w14:paraId="34511E30">
            <w:pPr>
              <w:pStyle w:val="15"/>
            </w:pPr>
            <w:r>
              <w:t>历史经验</w:t>
            </w:r>
          </w:p>
        </w:tc>
      </w:tr>
      <w:tr w14:paraId="738434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0849655"/>
        </w:tc>
        <w:tc>
          <w:tcPr>
            <w:tcW w:w="1276" w:type="dxa"/>
            <w:vAlign w:val="center"/>
          </w:tcPr>
          <w:p w14:paraId="3C38E00F">
            <w:pPr>
              <w:pStyle w:val="15"/>
            </w:pPr>
            <w:r>
              <w:t>数量指标</w:t>
            </w:r>
          </w:p>
        </w:tc>
        <w:tc>
          <w:tcPr>
            <w:tcW w:w="1332" w:type="dxa"/>
            <w:vAlign w:val="center"/>
          </w:tcPr>
          <w:p w14:paraId="02F9108F">
            <w:pPr>
              <w:pStyle w:val="15"/>
            </w:pPr>
            <w:r>
              <w:t>维修库房数</w:t>
            </w:r>
          </w:p>
        </w:tc>
        <w:tc>
          <w:tcPr>
            <w:tcW w:w="2891" w:type="dxa"/>
            <w:vAlign w:val="center"/>
          </w:tcPr>
          <w:p w14:paraId="2068D2F6">
            <w:pPr>
              <w:pStyle w:val="15"/>
            </w:pPr>
            <w:r>
              <w:t>年内计划维修库房数量</w:t>
            </w:r>
          </w:p>
        </w:tc>
        <w:tc>
          <w:tcPr>
            <w:tcW w:w="1276" w:type="dxa"/>
            <w:vAlign w:val="center"/>
          </w:tcPr>
          <w:p w14:paraId="5679DEE1">
            <w:pPr>
              <w:pStyle w:val="15"/>
            </w:pPr>
            <w:r>
              <w:t>1个</w:t>
            </w:r>
          </w:p>
        </w:tc>
        <w:tc>
          <w:tcPr>
            <w:tcW w:w="1843" w:type="dxa"/>
            <w:vAlign w:val="center"/>
          </w:tcPr>
          <w:p w14:paraId="6B229299">
            <w:pPr>
              <w:pStyle w:val="15"/>
            </w:pPr>
            <w:r>
              <w:t>年度工作计划</w:t>
            </w:r>
          </w:p>
        </w:tc>
      </w:tr>
      <w:tr w14:paraId="0C3CDC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B3143DB"/>
        </w:tc>
        <w:tc>
          <w:tcPr>
            <w:tcW w:w="1276" w:type="dxa"/>
            <w:vAlign w:val="center"/>
          </w:tcPr>
          <w:p w14:paraId="1E2D50A6">
            <w:pPr>
              <w:pStyle w:val="15"/>
            </w:pPr>
            <w:r>
              <w:t>质量指标</w:t>
            </w:r>
          </w:p>
        </w:tc>
        <w:tc>
          <w:tcPr>
            <w:tcW w:w="1332" w:type="dxa"/>
            <w:vAlign w:val="center"/>
          </w:tcPr>
          <w:p w14:paraId="2E4CE16C">
            <w:pPr>
              <w:pStyle w:val="15"/>
            </w:pPr>
            <w:r>
              <w:t>采购质量合格率</w:t>
            </w:r>
          </w:p>
        </w:tc>
        <w:tc>
          <w:tcPr>
            <w:tcW w:w="2891" w:type="dxa"/>
            <w:vAlign w:val="center"/>
          </w:tcPr>
          <w:p w14:paraId="150DC749">
            <w:pPr>
              <w:pStyle w:val="15"/>
            </w:pPr>
            <w:r>
              <w:t>采购的物品合格数占采购总额的比例</w:t>
            </w:r>
          </w:p>
        </w:tc>
        <w:tc>
          <w:tcPr>
            <w:tcW w:w="1276" w:type="dxa"/>
            <w:vAlign w:val="center"/>
          </w:tcPr>
          <w:p w14:paraId="1ACF6BE0">
            <w:pPr>
              <w:pStyle w:val="15"/>
            </w:pPr>
            <w:r>
              <w:t>100%</w:t>
            </w:r>
          </w:p>
        </w:tc>
        <w:tc>
          <w:tcPr>
            <w:tcW w:w="1843" w:type="dxa"/>
            <w:vAlign w:val="center"/>
          </w:tcPr>
          <w:p w14:paraId="1FCA33E5">
            <w:pPr>
              <w:pStyle w:val="15"/>
            </w:pPr>
            <w:r>
              <w:t>年度工作计划</w:t>
            </w:r>
          </w:p>
        </w:tc>
      </w:tr>
      <w:tr w14:paraId="2D884B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16D70F6"/>
        </w:tc>
        <w:tc>
          <w:tcPr>
            <w:tcW w:w="1276" w:type="dxa"/>
            <w:vAlign w:val="center"/>
          </w:tcPr>
          <w:p w14:paraId="7618F6E6">
            <w:pPr>
              <w:pStyle w:val="15"/>
            </w:pPr>
            <w:r>
              <w:t>时效指标</w:t>
            </w:r>
          </w:p>
        </w:tc>
        <w:tc>
          <w:tcPr>
            <w:tcW w:w="1332" w:type="dxa"/>
            <w:vAlign w:val="center"/>
          </w:tcPr>
          <w:p w14:paraId="263376FE">
            <w:pPr>
              <w:pStyle w:val="15"/>
            </w:pPr>
            <w:r>
              <w:t>拨付及时率</w:t>
            </w:r>
          </w:p>
        </w:tc>
        <w:tc>
          <w:tcPr>
            <w:tcW w:w="2891" w:type="dxa"/>
            <w:vAlign w:val="center"/>
          </w:tcPr>
          <w:p w14:paraId="1B76A1B3">
            <w:pPr>
              <w:pStyle w:val="15"/>
            </w:pPr>
            <w:r>
              <w:t>财政资金下达后及时拨付到企业</w:t>
            </w:r>
          </w:p>
        </w:tc>
        <w:tc>
          <w:tcPr>
            <w:tcW w:w="1276" w:type="dxa"/>
            <w:vAlign w:val="center"/>
          </w:tcPr>
          <w:p w14:paraId="7EB2F0E5">
            <w:pPr>
              <w:pStyle w:val="15"/>
            </w:pPr>
            <w:r>
              <w:t>100%</w:t>
            </w:r>
          </w:p>
        </w:tc>
        <w:tc>
          <w:tcPr>
            <w:tcW w:w="1843" w:type="dxa"/>
            <w:vAlign w:val="center"/>
          </w:tcPr>
          <w:p w14:paraId="3696EA9F">
            <w:pPr>
              <w:pStyle w:val="15"/>
            </w:pPr>
            <w:r>
              <w:t>年度工作计划</w:t>
            </w:r>
          </w:p>
        </w:tc>
      </w:tr>
      <w:tr w14:paraId="7EDA98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5EEF00F"/>
        </w:tc>
        <w:tc>
          <w:tcPr>
            <w:tcW w:w="1276" w:type="dxa"/>
            <w:vAlign w:val="center"/>
          </w:tcPr>
          <w:p w14:paraId="3C8DEEC1">
            <w:pPr>
              <w:pStyle w:val="15"/>
            </w:pPr>
            <w:r>
              <w:t>时效指标</w:t>
            </w:r>
          </w:p>
        </w:tc>
        <w:tc>
          <w:tcPr>
            <w:tcW w:w="1332" w:type="dxa"/>
            <w:vAlign w:val="center"/>
          </w:tcPr>
          <w:p w14:paraId="4D44F1E0">
            <w:pPr>
              <w:pStyle w:val="15"/>
            </w:pPr>
            <w:r>
              <w:t>库房维护及时率</w:t>
            </w:r>
          </w:p>
        </w:tc>
        <w:tc>
          <w:tcPr>
            <w:tcW w:w="2891" w:type="dxa"/>
            <w:vAlign w:val="center"/>
          </w:tcPr>
          <w:p w14:paraId="6FCD68C4">
            <w:pPr>
              <w:pStyle w:val="15"/>
            </w:pPr>
            <w:r>
              <w:t>财政资金到位后库房及时维护率</w:t>
            </w:r>
          </w:p>
        </w:tc>
        <w:tc>
          <w:tcPr>
            <w:tcW w:w="1276" w:type="dxa"/>
            <w:vAlign w:val="center"/>
          </w:tcPr>
          <w:p w14:paraId="7BF7CBFF">
            <w:pPr>
              <w:pStyle w:val="15"/>
            </w:pPr>
            <w:r>
              <w:t>100%</w:t>
            </w:r>
          </w:p>
        </w:tc>
        <w:tc>
          <w:tcPr>
            <w:tcW w:w="1843" w:type="dxa"/>
            <w:vAlign w:val="center"/>
          </w:tcPr>
          <w:p w14:paraId="4CA59F8D">
            <w:pPr>
              <w:pStyle w:val="15"/>
            </w:pPr>
            <w:r>
              <w:t>年度工作计划</w:t>
            </w:r>
          </w:p>
        </w:tc>
      </w:tr>
      <w:tr w14:paraId="6C6D2F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8AB06CF"/>
        </w:tc>
        <w:tc>
          <w:tcPr>
            <w:tcW w:w="1276" w:type="dxa"/>
            <w:vAlign w:val="center"/>
          </w:tcPr>
          <w:p w14:paraId="59E0F669">
            <w:pPr>
              <w:pStyle w:val="15"/>
            </w:pPr>
            <w:r>
              <w:t>成本指标</w:t>
            </w:r>
          </w:p>
        </w:tc>
        <w:tc>
          <w:tcPr>
            <w:tcW w:w="1332" w:type="dxa"/>
            <w:vAlign w:val="center"/>
          </w:tcPr>
          <w:p w14:paraId="6880581E">
            <w:pPr>
              <w:pStyle w:val="15"/>
            </w:pPr>
            <w:r>
              <w:t>预算控制率</w:t>
            </w:r>
          </w:p>
        </w:tc>
        <w:tc>
          <w:tcPr>
            <w:tcW w:w="2891" w:type="dxa"/>
            <w:vAlign w:val="center"/>
          </w:tcPr>
          <w:p w14:paraId="14114CE8">
            <w:pPr>
              <w:pStyle w:val="15"/>
            </w:pPr>
            <w:r>
              <w:t>实际支出金额与预算金额比较情况</w:t>
            </w:r>
          </w:p>
        </w:tc>
        <w:tc>
          <w:tcPr>
            <w:tcW w:w="1276" w:type="dxa"/>
            <w:vAlign w:val="center"/>
          </w:tcPr>
          <w:p w14:paraId="7D8FFC9B">
            <w:pPr>
              <w:pStyle w:val="15"/>
            </w:pPr>
            <w:r>
              <w:t>≤100%</w:t>
            </w:r>
          </w:p>
        </w:tc>
        <w:tc>
          <w:tcPr>
            <w:tcW w:w="1843" w:type="dxa"/>
            <w:vAlign w:val="center"/>
          </w:tcPr>
          <w:p w14:paraId="368ED3D6">
            <w:pPr>
              <w:pStyle w:val="15"/>
            </w:pPr>
            <w:r>
              <w:t>年度工作计划</w:t>
            </w:r>
          </w:p>
        </w:tc>
      </w:tr>
      <w:tr w14:paraId="70F2C6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895962">
            <w:pPr>
              <w:pStyle w:val="17"/>
            </w:pPr>
            <w:r>
              <w:t>效益指标</w:t>
            </w:r>
          </w:p>
        </w:tc>
        <w:tc>
          <w:tcPr>
            <w:tcW w:w="1276" w:type="dxa"/>
            <w:vAlign w:val="center"/>
          </w:tcPr>
          <w:p w14:paraId="47B05073">
            <w:pPr>
              <w:pStyle w:val="15"/>
            </w:pPr>
            <w:r>
              <w:t>社会效益指标</w:t>
            </w:r>
          </w:p>
        </w:tc>
        <w:tc>
          <w:tcPr>
            <w:tcW w:w="1332" w:type="dxa"/>
            <w:vAlign w:val="center"/>
          </w:tcPr>
          <w:p w14:paraId="42261238">
            <w:pPr>
              <w:pStyle w:val="15"/>
            </w:pPr>
            <w:r>
              <w:t>应急保障</w:t>
            </w:r>
          </w:p>
        </w:tc>
        <w:tc>
          <w:tcPr>
            <w:tcW w:w="2891" w:type="dxa"/>
            <w:vAlign w:val="center"/>
          </w:tcPr>
          <w:p w14:paraId="61C3DF93">
            <w:pPr>
              <w:pStyle w:val="15"/>
            </w:pPr>
            <w:r>
              <w:t>提升县级应急保障</w:t>
            </w:r>
          </w:p>
        </w:tc>
        <w:tc>
          <w:tcPr>
            <w:tcW w:w="1276" w:type="dxa"/>
            <w:vAlign w:val="center"/>
          </w:tcPr>
          <w:p w14:paraId="4E5C2346">
            <w:pPr>
              <w:pStyle w:val="15"/>
            </w:pPr>
            <w:r>
              <w:t>显著提升</w:t>
            </w:r>
          </w:p>
        </w:tc>
        <w:tc>
          <w:tcPr>
            <w:tcW w:w="1843" w:type="dxa"/>
            <w:vAlign w:val="center"/>
          </w:tcPr>
          <w:p w14:paraId="48292468">
            <w:pPr>
              <w:pStyle w:val="15"/>
            </w:pPr>
            <w:r>
              <w:t>预计依据</w:t>
            </w:r>
          </w:p>
        </w:tc>
      </w:tr>
      <w:tr w14:paraId="677EC6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6C6563">
            <w:pPr>
              <w:pStyle w:val="17"/>
            </w:pPr>
            <w:r>
              <w:t>满意度指标</w:t>
            </w:r>
          </w:p>
        </w:tc>
        <w:tc>
          <w:tcPr>
            <w:tcW w:w="1276" w:type="dxa"/>
            <w:vAlign w:val="center"/>
          </w:tcPr>
          <w:p w14:paraId="1CC2D552">
            <w:pPr>
              <w:pStyle w:val="15"/>
            </w:pPr>
            <w:r>
              <w:t>服务对象满意度指标</w:t>
            </w:r>
          </w:p>
        </w:tc>
        <w:tc>
          <w:tcPr>
            <w:tcW w:w="1332" w:type="dxa"/>
            <w:vAlign w:val="center"/>
          </w:tcPr>
          <w:p w14:paraId="70A8A3AE">
            <w:pPr>
              <w:pStyle w:val="15"/>
            </w:pPr>
            <w:r>
              <w:t>人民群众满意度</w:t>
            </w:r>
          </w:p>
        </w:tc>
        <w:tc>
          <w:tcPr>
            <w:tcW w:w="2891" w:type="dxa"/>
            <w:vAlign w:val="center"/>
          </w:tcPr>
          <w:p w14:paraId="5D5E74A4">
            <w:pPr>
              <w:pStyle w:val="15"/>
            </w:pPr>
            <w:r>
              <w:t>人民群众对食盐供应与安全等方面满意度</w:t>
            </w:r>
          </w:p>
        </w:tc>
        <w:tc>
          <w:tcPr>
            <w:tcW w:w="1276" w:type="dxa"/>
            <w:vAlign w:val="center"/>
          </w:tcPr>
          <w:p w14:paraId="3789D618">
            <w:pPr>
              <w:pStyle w:val="15"/>
            </w:pPr>
            <w:r>
              <w:t>≥95%</w:t>
            </w:r>
          </w:p>
        </w:tc>
        <w:tc>
          <w:tcPr>
            <w:tcW w:w="1843" w:type="dxa"/>
            <w:vAlign w:val="center"/>
          </w:tcPr>
          <w:p w14:paraId="5EB40523">
            <w:pPr>
              <w:pStyle w:val="15"/>
            </w:pPr>
            <w:r>
              <w:t>历史经验</w:t>
            </w:r>
          </w:p>
        </w:tc>
      </w:tr>
    </w:tbl>
    <w:p w14:paraId="1EC59C74">
      <w:pPr>
        <w:sectPr>
          <w:pgSz w:w="11900" w:h="16840"/>
          <w:pgMar w:top="1984" w:right="1304" w:bottom="1134" w:left="1304" w:header="720" w:footer="720" w:gutter="0"/>
          <w:cols w:space="720" w:num="1"/>
        </w:sectPr>
      </w:pPr>
    </w:p>
    <w:p w14:paraId="7FE18EF0">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10559512">
      <w:pPr>
        <w:spacing w:before="0" w:after="0"/>
        <w:ind w:firstLine="560"/>
        <w:jc w:val="left"/>
        <w:outlineLvl w:val="3"/>
      </w:pPr>
      <w:bookmarkStart w:id="5" w:name="_Toc_4_4_0000000006"/>
      <w:r>
        <w:rPr>
          <w:rFonts w:ascii="方正仿宋_GBK" w:hAnsi="方正仿宋_GBK" w:eastAsia="方正仿宋_GBK" w:cs="方正仿宋_GBK"/>
          <w:color w:val="000000"/>
          <w:sz w:val="28"/>
        </w:rPr>
        <w:t>3.县社盐政改制人员工资及保险补贴资金项目绩效目标表</w:t>
      </w:r>
      <w:bookmarkEnd w:id="5"/>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692428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61DD59DB">
            <w:pPr>
              <w:pStyle w:val="14"/>
            </w:pPr>
            <w:r>
              <w:t>838001涞源县供销合作社本级</w:t>
            </w:r>
          </w:p>
        </w:tc>
        <w:tc>
          <w:tcPr>
            <w:tcW w:w="1843" w:type="dxa"/>
            <w:tcBorders>
              <w:top w:val="single" w:color="FFFFFF" w:sz="6" w:space="0"/>
              <w:left w:val="single" w:color="FFFFFF" w:sz="6" w:space="0"/>
              <w:right w:val="single" w:color="FFFFFF" w:sz="6" w:space="0"/>
            </w:tcBorders>
            <w:vAlign w:val="center"/>
          </w:tcPr>
          <w:p w14:paraId="34D70697">
            <w:pPr>
              <w:pStyle w:val="13"/>
            </w:pPr>
            <w:r>
              <w:t>单位：万元</w:t>
            </w:r>
          </w:p>
        </w:tc>
      </w:tr>
      <w:tr w14:paraId="78CAAE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5D29DB">
            <w:pPr>
              <w:pStyle w:val="16"/>
            </w:pPr>
            <w:r>
              <w:t>项目编码</w:t>
            </w:r>
          </w:p>
        </w:tc>
        <w:tc>
          <w:tcPr>
            <w:tcW w:w="2608" w:type="dxa"/>
            <w:gridSpan w:val="2"/>
            <w:vAlign w:val="center"/>
          </w:tcPr>
          <w:p w14:paraId="6BEB8267">
            <w:pPr>
              <w:pStyle w:val="15"/>
            </w:pPr>
            <w:r>
              <w:t>13063026P00631810001D</w:t>
            </w:r>
          </w:p>
        </w:tc>
        <w:tc>
          <w:tcPr>
            <w:tcW w:w="1587" w:type="dxa"/>
            <w:vAlign w:val="center"/>
          </w:tcPr>
          <w:p w14:paraId="78FFE8E3">
            <w:pPr>
              <w:pStyle w:val="16"/>
            </w:pPr>
            <w:r>
              <w:t>项目名称</w:t>
            </w:r>
          </w:p>
        </w:tc>
        <w:tc>
          <w:tcPr>
            <w:tcW w:w="4423" w:type="dxa"/>
            <w:gridSpan w:val="3"/>
            <w:vAlign w:val="center"/>
          </w:tcPr>
          <w:p w14:paraId="2354E9A9">
            <w:pPr>
              <w:pStyle w:val="15"/>
            </w:pPr>
            <w:r>
              <w:t>县社盐政改制人员工资及保险补贴资金项目</w:t>
            </w:r>
          </w:p>
        </w:tc>
      </w:tr>
      <w:tr w14:paraId="7D9443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9D0230">
            <w:pPr>
              <w:pStyle w:val="16"/>
            </w:pPr>
            <w:r>
              <w:t>预算规模及资金用途</w:t>
            </w:r>
          </w:p>
        </w:tc>
        <w:tc>
          <w:tcPr>
            <w:tcW w:w="1276" w:type="dxa"/>
            <w:vAlign w:val="center"/>
          </w:tcPr>
          <w:p w14:paraId="65C42D5A">
            <w:pPr>
              <w:pStyle w:val="16"/>
            </w:pPr>
            <w:r>
              <w:t>预算数</w:t>
            </w:r>
          </w:p>
        </w:tc>
        <w:tc>
          <w:tcPr>
            <w:tcW w:w="1332" w:type="dxa"/>
            <w:vAlign w:val="center"/>
          </w:tcPr>
          <w:p w14:paraId="11C846C9">
            <w:pPr>
              <w:pStyle w:val="15"/>
            </w:pPr>
            <w:r>
              <w:t>94.00</w:t>
            </w:r>
          </w:p>
        </w:tc>
        <w:tc>
          <w:tcPr>
            <w:tcW w:w="1587" w:type="dxa"/>
            <w:vAlign w:val="center"/>
          </w:tcPr>
          <w:p w14:paraId="3820C223">
            <w:pPr>
              <w:pStyle w:val="16"/>
            </w:pPr>
            <w:r>
              <w:t>其中：财政资金</w:t>
            </w:r>
          </w:p>
        </w:tc>
        <w:tc>
          <w:tcPr>
            <w:tcW w:w="1304" w:type="dxa"/>
            <w:vAlign w:val="center"/>
          </w:tcPr>
          <w:p w14:paraId="1B724A36">
            <w:pPr>
              <w:pStyle w:val="15"/>
            </w:pPr>
            <w:r>
              <w:t>94.00</w:t>
            </w:r>
          </w:p>
        </w:tc>
        <w:tc>
          <w:tcPr>
            <w:tcW w:w="1276" w:type="dxa"/>
            <w:vAlign w:val="center"/>
          </w:tcPr>
          <w:p w14:paraId="2410F27D">
            <w:pPr>
              <w:pStyle w:val="16"/>
            </w:pPr>
            <w:r>
              <w:t>其他资金</w:t>
            </w:r>
          </w:p>
        </w:tc>
        <w:tc>
          <w:tcPr>
            <w:tcW w:w="1843" w:type="dxa"/>
            <w:vAlign w:val="center"/>
          </w:tcPr>
          <w:p w14:paraId="20A7D5B5">
            <w:pPr>
              <w:pStyle w:val="15"/>
            </w:pPr>
            <w:r>
              <w:t xml:space="preserve"> </w:t>
            </w:r>
          </w:p>
        </w:tc>
      </w:tr>
      <w:tr w14:paraId="7E1471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24BA923"/>
        </w:tc>
        <w:tc>
          <w:tcPr>
            <w:tcW w:w="8618" w:type="dxa"/>
            <w:gridSpan w:val="6"/>
            <w:vAlign w:val="center"/>
          </w:tcPr>
          <w:p w14:paraId="7418B56C">
            <w:pPr>
              <w:pStyle w:val="15"/>
            </w:pPr>
            <w:r>
              <w:t>资金用于人员工资及社保支出。</w:t>
            </w:r>
          </w:p>
        </w:tc>
      </w:tr>
      <w:tr w14:paraId="68574A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C8AF81">
            <w:pPr>
              <w:pStyle w:val="16"/>
            </w:pPr>
            <w:r>
              <w:t>资金支出计划（%）</w:t>
            </w:r>
          </w:p>
        </w:tc>
        <w:tc>
          <w:tcPr>
            <w:tcW w:w="2608" w:type="dxa"/>
            <w:gridSpan w:val="2"/>
            <w:vAlign w:val="center"/>
          </w:tcPr>
          <w:p w14:paraId="1E28E319">
            <w:pPr>
              <w:pStyle w:val="16"/>
            </w:pPr>
            <w:r>
              <w:t>3月底</w:t>
            </w:r>
          </w:p>
        </w:tc>
        <w:tc>
          <w:tcPr>
            <w:tcW w:w="1587" w:type="dxa"/>
            <w:vAlign w:val="center"/>
          </w:tcPr>
          <w:p w14:paraId="4A178277">
            <w:pPr>
              <w:pStyle w:val="16"/>
            </w:pPr>
            <w:r>
              <w:t>6月底</w:t>
            </w:r>
          </w:p>
        </w:tc>
        <w:tc>
          <w:tcPr>
            <w:tcW w:w="1304" w:type="dxa"/>
            <w:vAlign w:val="center"/>
          </w:tcPr>
          <w:p w14:paraId="01487542">
            <w:pPr>
              <w:pStyle w:val="16"/>
            </w:pPr>
            <w:r>
              <w:t>10月底</w:t>
            </w:r>
          </w:p>
        </w:tc>
        <w:tc>
          <w:tcPr>
            <w:tcW w:w="3119" w:type="dxa"/>
            <w:gridSpan w:val="2"/>
            <w:vAlign w:val="center"/>
          </w:tcPr>
          <w:p w14:paraId="4DF0930C">
            <w:pPr>
              <w:pStyle w:val="16"/>
            </w:pPr>
            <w:r>
              <w:t>12月底</w:t>
            </w:r>
          </w:p>
        </w:tc>
      </w:tr>
      <w:tr w14:paraId="186799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5EE6B94"/>
        </w:tc>
        <w:tc>
          <w:tcPr>
            <w:tcW w:w="2608" w:type="dxa"/>
            <w:gridSpan w:val="2"/>
            <w:vAlign w:val="center"/>
          </w:tcPr>
          <w:p w14:paraId="5FC7E53B">
            <w:pPr>
              <w:pStyle w:val="17"/>
            </w:pPr>
            <w:r>
              <w:t>25%</w:t>
            </w:r>
          </w:p>
        </w:tc>
        <w:tc>
          <w:tcPr>
            <w:tcW w:w="1587" w:type="dxa"/>
            <w:vAlign w:val="center"/>
          </w:tcPr>
          <w:p w14:paraId="2D8A1DE1">
            <w:pPr>
              <w:pStyle w:val="17"/>
            </w:pPr>
            <w:r>
              <w:t>50%</w:t>
            </w:r>
          </w:p>
        </w:tc>
        <w:tc>
          <w:tcPr>
            <w:tcW w:w="1304" w:type="dxa"/>
            <w:vAlign w:val="center"/>
          </w:tcPr>
          <w:p w14:paraId="79A8B819">
            <w:pPr>
              <w:pStyle w:val="17"/>
            </w:pPr>
            <w:r>
              <w:t>75%</w:t>
            </w:r>
          </w:p>
        </w:tc>
        <w:tc>
          <w:tcPr>
            <w:tcW w:w="3119" w:type="dxa"/>
            <w:gridSpan w:val="2"/>
            <w:vAlign w:val="center"/>
          </w:tcPr>
          <w:p w14:paraId="51AFD3C4">
            <w:pPr>
              <w:pStyle w:val="17"/>
            </w:pPr>
            <w:r>
              <w:t>100%</w:t>
            </w:r>
          </w:p>
        </w:tc>
      </w:tr>
      <w:tr w14:paraId="1B7F11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F1AA36">
            <w:pPr>
              <w:pStyle w:val="16"/>
            </w:pPr>
            <w:r>
              <w:t>绩效目标</w:t>
            </w:r>
          </w:p>
        </w:tc>
        <w:tc>
          <w:tcPr>
            <w:tcW w:w="8618" w:type="dxa"/>
            <w:gridSpan w:val="6"/>
            <w:vAlign w:val="center"/>
          </w:tcPr>
          <w:p w14:paraId="5F9F6333">
            <w:pPr>
              <w:pStyle w:val="15"/>
            </w:pPr>
            <w:r>
              <w:t>1.社会稳定，职工无上访</w:t>
            </w:r>
          </w:p>
          <w:p w14:paraId="17C8833B">
            <w:pPr>
              <w:pStyle w:val="15"/>
            </w:pPr>
            <w:r>
              <w:t>2.服务满意度达95%以上</w:t>
            </w:r>
          </w:p>
          <w:p w14:paraId="5835E687">
            <w:pPr>
              <w:pStyle w:val="15"/>
            </w:pPr>
            <w:r>
              <w:t>3.确保资金按时足额发放</w:t>
            </w:r>
          </w:p>
        </w:tc>
      </w:tr>
    </w:tbl>
    <w:p w14:paraId="1380958B">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752729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E6F5E61">
            <w:pPr>
              <w:pStyle w:val="16"/>
            </w:pPr>
            <w:r>
              <w:t>一级指标</w:t>
            </w:r>
          </w:p>
        </w:tc>
        <w:tc>
          <w:tcPr>
            <w:tcW w:w="1276" w:type="dxa"/>
            <w:vAlign w:val="center"/>
          </w:tcPr>
          <w:p w14:paraId="61AED713">
            <w:pPr>
              <w:pStyle w:val="16"/>
            </w:pPr>
            <w:r>
              <w:t>二级指标</w:t>
            </w:r>
          </w:p>
        </w:tc>
        <w:tc>
          <w:tcPr>
            <w:tcW w:w="1332" w:type="dxa"/>
            <w:vAlign w:val="center"/>
          </w:tcPr>
          <w:p w14:paraId="6C4C68E3">
            <w:pPr>
              <w:pStyle w:val="16"/>
            </w:pPr>
            <w:r>
              <w:t>三级指标</w:t>
            </w:r>
          </w:p>
        </w:tc>
        <w:tc>
          <w:tcPr>
            <w:tcW w:w="2891" w:type="dxa"/>
            <w:vAlign w:val="center"/>
          </w:tcPr>
          <w:p w14:paraId="21B02741">
            <w:pPr>
              <w:pStyle w:val="16"/>
            </w:pPr>
            <w:r>
              <w:t>绩效指标描述</w:t>
            </w:r>
          </w:p>
        </w:tc>
        <w:tc>
          <w:tcPr>
            <w:tcW w:w="1276" w:type="dxa"/>
            <w:vAlign w:val="center"/>
          </w:tcPr>
          <w:p w14:paraId="1904E092">
            <w:pPr>
              <w:pStyle w:val="16"/>
            </w:pPr>
            <w:r>
              <w:t>指标值</w:t>
            </w:r>
          </w:p>
        </w:tc>
        <w:tc>
          <w:tcPr>
            <w:tcW w:w="1843" w:type="dxa"/>
            <w:vAlign w:val="center"/>
          </w:tcPr>
          <w:p w14:paraId="49B0344C">
            <w:pPr>
              <w:pStyle w:val="16"/>
            </w:pPr>
            <w:r>
              <w:t>指标值确定依据</w:t>
            </w:r>
          </w:p>
        </w:tc>
      </w:tr>
      <w:tr w14:paraId="671375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1203DE">
            <w:pPr>
              <w:pStyle w:val="17"/>
            </w:pPr>
            <w:r>
              <w:t>产出指标</w:t>
            </w:r>
          </w:p>
        </w:tc>
        <w:tc>
          <w:tcPr>
            <w:tcW w:w="1276" w:type="dxa"/>
            <w:vAlign w:val="center"/>
          </w:tcPr>
          <w:p w14:paraId="464C282D">
            <w:pPr>
              <w:pStyle w:val="15"/>
            </w:pPr>
            <w:r>
              <w:t>数量指标</w:t>
            </w:r>
          </w:p>
        </w:tc>
        <w:tc>
          <w:tcPr>
            <w:tcW w:w="1332" w:type="dxa"/>
            <w:vAlign w:val="center"/>
          </w:tcPr>
          <w:p w14:paraId="2C413ADA">
            <w:pPr>
              <w:pStyle w:val="15"/>
            </w:pPr>
            <w:r>
              <w:t>人员数量</w:t>
            </w:r>
          </w:p>
        </w:tc>
        <w:tc>
          <w:tcPr>
            <w:tcW w:w="2891" w:type="dxa"/>
            <w:vAlign w:val="center"/>
          </w:tcPr>
          <w:p w14:paraId="45246FCC">
            <w:pPr>
              <w:pStyle w:val="15"/>
            </w:pPr>
            <w:r>
              <w:t>发放人员数量17人</w:t>
            </w:r>
          </w:p>
        </w:tc>
        <w:tc>
          <w:tcPr>
            <w:tcW w:w="1276" w:type="dxa"/>
            <w:vAlign w:val="center"/>
          </w:tcPr>
          <w:p w14:paraId="6E111FAB">
            <w:pPr>
              <w:pStyle w:val="15"/>
            </w:pPr>
            <w:r>
              <w:t>≤17人</w:t>
            </w:r>
          </w:p>
        </w:tc>
        <w:tc>
          <w:tcPr>
            <w:tcW w:w="1843" w:type="dxa"/>
            <w:vAlign w:val="center"/>
          </w:tcPr>
          <w:p w14:paraId="2274B7B2">
            <w:pPr>
              <w:pStyle w:val="15"/>
            </w:pPr>
            <w:r>
              <w:t>年度工作计划</w:t>
            </w:r>
          </w:p>
        </w:tc>
      </w:tr>
      <w:tr w14:paraId="121EBC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F0B62ED"/>
        </w:tc>
        <w:tc>
          <w:tcPr>
            <w:tcW w:w="1276" w:type="dxa"/>
            <w:vAlign w:val="center"/>
          </w:tcPr>
          <w:p w14:paraId="65DB8661">
            <w:pPr>
              <w:pStyle w:val="15"/>
            </w:pPr>
            <w:r>
              <w:t>质量指标</w:t>
            </w:r>
          </w:p>
        </w:tc>
        <w:tc>
          <w:tcPr>
            <w:tcW w:w="1332" w:type="dxa"/>
            <w:vAlign w:val="center"/>
          </w:tcPr>
          <w:p w14:paraId="391D73AF">
            <w:pPr>
              <w:pStyle w:val="15"/>
            </w:pPr>
            <w:r>
              <w:t>出勤率</w:t>
            </w:r>
          </w:p>
        </w:tc>
        <w:tc>
          <w:tcPr>
            <w:tcW w:w="2891" w:type="dxa"/>
            <w:vAlign w:val="center"/>
          </w:tcPr>
          <w:p w14:paraId="321CDF6C">
            <w:pPr>
              <w:pStyle w:val="15"/>
            </w:pPr>
            <w:r>
              <w:t>本年实际出勤天数占应出勤的比率</w:t>
            </w:r>
          </w:p>
        </w:tc>
        <w:tc>
          <w:tcPr>
            <w:tcW w:w="1276" w:type="dxa"/>
            <w:vAlign w:val="center"/>
          </w:tcPr>
          <w:p w14:paraId="4E05F0AD">
            <w:pPr>
              <w:pStyle w:val="15"/>
            </w:pPr>
            <w:r>
              <w:t>100%</w:t>
            </w:r>
          </w:p>
        </w:tc>
        <w:tc>
          <w:tcPr>
            <w:tcW w:w="1843" w:type="dxa"/>
            <w:vAlign w:val="center"/>
          </w:tcPr>
          <w:p w14:paraId="7319943B">
            <w:pPr>
              <w:pStyle w:val="15"/>
            </w:pPr>
            <w:r>
              <w:t>历史经验</w:t>
            </w:r>
          </w:p>
        </w:tc>
      </w:tr>
      <w:tr w14:paraId="38B174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364230B"/>
        </w:tc>
        <w:tc>
          <w:tcPr>
            <w:tcW w:w="1276" w:type="dxa"/>
            <w:vAlign w:val="center"/>
          </w:tcPr>
          <w:p w14:paraId="735F056B">
            <w:pPr>
              <w:pStyle w:val="15"/>
            </w:pPr>
            <w:r>
              <w:t>时效指标</w:t>
            </w:r>
          </w:p>
        </w:tc>
        <w:tc>
          <w:tcPr>
            <w:tcW w:w="1332" w:type="dxa"/>
            <w:vAlign w:val="center"/>
          </w:tcPr>
          <w:p w14:paraId="7B7F05DE">
            <w:pPr>
              <w:pStyle w:val="15"/>
            </w:pPr>
            <w:r>
              <w:t>按时支付率</w:t>
            </w:r>
          </w:p>
        </w:tc>
        <w:tc>
          <w:tcPr>
            <w:tcW w:w="2891" w:type="dxa"/>
            <w:vAlign w:val="center"/>
          </w:tcPr>
          <w:p w14:paraId="588CF0C5">
            <w:pPr>
              <w:pStyle w:val="15"/>
            </w:pPr>
            <w:r>
              <w:t>确保资金按时足额支付</w:t>
            </w:r>
          </w:p>
        </w:tc>
        <w:tc>
          <w:tcPr>
            <w:tcW w:w="1276" w:type="dxa"/>
            <w:vAlign w:val="center"/>
          </w:tcPr>
          <w:p w14:paraId="4F532DAD">
            <w:pPr>
              <w:pStyle w:val="15"/>
            </w:pPr>
            <w:r>
              <w:t>100%</w:t>
            </w:r>
          </w:p>
        </w:tc>
        <w:tc>
          <w:tcPr>
            <w:tcW w:w="1843" w:type="dxa"/>
            <w:vAlign w:val="center"/>
          </w:tcPr>
          <w:p w14:paraId="1B6A1A57">
            <w:pPr>
              <w:pStyle w:val="15"/>
            </w:pPr>
            <w:r>
              <w:t>年度工作计划</w:t>
            </w:r>
          </w:p>
        </w:tc>
      </w:tr>
      <w:tr w14:paraId="72C269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A5F2E89"/>
        </w:tc>
        <w:tc>
          <w:tcPr>
            <w:tcW w:w="1276" w:type="dxa"/>
            <w:vAlign w:val="center"/>
          </w:tcPr>
          <w:p w14:paraId="482A3755">
            <w:pPr>
              <w:pStyle w:val="15"/>
            </w:pPr>
            <w:r>
              <w:t>成本指标</w:t>
            </w:r>
          </w:p>
        </w:tc>
        <w:tc>
          <w:tcPr>
            <w:tcW w:w="1332" w:type="dxa"/>
            <w:vAlign w:val="center"/>
          </w:tcPr>
          <w:p w14:paraId="71E6410C">
            <w:pPr>
              <w:pStyle w:val="15"/>
            </w:pPr>
            <w:r>
              <w:t>预算控制率</w:t>
            </w:r>
          </w:p>
        </w:tc>
        <w:tc>
          <w:tcPr>
            <w:tcW w:w="2891" w:type="dxa"/>
            <w:vAlign w:val="center"/>
          </w:tcPr>
          <w:p w14:paraId="450854B7">
            <w:pPr>
              <w:pStyle w:val="15"/>
            </w:pPr>
            <w:r>
              <w:t>实际支出比预算数</w:t>
            </w:r>
          </w:p>
        </w:tc>
        <w:tc>
          <w:tcPr>
            <w:tcW w:w="1276" w:type="dxa"/>
            <w:vAlign w:val="center"/>
          </w:tcPr>
          <w:p w14:paraId="476F2CFB">
            <w:pPr>
              <w:pStyle w:val="15"/>
            </w:pPr>
            <w:r>
              <w:t>≤100%</w:t>
            </w:r>
          </w:p>
        </w:tc>
        <w:tc>
          <w:tcPr>
            <w:tcW w:w="1843" w:type="dxa"/>
            <w:vAlign w:val="center"/>
          </w:tcPr>
          <w:p w14:paraId="2437BF14">
            <w:pPr>
              <w:pStyle w:val="15"/>
            </w:pPr>
            <w:r>
              <w:t>年度工作计划</w:t>
            </w:r>
          </w:p>
        </w:tc>
      </w:tr>
      <w:tr w14:paraId="32F860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A7325C6">
            <w:pPr>
              <w:pStyle w:val="17"/>
            </w:pPr>
            <w:r>
              <w:t>效益指标</w:t>
            </w:r>
          </w:p>
        </w:tc>
        <w:tc>
          <w:tcPr>
            <w:tcW w:w="1276" w:type="dxa"/>
            <w:vAlign w:val="center"/>
          </w:tcPr>
          <w:p w14:paraId="0524558F">
            <w:pPr>
              <w:pStyle w:val="15"/>
            </w:pPr>
            <w:r>
              <w:t>社会效益指标</w:t>
            </w:r>
          </w:p>
        </w:tc>
        <w:tc>
          <w:tcPr>
            <w:tcW w:w="1332" w:type="dxa"/>
            <w:vAlign w:val="center"/>
          </w:tcPr>
          <w:p w14:paraId="6290C7DA">
            <w:pPr>
              <w:pStyle w:val="15"/>
            </w:pPr>
            <w:r>
              <w:t>社会稳定水平</w:t>
            </w:r>
          </w:p>
        </w:tc>
        <w:tc>
          <w:tcPr>
            <w:tcW w:w="2891" w:type="dxa"/>
            <w:vAlign w:val="center"/>
          </w:tcPr>
          <w:p w14:paraId="7A148875">
            <w:pPr>
              <w:pStyle w:val="15"/>
            </w:pPr>
            <w:r>
              <w:t>盐改人员情绪稳定，无上访</w:t>
            </w:r>
          </w:p>
        </w:tc>
        <w:tc>
          <w:tcPr>
            <w:tcW w:w="1276" w:type="dxa"/>
            <w:vAlign w:val="center"/>
          </w:tcPr>
          <w:p w14:paraId="2EDE8478">
            <w:pPr>
              <w:pStyle w:val="15"/>
            </w:pPr>
            <w:r>
              <w:t>稳定</w:t>
            </w:r>
          </w:p>
        </w:tc>
        <w:tc>
          <w:tcPr>
            <w:tcW w:w="1843" w:type="dxa"/>
            <w:vAlign w:val="center"/>
          </w:tcPr>
          <w:p w14:paraId="70769365">
            <w:pPr>
              <w:pStyle w:val="15"/>
            </w:pPr>
            <w:r>
              <w:t>年度工作计划</w:t>
            </w:r>
          </w:p>
        </w:tc>
      </w:tr>
      <w:tr w14:paraId="17ACAB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A4003EA">
            <w:pPr>
              <w:pStyle w:val="17"/>
            </w:pPr>
            <w:r>
              <w:t>满意度指标</w:t>
            </w:r>
          </w:p>
        </w:tc>
        <w:tc>
          <w:tcPr>
            <w:tcW w:w="1276" w:type="dxa"/>
            <w:vAlign w:val="center"/>
          </w:tcPr>
          <w:p w14:paraId="75ED4227">
            <w:pPr>
              <w:pStyle w:val="15"/>
            </w:pPr>
            <w:r>
              <w:t>服务对象满意度指标</w:t>
            </w:r>
          </w:p>
        </w:tc>
        <w:tc>
          <w:tcPr>
            <w:tcW w:w="1332" w:type="dxa"/>
            <w:vAlign w:val="center"/>
          </w:tcPr>
          <w:p w14:paraId="71136893">
            <w:pPr>
              <w:pStyle w:val="15"/>
            </w:pPr>
            <w:r>
              <w:t>人员满意度</w:t>
            </w:r>
          </w:p>
        </w:tc>
        <w:tc>
          <w:tcPr>
            <w:tcW w:w="2891" w:type="dxa"/>
            <w:vAlign w:val="center"/>
          </w:tcPr>
          <w:p w14:paraId="09CC3C6A">
            <w:pPr>
              <w:pStyle w:val="15"/>
            </w:pPr>
            <w:r>
              <w:t>盐政改制人员满意度</w:t>
            </w:r>
          </w:p>
        </w:tc>
        <w:tc>
          <w:tcPr>
            <w:tcW w:w="1276" w:type="dxa"/>
            <w:vAlign w:val="center"/>
          </w:tcPr>
          <w:p w14:paraId="56196C4B">
            <w:pPr>
              <w:pStyle w:val="15"/>
            </w:pPr>
            <w:r>
              <w:t>≥95%</w:t>
            </w:r>
          </w:p>
        </w:tc>
        <w:tc>
          <w:tcPr>
            <w:tcW w:w="1843" w:type="dxa"/>
            <w:vAlign w:val="center"/>
          </w:tcPr>
          <w:p w14:paraId="674BEB71">
            <w:pPr>
              <w:pStyle w:val="15"/>
            </w:pPr>
            <w:r>
              <w:t>历史经验</w:t>
            </w:r>
          </w:p>
        </w:tc>
      </w:tr>
    </w:tbl>
    <w:p w14:paraId="42CD8FB2"/>
    <w:sectPr>
      <w:pgSz w:w="11900" w:h="16840"/>
      <w:pgMar w:top="1984" w:right="1304" w:bottom="1134" w:left="1304"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auto"/>
    <w:pitch w:val="default"/>
    <w:sig w:usb0="E0002AFF" w:usb1="C0007843"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方正书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方正黑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F96637">
    <w:pP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785B55">
    <w:pPr>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4D3F39">
    <w:pPr>
      <w:jc w:val="right"/>
    </w:pPr>
    <w:r>
      <w:rPr>
        <w:sz w:val="24"/>
      </w:rP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612AE8FC">
                <w:pPr>
                  <w:jc w:val="right"/>
                </w:pPr>
                <w:r>
                  <w:fldChar w:fldCharType="begin"/>
                </w:r>
                <w:r>
                  <w:instrText xml:space="preserve">PAGE "page number"</w:instrText>
                </w:r>
                <w:r>
                  <w:fldChar w:fldCharType="separate"/>
                </w:r>
                <w:r>
                  <w:t>5</w:t>
                </w:r>
                <w: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0ED91B">
    <w:pPr>
      <w:jc w:val="left"/>
    </w:pPr>
    <w:r>
      <w:rPr>
        <w:sz w:val="24"/>
      </w:rPr>
      <w:pict>
        <v:shape id="_x0000_s4098" o:spid="_x0000_s4098"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14:paraId="01B0D209">
                <w:pPr>
                  <w:jc w:val="left"/>
                </w:pPr>
                <w:r>
                  <w:fldChar w:fldCharType="begin"/>
                </w:r>
                <w:r>
                  <w:instrText xml:space="preserve">PAGE "page number"</w:instrText>
                </w:r>
                <w:r>
                  <w:fldChar w:fldCharType="separate"/>
                </w:r>
                <w:r>
                  <w:t>4</w:t>
                </w:r>
                <w: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DCED46"/>
    <w:multiLevelType w:val="singleLevel"/>
    <w:tmpl w:val="0ADCED46"/>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NotTrackMoves/>
  <w:documentProtection w:enforcement="0"/>
  <w:defaultTabStop w:val="720"/>
  <w:evenAndOddHeaders w:val="1"/>
  <w:characterSpacingControl w:val="doNotCompress"/>
  <w:hdrShapeDefaults>
    <o:shapelayout v:ext="edit">
      <o:idmap v:ext="edit" data="3,4"/>
    </o:shapelayout>
  </w:hdrShapeDefaults>
  <w:compat>
    <w:doNotLeaveBackslashAlone/>
    <w:doNotExpandShiftReturn/>
    <w:adjustLineHeightInTable/>
    <w:useFELayout/>
    <w:compatSetting w:name="compatibilityMode" w:uri="http://schemas.microsoft.com/office/word" w:val="12"/>
  </w:compat>
  <w:rsids>
    <w:rsidRoot w:val="00000000"/>
    <w:rsid w:val="0520199A"/>
    <w:rsid w:val="11301B73"/>
    <w:rsid w:val="1BAA3C26"/>
    <w:rsid w:val="1C422BD3"/>
    <w:rsid w:val="2F927575"/>
    <w:rsid w:val="60C74A21"/>
    <w:rsid w:val="61A55940"/>
    <w:rsid w:val="70DC488B"/>
    <w:rsid w:val="734737A0"/>
    <w:rsid w:val="738467A2"/>
    <w:rsid w:val="7FC91371"/>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9">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footer"/>
    <w:basedOn w:val="1"/>
    <w:semiHidden/>
    <w:unhideWhenUsed/>
    <w:uiPriority w:val="99"/>
    <w:pPr>
      <w:tabs>
        <w:tab w:val="center" w:pos="4153"/>
        <w:tab w:val="right" w:pos="8306"/>
      </w:tabs>
      <w:snapToGrid w:val="0"/>
      <w:jc w:val="left"/>
    </w:pPr>
    <w:rPr>
      <w:sz w:val="18"/>
    </w:rPr>
  </w:style>
  <w:style w:type="paragraph" w:styleId="3">
    <w:name w:val="header"/>
    <w:basedOn w:val="1"/>
    <w:semiHidden/>
    <w:unhideWhenUsed/>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toc 1"/>
    <w:basedOn w:val="1"/>
    <w:qFormat/>
    <w:uiPriority w:val="0"/>
    <w:pPr>
      <w:spacing w:before="120" w:line="240" w:lineRule="auto"/>
      <w:ind w:firstLine="0"/>
    </w:pPr>
    <w:rPr>
      <w:rFonts w:ascii="Times New Roman" w:hAnsi="Times New Roman" w:eastAsia="方正仿宋_GBK" w:cs="Times New Roman"/>
      <w:color w:val="000000"/>
      <w:sz w:val="28"/>
      <w:lang w:val="en-US"/>
    </w:rPr>
  </w:style>
  <w:style w:type="paragraph" w:styleId="5">
    <w:name w:val="toc 4"/>
    <w:basedOn w:val="1"/>
    <w:qFormat/>
    <w:uiPriority w:val="0"/>
    <w:pPr>
      <w:ind w:left="720"/>
    </w:pPr>
  </w:style>
  <w:style w:type="paragraph" w:styleId="6">
    <w:name w:val="toc 2"/>
    <w:basedOn w:val="1"/>
    <w:qFormat/>
    <w:uiPriority w:val="0"/>
    <w:pPr>
      <w:ind w:left="240"/>
    </w:pPr>
  </w:style>
  <w:style w:type="table" w:styleId="8">
    <w:name w:val="Table Grid"/>
    <w:basedOn w:val="7"/>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10">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1">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2">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3">
    <w:name w:val="单元格样式4"/>
    <w:qFormat/>
    <w:uiPriority w:val="0"/>
    <w:pPr>
      <w:spacing w:before="0" w:after="0"/>
      <w:ind w:firstLine="0"/>
      <w:jc w:val="right"/>
      <w:outlineLvl w:val="9"/>
    </w:pPr>
    <w:rPr>
      <w:rFonts w:ascii="方正书宋_GBK" w:hAnsi="方正书宋_GBK" w:eastAsia="方正书宋_GBK" w:cs="方正书宋_GBK"/>
      <w:sz w:val="21"/>
      <w:szCs w:val="22"/>
    </w:rPr>
  </w:style>
  <w:style w:type="paragraph" w:customStyle="1" w:styleId="14">
    <w:name w:val="单元格样式5"/>
    <w:qFormat/>
    <w:uiPriority w:val="0"/>
    <w:pPr>
      <w:spacing w:before="0" w:after="0"/>
      <w:ind w:firstLine="0"/>
      <w:jc w:val="left"/>
      <w:outlineLvl w:val="9"/>
    </w:pPr>
    <w:rPr>
      <w:rFonts w:ascii="方正书宋_GBK" w:hAnsi="方正书宋_GBK" w:eastAsia="方正书宋_GBK" w:cs="方正书宋_GBK"/>
      <w:b/>
      <w:sz w:val="21"/>
      <w:szCs w:val="22"/>
    </w:rPr>
  </w:style>
  <w:style w:type="paragraph" w:customStyle="1" w:styleId="15">
    <w:name w:val="单元格样式2"/>
    <w:qFormat/>
    <w:uiPriority w:val="0"/>
    <w:pPr>
      <w:spacing w:before="0" w:after="0"/>
      <w:ind w:firstLine="0"/>
      <w:jc w:val="left"/>
      <w:outlineLvl w:val="9"/>
    </w:pPr>
    <w:rPr>
      <w:rFonts w:ascii="方正书宋_GBK" w:hAnsi="方正书宋_GBK" w:eastAsia="方正书宋_GBK" w:cs="方正书宋_GBK"/>
      <w:sz w:val="21"/>
      <w:szCs w:val="22"/>
    </w:rPr>
  </w:style>
  <w:style w:type="paragraph" w:customStyle="1" w:styleId="16">
    <w:name w:val="单元格样式1"/>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7">
    <w:name w:val="单元格样式3"/>
    <w:qFormat/>
    <w:uiPriority w:val="0"/>
    <w:pPr>
      <w:spacing w:before="0" w:after="0"/>
      <w:ind w:firstLine="0"/>
      <w:jc w:val="center"/>
      <w:outlineLvl w:val="9"/>
    </w:pPr>
    <w:rPr>
      <w:rFonts w:ascii="方正书宋_GBK" w:hAnsi="方正书宋_GBK" w:eastAsia="方正书宋_GBK" w:cs="方正书宋_GBK"/>
      <w:sz w:val="21"/>
      <w:szCs w:val="22"/>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4097" textRotate="1"/>
    <customShpInfo spid="_x0000_s4098" textRotate="1"/>
  </customShpExts>
</s:customData>
</file>

<file path=customXml/item2.xml><?xml version="1.0" encoding="utf-8"?>
<contractReview xmlns="http://schemas.wps.cn/vas-ai-hub/contract-review">
  <reviewItems>
    <reviewItem>
      <errorID>ffcafe87-ee20-4178-aab8-5c8917eb3b95</errorID>
      <errorWord>供应</errorWord>
      <group>L1_Grammar</group>
      <groupName>语法问题</groupName>
      <ability>L2_Grammar</ability>
      <abilityName>语法错误</abilityName>
      <candidateList>
        <item>提供</item>
      </candidateList>
      <explain>“供应～服务”搭配不当，建议修改为“提供～服务”。</explain>
      <paraID>48AA20CF</paraID>
      <start>144</start>
      <end>146</end>
      <status>ignored</status>
      <modifiedWord/>
      <trackRevisions>false</trackRevisions>
    </reviewItem>
    <reviewItem>
      <errorID>9bf9e4df-cc09-42d4-8c43-9817831f8b64</errorID>
      <errorWord>盒</errorWord>
      <group>L1_Word</group>
      <groupName>字词问题</groupName>
      <ability>L2_Typo</ability>
      <abilityName>字词错误</abilityName>
      <candidateList>
        <item>和</item>
      </candidateList>
      <explain>〈量〉用于洗东西换水的次数或一剂药煎的次数：衣裳已经洗了三～｜二～药。</explain>
      <paraID>7450D783</paraID>
      <start>4</start>
      <end>5</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c8ec75e-7f5d-4861-aaf1-f808d512abfc}">
  <ds:schemaRefs/>
</ds:datastoreItem>
</file>

<file path=docProps/app.xml><?xml version="1.0" encoding="utf-8"?>
<Properties xmlns="http://schemas.openxmlformats.org/officeDocument/2006/extended-properties" xmlns:vt="http://schemas.openxmlformats.org/officeDocument/2006/docPropsVTypes">
  <Pages>10</Pages>
  <Words>2652</Words>
  <Characters>2867</Characters>
  <TotalTime>3</TotalTime>
  <ScaleCrop>false</ScaleCrop>
  <LinksUpToDate>false</LinksUpToDate>
  <CharactersWithSpaces>2930</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2026-02-24T16:34:00Z</dcterms:created>
  <dc:creator>Administrator</dc:creator>
  <cp:lastModifiedBy>金鹰</cp:lastModifiedBy>
  <dcterms:modified xsi:type="dcterms:W3CDTF">2026-02-25T08:29:27Z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eyJoZGlkIjoiMDFhNGFkYzExYjQ4NDlhMWVhMjFiYzMwZWFhZTM1OTAiLCJ1c2VySWQiOiIzODU0NDQwMjAifQ==</vt:lpwstr>
  </property>
  <property fmtid="{D5CDD505-2E9C-101B-9397-08002B2CF9AE}" pid="3" name="KSOProductBuildVer">
    <vt:lpwstr>2052-12.1.0.24657</vt:lpwstr>
  </property>
  <property fmtid="{D5CDD505-2E9C-101B-9397-08002B2CF9AE}" pid="4" name="ICV">
    <vt:lpwstr>F3202E5086794988B5B84F9851CB3E48_12</vt:lpwstr>
  </property>
</Properties>
</file>