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一、涞源县金家井乡人民政府本级收支预算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一、涞源县金家井乡人民政府本级收支预算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771.03</w:t>
            </w:r>
          </w:p>
        </w:tc>
        <w:tc>
          <w:tcPr>
            <w:tcW w:w="4535" w:type="dxa"/>
            <w:vAlign w:val="center"/>
          </w:tcPr>
          <w:p>
            <w:pPr>
              <w:pStyle w:val="12"/>
            </w:pPr>
            <w:r>
              <w:t>一、一般公共服务支出</w:t>
            </w:r>
          </w:p>
        </w:tc>
        <w:tc>
          <w:tcPr>
            <w:tcW w:w="2126" w:type="dxa"/>
            <w:vAlign w:val="center"/>
          </w:tcPr>
          <w:p>
            <w:pPr>
              <w:pStyle w:val="11"/>
            </w:pPr>
            <w:r>
              <w:t>504.80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r>
              <w:t>160.00</w:t>
            </w: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114.62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115.98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26.62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931.03</w:t>
            </w:r>
          </w:p>
        </w:tc>
        <w:tc>
          <w:tcPr>
            <w:tcW w:w="4535" w:type="dxa"/>
            <w:vAlign w:val="center"/>
          </w:tcPr>
          <w:p>
            <w:pPr>
              <w:pStyle w:val="14"/>
            </w:pPr>
            <w:r>
              <w:t>本年支出合计</w:t>
            </w:r>
          </w:p>
        </w:tc>
        <w:tc>
          <w:tcPr>
            <w:tcW w:w="2126" w:type="dxa"/>
            <w:vAlign w:val="center"/>
          </w:tcPr>
          <w:p>
            <w:pPr>
              <w:pStyle w:val="15"/>
            </w:pPr>
            <w:r>
              <w:t>931.03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931.03</w:t>
            </w:r>
          </w:p>
        </w:tc>
        <w:tc>
          <w:tcPr>
            <w:tcW w:w="4535" w:type="dxa"/>
            <w:vAlign w:val="center"/>
          </w:tcPr>
          <w:p>
            <w:pPr>
              <w:pStyle w:val="14"/>
            </w:pPr>
            <w:r>
              <w:t>支出总计</w:t>
            </w:r>
          </w:p>
        </w:tc>
        <w:tc>
          <w:tcPr>
            <w:tcW w:w="2126" w:type="dxa"/>
            <w:vAlign w:val="center"/>
          </w:tcPr>
          <w:p>
            <w:pPr>
              <w:pStyle w:val="15"/>
            </w:pPr>
            <w:r>
              <w:t>931.03</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931.03</w:t>
            </w:r>
          </w:p>
        </w:tc>
        <w:tc>
          <w:tcPr>
            <w:tcW w:w="1134" w:type="dxa"/>
            <w:vAlign w:val="center"/>
          </w:tcPr>
          <w:p>
            <w:pPr>
              <w:pStyle w:val="15"/>
            </w:pPr>
            <w:r>
              <w:t>931.03</w:t>
            </w:r>
          </w:p>
        </w:tc>
        <w:tc>
          <w:tcPr>
            <w:tcW w:w="1134" w:type="dxa"/>
            <w:vAlign w:val="center"/>
          </w:tcPr>
          <w:p>
            <w:pPr>
              <w:pStyle w:val="15"/>
            </w:pPr>
            <w:r>
              <w:t>931.03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504.80</w:t>
            </w:r>
          </w:p>
        </w:tc>
        <w:tc>
          <w:tcPr>
            <w:tcW w:w="1134" w:type="dxa"/>
            <w:vAlign w:val="center"/>
          </w:tcPr>
          <w:p>
            <w:pPr>
              <w:pStyle w:val="11"/>
            </w:pPr>
            <w:r>
              <w:t>504.80</w:t>
            </w:r>
          </w:p>
        </w:tc>
        <w:tc>
          <w:tcPr>
            <w:tcW w:w="1134" w:type="dxa"/>
            <w:vAlign w:val="center"/>
          </w:tcPr>
          <w:p>
            <w:pPr>
              <w:pStyle w:val="11"/>
            </w:pPr>
            <w:r>
              <w:t>504.80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504.80</w:t>
            </w:r>
          </w:p>
        </w:tc>
        <w:tc>
          <w:tcPr>
            <w:tcW w:w="1134" w:type="dxa"/>
            <w:vAlign w:val="center"/>
          </w:tcPr>
          <w:p>
            <w:pPr>
              <w:pStyle w:val="11"/>
            </w:pPr>
            <w:r>
              <w:t>504.80</w:t>
            </w:r>
          </w:p>
        </w:tc>
        <w:tc>
          <w:tcPr>
            <w:tcW w:w="1134" w:type="dxa"/>
            <w:vAlign w:val="center"/>
          </w:tcPr>
          <w:p>
            <w:pPr>
              <w:pStyle w:val="11"/>
            </w:pPr>
            <w:r>
              <w:t>504.80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503.80</w:t>
            </w:r>
          </w:p>
        </w:tc>
        <w:tc>
          <w:tcPr>
            <w:tcW w:w="1134" w:type="dxa"/>
            <w:vAlign w:val="center"/>
          </w:tcPr>
          <w:p>
            <w:pPr>
              <w:pStyle w:val="11"/>
            </w:pPr>
            <w:r>
              <w:t>503.80</w:t>
            </w:r>
          </w:p>
        </w:tc>
        <w:tc>
          <w:tcPr>
            <w:tcW w:w="1134" w:type="dxa"/>
            <w:vAlign w:val="center"/>
          </w:tcPr>
          <w:p>
            <w:pPr>
              <w:pStyle w:val="11"/>
            </w:pPr>
            <w:r>
              <w:t>503.80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2010399</w:t>
            </w:r>
          </w:p>
        </w:tc>
        <w:tc>
          <w:tcPr>
            <w:tcW w:w="1559" w:type="dxa"/>
            <w:vAlign w:val="center"/>
          </w:tcPr>
          <w:p>
            <w:pPr>
              <w:pStyle w:val="12"/>
            </w:pPr>
            <w:r>
              <w:t>其他政府办公厅（室）及相关机构事务支出</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206</w:t>
            </w:r>
          </w:p>
        </w:tc>
        <w:tc>
          <w:tcPr>
            <w:tcW w:w="1559" w:type="dxa"/>
            <w:vAlign w:val="center"/>
          </w:tcPr>
          <w:p>
            <w:pPr>
              <w:pStyle w:val="12"/>
            </w:pPr>
            <w:r>
              <w:t>科学技术支出</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20605</w:t>
            </w:r>
          </w:p>
        </w:tc>
        <w:tc>
          <w:tcPr>
            <w:tcW w:w="1559" w:type="dxa"/>
            <w:vAlign w:val="center"/>
          </w:tcPr>
          <w:p>
            <w:pPr>
              <w:pStyle w:val="12"/>
            </w:pPr>
            <w:r>
              <w:t>科技条件与服务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2060502</w:t>
            </w:r>
          </w:p>
        </w:tc>
        <w:tc>
          <w:tcPr>
            <w:tcW w:w="1559" w:type="dxa"/>
            <w:vAlign w:val="center"/>
          </w:tcPr>
          <w:p>
            <w:pPr>
              <w:pStyle w:val="12"/>
            </w:pPr>
            <w:r>
              <w:t>技术创新服务体系</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114.62</w:t>
            </w:r>
          </w:p>
        </w:tc>
        <w:tc>
          <w:tcPr>
            <w:tcW w:w="1134" w:type="dxa"/>
            <w:vAlign w:val="center"/>
          </w:tcPr>
          <w:p>
            <w:pPr>
              <w:pStyle w:val="11"/>
            </w:pPr>
            <w:r>
              <w:t>114.62</w:t>
            </w:r>
          </w:p>
        </w:tc>
        <w:tc>
          <w:tcPr>
            <w:tcW w:w="1134" w:type="dxa"/>
            <w:vAlign w:val="center"/>
          </w:tcPr>
          <w:p>
            <w:pPr>
              <w:pStyle w:val="11"/>
            </w:pPr>
            <w:r>
              <w:t>114.62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2080299</w:t>
            </w:r>
          </w:p>
        </w:tc>
        <w:tc>
          <w:tcPr>
            <w:tcW w:w="1559" w:type="dxa"/>
            <w:vAlign w:val="center"/>
          </w:tcPr>
          <w:p>
            <w:pPr>
              <w:pStyle w:val="12"/>
            </w:pPr>
            <w:r>
              <w:t>其他民政管理事务支出</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113.95</w:t>
            </w:r>
          </w:p>
        </w:tc>
        <w:tc>
          <w:tcPr>
            <w:tcW w:w="1134" w:type="dxa"/>
            <w:vAlign w:val="center"/>
          </w:tcPr>
          <w:p>
            <w:pPr>
              <w:pStyle w:val="11"/>
            </w:pPr>
            <w:r>
              <w:t>113.95</w:t>
            </w:r>
          </w:p>
        </w:tc>
        <w:tc>
          <w:tcPr>
            <w:tcW w:w="1134" w:type="dxa"/>
            <w:vAlign w:val="center"/>
          </w:tcPr>
          <w:p>
            <w:pPr>
              <w:pStyle w:val="11"/>
            </w:pPr>
            <w:r>
              <w:t>113.95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31.67</w:t>
            </w:r>
          </w:p>
        </w:tc>
        <w:tc>
          <w:tcPr>
            <w:tcW w:w="1134" w:type="dxa"/>
            <w:vAlign w:val="center"/>
          </w:tcPr>
          <w:p>
            <w:pPr>
              <w:pStyle w:val="11"/>
            </w:pPr>
            <w:r>
              <w:t>31.67</w:t>
            </w:r>
          </w:p>
        </w:tc>
        <w:tc>
          <w:tcPr>
            <w:tcW w:w="1134" w:type="dxa"/>
            <w:vAlign w:val="center"/>
          </w:tcPr>
          <w:p>
            <w:pPr>
              <w:pStyle w:val="11"/>
            </w:pPr>
            <w:r>
              <w:t>31.67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54.85</w:t>
            </w:r>
          </w:p>
        </w:tc>
        <w:tc>
          <w:tcPr>
            <w:tcW w:w="1134" w:type="dxa"/>
            <w:vAlign w:val="center"/>
          </w:tcPr>
          <w:p>
            <w:pPr>
              <w:pStyle w:val="11"/>
            </w:pPr>
            <w:r>
              <w:t>54.85</w:t>
            </w:r>
          </w:p>
        </w:tc>
        <w:tc>
          <w:tcPr>
            <w:tcW w:w="1134" w:type="dxa"/>
            <w:vAlign w:val="center"/>
          </w:tcPr>
          <w:p>
            <w:pPr>
              <w:pStyle w:val="11"/>
            </w:pPr>
            <w:r>
              <w:t>54.85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27.43</w:t>
            </w:r>
          </w:p>
        </w:tc>
        <w:tc>
          <w:tcPr>
            <w:tcW w:w="1134" w:type="dxa"/>
            <w:vAlign w:val="center"/>
          </w:tcPr>
          <w:p>
            <w:pPr>
              <w:pStyle w:val="11"/>
            </w:pPr>
            <w:r>
              <w:t>27.43</w:t>
            </w:r>
          </w:p>
        </w:tc>
        <w:tc>
          <w:tcPr>
            <w:tcW w:w="1134" w:type="dxa"/>
            <w:vAlign w:val="center"/>
          </w:tcPr>
          <w:p>
            <w:pPr>
              <w:pStyle w:val="11"/>
            </w:pPr>
            <w:r>
              <w:t>27.43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2.01</w:t>
            </w:r>
          </w:p>
        </w:tc>
        <w:tc>
          <w:tcPr>
            <w:tcW w:w="1134" w:type="dxa"/>
            <w:vAlign w:val="center"/>
          </w:tcPr>
          <w:p>
            <w:pPr>
              <w:pStyle w:val="11"/>
            </w:pPr>
            <w:r>
              <w:t>2.01</w:t>
            </w:r>
          </w:p>
        </w:tc>
        <w:tc>
          <w:tcPr>
            <w:tcW w:w="1134" w:type="dxa"/>
            <w:vAlign w:val="center"/>
          </w:tcPr>
          <w:p>
            <w:pPr>
              <w:pStyle w:val="11"/>
            </w:pPr>
            <w:r>
              <w:t>2.01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1.34</w:t>
            </w:r>
          </w:p>
        </w:tc>
        <w:tc>
          <w:tcPr>
            <w:tcW w:w="1134" w:type="dxa"/>
            <w:vAlign w:val="center"/>
          </w:tcPr>
          <w:p>
            <w:pPr>
              <w:pStyle w:val="11"/>
            </w:pPr>
            <w:r>
              <w:t>1.34</w:t>
            </w:r>
          </w:p>
        </w:tc>
        <w:tc>
          <w:tcPr>
            <w:tcW w:w="1134" w:type="dxa"/>
            <w:vAlign w:val="center"/>
          </w:tcPr>
          <w:p>
            <w:pPr>
              <w:pStyle w:val="11"/>
            </w:pPr>
            <w:r>
              <w:t>1.34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1.34</w:t>
            </w:r>
          </w:p>
        </w:tc>
        <w:tc>
          <w:tcPr>
            <w:tcW w:w="1134" w:type="dxa"/>
            <w:vAlign w:val="center"/>
          </w:tcPr>
          <w:p>
            <w:pPr>
              <w:pStyle w:val="11"/>
            </w:pPr>
            <w:r>
              <w:t>1.34</w:t>
            </w:r>
          </w:p>
        </w:tc>
        <w:tc>
          <w:tcPr>
            <w:tcW w:w="1134" w:type="dxa"/>
            <w:vAlign w:val="center"/>
          </w:tcPr>
          <w:p>
            <w:pPr>
              <w:pStyle w:val="11"/>
            </w:pPr>
            <w:r>
              <w:t>1.34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115.98</w:t>
            </w:r>
          </w:p>
        </w:tc>
        <w:tc>
          <w:tcPr>
            <w:tcW w:w="1134" w:type="dxa"/>
            <w:vAlign w:val="center"/>
          </w:tcPr>
          <w:p>
            <w:pPr>
              <w:pStyle w:val="11"/>
            </w:pPr>
            <w:r>
              <w:t>115.98</w:t>
            </w:r>
          </w:p>
        </w:tc>
        <w:tc>
          <w:tcPr>
            <w:tcW w:w="1134" w:type="dxa"/>
            <w:vAlign w:val="center"/>
          </w:tcPr>
          <w:p>
            <w:pPr>
              <w:pStyle w:val="11"/>
            </w:pPr>
            <w:r>
              <w:t>115.98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114.98</w:t>
            </w:r>
          </w:p>
        </w:tc>
        <w:tc>
          <w:tcPr>
            <w:tcW w:w="1134" w:type="dxa"/>
            <w:vAlign w:val="center"/>
          </w:tcPr>
          <w:p>
            <w:pPr>
              <w:pStyle w:val="11"/>
            </w:pPr>
            <w:r>
              <w:t>114.98</w:t>
            </w:r>
          </w:p>
        </w:tc>
        <w:tc>
          <w:tcPr>
            <w:tcW w:w="1134" w:type="dxa"/>
            <w:vAlign w:val="center"/>
          </w:tcPr>
          <w:p>
            <w:pPr>
              <w:pStyle w:val="11"/>
            </w:pPr>
            <w:r>
              <w:t>114.98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114.98</w:t>
            </w:r>
          </w:p>
        </w:tc>
        <w:tc>
          <w:tcPr>
            <w:tcW w:w="1134" w:type="dxa"/>
            <w:vAlign w:val="center"/>
          </w:tcPr>
          <w:p>
            <w:pPr>
              <w:pStyle w:val="11"/>
            </w:pPr>
            <w:r>
              <w:t>114.98</w:t>
            </w:r>
          </w:p>
        </w:tc>
        <w:tc>
          <w:tcPr>
            <w:tcW w:w="1134" w:type="dxa"/>
            <w:vAlign w:val="center"/>
          </w:tcPr>
          <w:p>
            <w:pPr>
              <w:pStyle w:val="11"/>
            </w:pPr>
            <w:r>
              <w:t>114.98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26.62</w:t>
            </w:r>
          </w:p>
        </w:tc>
        <w:tc>
          <w:tcPr>
            <w:tcW w:w="1134" w:type="dxa"/>
            <w:vAlign w:val="center"/>
          </w:tcPr>
          <w:p>
            <w:pPr>
              <w:pStyle w:val="11"/>
            </w:pPr>
            <w:r>
              <w:t>26.62</w:t>
            </w:r>
          </w:p>
        </w:tc>
        <w:tc>
          <w:tcPr>
            <w:tcW w:w="1134" w:type="dxa"/>
            <w:vAlign w:val="center"/>
          </w:tcPr>
          <w:p>
            <w:pPr>
              <w:pStyle w:val="11"/>
            </w:pPr>
            <w:r>
              <w:t>26.62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26.62</w:t>
            </w:r>
          </w:p>
        </w:tc>
        <w:tc>
          <w:tcPr>
            <w:tcW w:w="1134" w:type="dxa"/>
            <w:vAlign w:val="center"/>
          </w:tcPr>
          <w:p>
            <w:pPr>
              <w:pStyle w:val="11"/>
            </w:pPr>
            <w:r>
              <w:t>26.62</w:t>
            </w:r>
          </w:p>
        </w:tc>
        <w:tc>
          <w:tcPr>
            <w:tcW w:w="1134" w:type="dxa"/>
            <w:vAlign w:val="center"/>
          </w:tcPr>
          <w:p>
            <w:pPr>
              <w:pStyle w:val="11"/>
            </w:pPr>
            <w:r>
              <w:t>26.62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26.62</w:t>
            </w:r>
          </w:p>
        </w:tc>
        <w:tc>
          <w:tcPr>
            <w:tcW w:w="1134" w:type="dxa"/>
            <w:vAlign w:val="center"/>
          </w:tcPr>
          <w:p>
            <w:pPr>
              <w:pStyle w:val="11"/>
            </w:pPr>
            <w:r>
              <w:t>26.62</w:t>
            </w:r>
          </w:p>
        </w:tc>
        <w:tc>
          <w:tcPr>
            <w:tcW w:w="1134" w:type="dxa"/>
            <w:vAlign w:val="center"/>
          </w:tcPr>
          <w:p>
            <w:pPr>
              <w:pStyle w:val="11"/>
            </w:pPr>
            <w:r>
              <w:t>26.62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229</w:t>
            </w:r>
          </w:p>
        </w:tc>
        <w:tc>
          <w:tcPr>
            <w:tcW w:w="1559" w:type="dxa"/>
            <w:vAlign w:val="center"/>
          </w:tcPr>
          <w:p>
            <w:pPr>
              <w:pStyle w:val="12"/>
            </w:pPr>
            <w:r>
              <w:t>其他支出</w:t>
            </w:r>
          </w:p>
        </w:tc>
        <w:tc>
          <w:tcPr>
            <w:tcW w:w="1134" w:type="dxa"/>
            <w:vAlign w:val="center"/>
          </w:tcPr>
          <w:p>
            <w:pPr>
              <w:pStyle w:val="11"/>
            </w:pPr>
            <w:r>
              <w:t>160.00</w:t>
            </w:r>
          </w:p>
        </w:tc>
        <w:tc>
          <w:tcPr>
            <w:tcW w:w="1134" w:type="dxa"/>
            <w:vAlign w:val="center"/>
          </w:tcPr>
          <w:p>
            <w:pPr>
              <w:pStyle w:val="11"/>
            </w:pPr>
            <w:r>
              <w:t>160.00</w:t>
            </w:r>
          </w:p>
        </w:tc>
        <w:tc>
          <w:tcPr>
            <w:tcW w:w="1134" w:type="dxa"/>
            <w:vAlign w:val="center"/>
          </w:tcPr>
          <w:p>
            <w:pPr>
              <w:pStyle w:val="11"/>
            </w:pPr>
            <w:r>
              <w:t>160.00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22960</w:t>
            </w:r>
          </w:p>
        </w:tc>
        <w:tc>
          <w:tcPr>
            <w:tcW w:w="1559" w:type="dxa"/>
            <w:vAlign w:val="center"/>
          </w:tcPr>
          <w:p>
            <w:pPr>
              <w:pStyle w:val="12"/>
            </w:pPr>
            <w:r>
              <w:t>彩票公益金安排的支出</w:t>
            </w:r>
          </w:p>
        </w:tc>
        <w:tc>
          <w:tcPr>
            <w:tcW w:w="1134" w:type="dxa"/>
            <w:vAlign w:val="center"/>
          </w:tcPr>
          <w:p>
            <w:pPr>
              <w:pStyle w:val="11"/>
            </w:pPr>
            <w:r>
              <w:t>160.00</w:t>
            </w:r>
          </w:p>
        </w:tc>
        <w:tc>
          <w:tcPr>
            <w:tcW w:w="1134" w:type="dxa"/>
            <w:vAlign w:val="center"/>
          </w:tcPr>
          <w:p>
            <w:pPr>
              <w:pStyle w:val="11"/>
            </w:pPr>
            <w:r>
              <w:t>160.00</w:t>
            </w:r>
          </w:p>
        </w:tc>
        <w:tc>
          <w:tcPr>
            <w:tcW w:w="1134" w:type="dxa"/>
            <w:vAlign w:val="center"/>
          </w:tcPr>
          <w:p>
            <w:pPr>
              <w:pStyle w:val="11"/>
            </w:pPr>
            <w:r>
              <w:t>160.00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2296099</w:t>
            </w:r>
          </w:p>
        </w:tc>
        <w:tc>
          <w:tcPr>
            <w:tcW w:w="1559" w:type="dxa"/>
            <w:vAlign w:val="center"/>
          </w:tcPr>
          <w:p>
            <w:pPr>
              <w:pStyle w:val="12"/>
            </w:pPr>
            <w:r>
              <w:t>用于其他社会公益事业的彩票公益金支出</w:t>
            </w:r>
          </w:p>
        </w:tc>
        <w:tc>
          <w:tcPr>
            <w:tcW w:w="1134" w:type="dxa"/>
            <w:vAlign w:val="center"/>
          </w:tcPr>
          <w:p>
            <w:pPr>
              <w:pStyle w:val="11"/>
            </w:pPr>
            <w:r>
              <w:t>160.00</w:t>
            </w:r>
          </w:p>
        </w:tc>
        <w:tc>
          <w:tcPr>
            <w:tcW w:w="1134" w:type="dxa"/>
            <w:vAlign w:val="center"/>
          </w:tcPr>
          <w:p>
            <w:pPr>
              <w:pStyle w:val="11"/>
            </w:pPr>
            <w:r>
              <w:t>160.00</w:t>
            </w:r>
          </w:p>
        </w:tc>
        <w:tc>
          <w:tcPr>
            <w:tcW w:w="1134" w:type="dxa"/>
            <w:vAlign w:val="center"/>
          </w:tcPr>
          <w:p>
            <w:pPr>
              <w:pStyle w:val="11"/>
            </w:pPr>
            <w:r>
              <w:t>160.00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931.03</w:t>
            </w:r>
          </w:p>
        </w:tc>
        <w:tc>
          <w:tcPr>
            <w:tcW w:w="1361" w:type="dxa"/>
            <w:vAlign w:val="center"/>
          </w:tcPr>
          <w:p>
            <w:pPr>
              <w:pStyle w:val="15"/>
            </w:pPr>
            <w:r>
              <w:t>644.37</w:t>
            </w:r>
          </w:p>
        </w:tc>
        <w:tc>
          <w:tcPr>
            <w:tcW w:w="1361" w:type="dxa"/>
            <w:vAlign w:val="center"/>
          </w:tcPr>
          <w:p>
            <w:pPr>
              <w:pStyle w:val="15"/>
            </w:pPr>
            <w:r>
              <w:t>286.66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504.80</w:t>
            </w:r>
          </w:p>
        </w:tc>
        <w:tc>
          <w:tcPr>
            <w:tcW w:w="1361" w:type="dxa"/>
            <w:vAlign w:val="center"/>
          </w:tcPr>
          <w:p>
            <w:pPr>
              <w:pStyle w:val="11"/>
            </w:pPr>
            <w:r>
              <w:t>503.80</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504.80</w:t>
            </w:r>
          </w:p>
        </w:tc>
        <w:tc>
          <w:tcPr>
            <w:tcW w:w="1361" w:type="dxa"/>
            <w:vAlign w:val="center"/>
          </w:tcPr>
          <w:p>
            <w:pPr>
              <w:pStyle w:val="11"/>
            </w:pPr>
            <w:r>
              <w:t>503.80</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503.80</w:t>
            </w:r>
          </w:p>
        </w:tc>
        <w:tc>
          <w:tcPr>
            <w:tcW w:w="1361" w:type="dxa"/>
            <w:vAlign w:val="center"/>
          </w:tcPr>
          <w:p>
            <w:pPr>
              <w:pStyle w:val="11"/>
            </w:pPr>
            <w:r>
              <w:t>503.80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2010399</w:t>
            </w:r>
          </w:p>
        </w:tc>
        <w:tc>
          <w:tcPr>
            <w:tcW w:w="4535" w:type="dxa"/>
            <w:vAlign w:val="center"/>
          </w:tcPr>
          <w:p>
            <w:pPr>
              <w:pStyle w:val="12"/>
            </w:pPr>
            <w:r>
              <w:t>其他政府办公厅（室）及相关机构事务支出</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206</w:t>
            </w:r>
          </w:p>
        </w:tc>
        <w:tc>
          <w:tcPr>
            <w:tcW w:w="4535" w:type="dxa"/>
            <w:vAlign w:val="center"/>
          </w:tcPr>
          <w:p>
            <w:pPr>
              <w:pStyle w:val="12"/>
            </w:pPr>
            <w:r>
              <w:t>科学技术支出</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20605</w:t>
            </w:r>
          </w:p>
        </w:tc>
        <w:tc>
          <w:tcPr>
            <w:tcW w:w="4535" w:type="dxa"/>
            <w:vAlign w:val="center"/>
          </w:tcPr>
          <w:p>
            <w:pPr>
              <w:pStyle w:val="12"/>
            </w:pPr>
            <w:r>
              <w:t>科技条件与服务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2060502</w:t>
            </w:r>
          </w:p>
        </w:tc>
        <w:tc>
          <w:tcPr>
            <w:tcW w:w="4535" w:type="dxa"/>
            <w:vAlign w:val="center"/>
          </w:tcPr>
          <w:p>
            <w:pPr>
              <w:pStyle w:val="12"/>
            </w:pPr>
            <w:r>
              <w:t>技术创新服务体系</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114.62</w:t>
            </w:r>
          </w:p>
        </w:tc>
        <w:tc>
          <w:tcPr>
            <w:tcW w:w="1361" w:type="dxa"/>
            <w:vAlign w:val="center"/>
          </w:tcPr>
          <w:p>
            <w:pPr>
              <w:pStyle w:val="11"/>
            </w:pPr>
            <w:r>
              <w:t>113.95</w:t>
            </w: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2080299</w:t>
            </w:r>
          </w:p>
        </w:tc>
        <w:tc>
          <w:tcPr>
            <w:tcW w:w="4535" w:type="dxa"/>
            <w:vAlign w:val="center"/>
          </w:tcPr>
          <w:p>
            <w:pPr>
              <w:pStyle w:val="12"/>
            </w:pPr>
            <w:r>
              <w:t>其他民政管理事务支出</w:t>
            </w: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113.95</w:t>
            </w:r>
          </w:p>
        </w:tc>
        <w:tc>
          <w:tcPr>
            <w:tcW w:w="1361" w:type="dxa"/>
            <w:vAlign w:val="center"/>
          </w:tcPr>
          <w:p>
            <w:pPr>
              <w:pStyle w:val="11"/>
            </w:pPr>
            <w:r>
              <w:t>113.95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31.67</w:t>
            </w:r>
          </w:p>
        </w:tc>
        <w:tc>
          <w:tcPr>
            <w:tcW w:w="1361" w:type="dxa"/>
            <w:vAlign w:val="center"/>
          </w:tcPr>
          <w:p>
            <w:pPr>
              <w:pStyle w:val="11"/>
            </w:pPr>
            <w:r>
              <w:t>31.67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54.85</w:t>
            </w:r>
          </w:p>
        </w:tc>
        <w:tc>
          <w:tcPr>
            <w:tcW w:w="1361" w:type="dxa"/>
            <w:vAlign w:val="center"/>
          </w:tcPr>
          <w:p>
            <w:pPr>
              <w:pStyle w:val="11"/>
            </w:pPr>
            <w:r>
              <w:t>54.85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27.43</w:t>
            </w:r>
          </w:p>
        </w:tc>
        <w:tc>
          <w:tcPr>
            <w:tcW w:w="1361" w:type="dxa"/>
            <w:vAlign w:val="center"/>
          </w:tcPr>
          <w:p>
            <w:pPr>
              <w:pStyle w:val="11"/>
            </w:pPr>
            <w:r>
              <w:t>27.43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2.01</w:t>
            </w:r>
          </w:p>
        </w:tc>
        <w:tc>
          <w:tcPr>
            <w:tcW w:w="1361" w:type="dxa"/>
            <w:vAlign w:val="center"/>
          </w:tcPr>
          <w:p>
            <w:pPr>
              <w:pStyle w:val="11"/>
            </w:pPr>
          </w:p>
        </w:tc>
        <w:tc>
          <w:tcPr>
            <w:tcW w:w="1361" w:type="dxa"/>
            <w:vAlign w:val="center"/>
          </w:tcPr>
          <w:p>
            <w:pPr>
              <w:pStyle w:val="11"/>
            </w:pPr>
            <w:r>
              <w:t>2.01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1.34</w:t>
            </w:r>
          </w:p>
        </w:tc>
        <w:tc>
          <w:tcPr>
            <w:tcW w:w="1361" w:type="dxa"/>
            <w:vAlign w:val="center"/>
          </w:tcPr>
          <w:p>
            <w:pPr>
              <w:pStyle w:val="11"/>
            </w:pPr>
          </w:p>
        </w:tc>
        <w:tc>
          <w:tcPr>
            <w:tcW w:w="1361" w:type="dxa"/>
            <w:vAlign w:val="center"/>
          </w:tcPr>
          <w:p>
            <w:pPr>
              <w:pStyle w:val="11"/>
            </w:pPr>
            <w:r>
              <w:t>1.34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1.34</w:t>
            </w:r>
          </w:p>
        </w:tc>
        <w:tc>
          <w:tcPr>
            <w:tcW w:w="1361" w:type="dxa"/>
            <w:vAlign w:val="center"/>
          </w:tcPr>
          <w:p>
            <w:pPr>
              <w:pStyle w:val="11"/>
            </w:pPr>
          </w:p>
        </w:tc>
        <w:tc>
          <w:tcPr>
            <w:tcW w:w="1361" w:type="dxa"/>
            <w:vAlign w:val="center"/>
          </w:tcPr>
          <w:p>
            <w:pPr>
              <w:pStyle w:val="11"/>
            </w:pPr>
            <w:r>
              <w:t>1.34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115.98</w:t>
            </w:r>
          </w:p>
        </w:tc>
        <w:tc>
          <w:tcPr>
            <w:tcW w:w="1361" w:type="dxa"/>
            <w:vAlign w:val="center"/>
          </w:tcPr>
          <w:p>
            <w:pPr>
              <w:pStyle w:val="11"/>
            </w:pPr>
          </w:p>
        </w:tc>
        <w:tc>
          <w:tcPr>
            <w:tcW w:w="1361" w:type="dxa"/>
            <w:vAlign w:val="center"/>
          </w:tcPr>
          <w:p>
            <w:pPr>
              <w:pStyle w:val="11"/>
            </w:pPr>
            <w:r>
              <w:t>115.98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114.98</w:t>
            </w:r>
          </w:p>
        </w:tc>
        <w:tc>
          <w:tcPr>
            <w:tcW w:w="1361" w:type="dxa"/>
            <w:vAlign w:val="center"/>
          </w:tcPr>
          <w:p>
            <w:pPr>
              <w:pStyle w:val="11"/>
            </w:pPr>
          </w:p>
        </w:tc>
        <w:tc>
          <w:tcPr>
            <w:tcW w:w="1361" w:type="dxa"/>
            <w:vAlign w:val="center"/>
          </w:tcPr>
          <w:p>
            <w:pPr>
              <w:pStyle w:val="11"/>
            </w:pPr>
            <w:r>
              <w:t>114.98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114.98</w:t>
            </w:r>
          </w:p>
        </w:tc>
        <w:tc>
          <w:tcPr>
            <w:tcW w:w="1361" w:type="dxa"/>
            <w:vAlign w:val="center"/>
          </w:tcPr>
          <w:p>
            <w:pPr>
              <w:pStyle w:val="11"/>
            </w:pPr>
          </w:p>
        </w:tc>
        <w:tc>
          <w:tcPr>
            <w:tcW w:w="1361" w:type="dxa"/>
            <w:vAlign w:val="center"/>
          </w:tcPr>
          <w:p>
            <w:pPr>
              <w:pStyle w:val="11"/>
            </w:pPr>
            <w:r>
              <w:t>114.98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26.62</w:t>
            </w:r>
          </w:p>
        </w:tc>
        <w:tc>
          <w:tcPr>
            <w:tcW w:w="1361" w:type="dxa"/>
            <w:vAlign w:val="center"/>
          </w:tcPr>
          <w:p>
            <w:pPr>
              <w:pStyle w:val="11"/>
            </w:pPr>
            <w:r>
              <w:t>26.62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26.62</w:t>
            </w:r>
          </w:p>
        </w:tc>
        <w:tc>
          <w:tcPr>
            <w:tcW w:w="1361" w:type="dxa"/>
            <w:vAlign w:val="center"/>
          </w:tcPr>
          <w:p>
            <w:pPr>
              <w:pStyle w:val="11"/>
            </w:pPr>
            <w:r>
              <w:t>26.62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26.62</w:t>
            </w:r>
          </w:p>
        </w:tc>
        <w:tc>
          <w:tcPr>
            <w:tcW w:w="1361" w:type="dxa"/>
            <w:vAlign w:val="center"/>
          </w:tcPr>
          <w:p>
            <w:pPr>
              <w:pStyle w:val="11"/>
            </w:pPr>
            <w:r>
              <w:t>26.62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229</w:t>
            </w:r>
          </w:p>
        </w:tc>
        <w:tc>
          <w:tcPr>
            <w:tcW w:w="4535" w:type="dxa"/>
            <w:vAlign w:val="center"/>
          </w:tcPr>
          <w:p>
            <w:pPr>
              <w:pStyle w:val="12"/>
            </w:pPr>
            <w:r>
              <w:t>其他支出</w:t>
            </w:r>
          </w:p>
        </w:tc>
        <w:tc>
          <w:tcPr>
            <w:tcW w:w="1361" w:type="dxa"/>
            <w:vAlign w:val="center"/>
          </w:tcPr>
          <w:p>
            <w:pPr>
              <w:pStyle w:val="11"/>
            </w:pPr>
            <w:r>
              <w:t>160.00</w:t>
            </w:r>
          </w:p>
        </w:tc>
        <w:tc>
          <w:tcPr>
            <w:tcW w:w="1361" w:type="dxa"/>
            <w:vAlign w:val="center"/>
          </w:tcPr>
          <w:p>
            <w:pPr>
              <w:pStyle w:val="11"/>
            </w:pPr>
          </w:p>
        </w:tc>
        <w:tc>
          <w:tcPr>
            <w:tcW w:w="1361" w:type="dxa"/>
            <w:vAlign w:val="center"/>
          </w:tcPr>
          <w:p>
            <w:pPr>
              <w:pStyle w:val="11"/>
            </w:pPr>
            <w:r>
              <w:t>160.00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22960</w:t>
            </w:r>
          </w:p>
        </w:tc>
        <w:tc>
          <w:tcPr>
            <w:tcW w:w="4535" w:type="dxa"/>
            <w:vAlign w:val="center"/>
          </w:tcPr>
          <w:p>
            <w:pPr>
              <w:pStyle w:val="12"/>
            </w:pPr>
            <w:r>
              <w:t>彩票公益金安排的支出</w:t>
            </w:r>
          </w:p>
        </w:tc>
        <w:tc>
          <w:tcPr>
            <w:tcW w:w="1361" w:type="dxa"/>
            <w:vAlign w:val="center"/>
          </w:tcPr>
          <w:p>
            <w:pPr>
              <w:pStyle w:val="11"/>
            </w:pPr>
            <w:r>
              <w:t>160.00</w:t>
            </w:r>
          </w:p>
        </w:tc>
        <w:tc>
          <w:tcPr>
            <w:tcW w:w="1361" w:type="dxa"/>
            <w:vAlign w:val="center"/>
          </w:tcPr>
          <w:p>
            <w:pPr>
              <w:pStyle w:val="11"/>
            </w:pPr>
          </w:p>
        </w:tc>
        <w:tc>
          <w:tcPr>
            <w:tcW w:w="1361" w:type="dxa"/>
            <w:vAlign w:val="center"/>
          </w:tcPr>
          <w:p>
            <w:pPr>
              <w:pStyle w:val="11"/>
            </w:pPr>
            <w:r>
              <w:t>160.00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2296099</w:t>
            </w:r>
          </w:p>
        </w:tc>
        <w:tc>
          <w:tcPr>
            <w:tcW w:w="4535" w:type="dxa"/>
            <w:vAlign w:val="center"/>
          </w:tcPr>
          <w:p>
            <w:pPr>
              <w:pStyle w:val="12"/>
            </w:pPr>
            <w:r>
              <w:t>用于其他社会公益事业的彩票公益金支出</w:t>
            </w:r>
          </w:p>
        </w:tc>
        <w:tc>
          <w:tcPr>
            <w:tcW w:w="1361" w:type="dxa"/>
            <w:vAlign w:val="center"/>
          </w:tcPr>
          <w:p>
            <w:pPr>
              <w:pStyle w:val="11"/>
            </w:pPr>
            <w:r>
              <w:t>160.00</w:t>
            </w:r>
          </w:p>
        </w:tc>
        <w:tc>
          <w:tcPr>
            <w:tcW w:w="1361" w:type="dxa"/>
            <w:vAlign w:val="center"/>
          </w:tcPr>
          <w:p>
            <w:pPr>
              <w:pStyle w:val="11"/>
            </w:pPr>
          </w:p>
        </w:tc>
        <w:tc>
          <w:tcPr>
            <w:tcW w:w="1361" w:type="dxa"/>
            <w:vAlign w:val="center"/>
          </w:tcPr>
          <w:p>
            <w:pPr>
              <w:pStyle w:val="11"/>
            </w:pPr>
            <w:r>
              <w:t>160.00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771.03</w:t>
            </w:r>
          </w:p>
        </w:tc>
        <w:tc>
          <w:tcPr>
            <w:tcW w:w="3402" w:type="dxa"/>
            <w:vAlign w:val="center"/>
          </w:tcPr>
          <w:p>
            <w:pPr>
              <w:pStyle w:val="12"/>
            </w:pPr>
            <w:r>
              <w:t>一、一般公共服务支出</w:t>
            </w:r>
          </w:p>
        </w:tc>
        <w:tc>
          <w:tcPr>
            <w:tcW w:w="1474" w:type="dxa"/>
            <w:vAlign w:val="center"/>
          </w:tcPr>
          <w:p>
            <w:pPr>
              <w:pStyle w:val="11"/>
            </w:pPr>
            <w:r>
              <w:t>504.80</w:t>
            </w:r>
          </w:p>
        </w:tc>
        <w:tc>
          <w:tcPr>
            <w:tcW w:w="1474" w:type="dxa"/>
            <w:vAlign w:val="center"/>
          </w:tcPr>
          <w:p>
            <w:pPr>
              <w:pStyle w:val="11"/>
            </w:pPr>
            <w:r>
              <w:t>504.80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r>
              <w:t>160.00</w:t>
            </w: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r>
              <w:t>5.00</w:t>
            </w:r>
          </w:p>
        </w:tc>
        <w:tc>
          <w:tcPr>
            <w:tcW w:w="1474" w:type="dxa"/>
            <w:vAlign w:val="center"/>
          </w:tcPr>
          <w:p>
            <w:pPr>
              <w:pStyle w:val="11"/>
            </w:pPr>
            <w:r>
              <w:t>5.00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114.62</w:t>
            </w:r>
          </w:p>
        </w:tc>
        <w:tc>
          <w:tcPr>
            <w:tcW w:w="1474" w:type="dxa"/>
            <w:vAlign w:val="center"/>
          </w:tcPr>
          <w:p>
            <w:pPr>
              <w:pStyle w:val="11"/>
            </w:pPr>
            <w:r>
              <w:t>114.62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2.01</w:t>
            </w:r>
          </w:p>
        </w:tc>
        <w:tc>
          <w:tcPr>
            <w:tcW w:w="1474" w:type="dxa"/>
            <w:vAlign w:val="center"/>
          </w:tcPr>
          <w:p>
            <w:pPr>
              <w:pStyle w:val="11"/>
            </w:pPr>
            <w:r>
              <w:t>2.01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115.98</w:t>
            </w:r>
          </w:p>
        </w:tc>
        <w:tc>
          <w:tcPr>
            <w:tcW w:w="1474" w:type="dxa"/>
            <w:vAlign w:val="center"/>
          </w:tcPr>
          <w:p>
            <w:pPr>
              <w:pStyle w:val="11"/>
            </w:pPr>
            <w:r>
              <w:t>115.98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26.62</w:t>
            </w:r>
          </w:p>
        </w:tc>
        <w:tc>
          <w:tcPr>
            <w:tcW w:w="1474" w:type="dxa"/>
            <w:vAlign w:val="center"/>
          </w:tcPr>
          <w:p>
            <w:pPr>
              <w:pStyle w:val="11"/>
            </w:pPr>
            <w:r>
              <w:t>26.62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r>
              <w:t>160.00</w:t>
            </w:r>
          </w:p>
        </w:tc>
        <w:tc>
          <w:tcPr>
            <w:tcW w:w="1474" w:type="dxa"/>
            <w:vAlign w:val="center"/>
          </w:tcPr>
          <w:p>
            <w:pPr>
              <w:pStyle w:val="11"/>
            </w:pPr>
          </w:p>
        </w:tc>
        <w:tc>
          <w:tcPr>
            <w:tcW w:w="1474" w:type="dxa"/>
            <w:vAlign w:val="center"/>
          </w:tcPr>
          <w:p>
            <w:pPr>
              <w:pStyle w:val="11"/>
            </w:pPr>
            <w:r>
              <w:t>160.00</w:t>
            </w: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931.03</w:t>
            </w:r>
          </w:p>
        </w:tc>
        <w:tc>
          <w:tcPr>
            <w:tcW w:w="3402" w:type="dxa"/>
            <w:vAlign w:val="center"/>
          </w:tcPr>
          <w:p>
            <w:pPr>
              <w:pStyle w:val="14"/>
            </w:pPr>
            <w:r>
              <w:t>本年支出合计</w:t>
            </w:r>
          </w:p>
        </w:tc>
        <w:tc>
          <w:tcPr>
            <w:tcW w:w="1474" w:type="dxa"/>
            <w:vAlign w:val="center"/>
          </w:tcPr>
          <w:p>
            <w:pPr>
              <w:pStyle w:val="15"/>
            </w:pPr>
            <w:r>
              <w:t>931.03</w:t>
            </w:r>
          </w:p>
        </w:tc>
        <w:tc>
          <w:tcPr>
            <w:tcW w:w="1474" w:type="dxa"/>
            <w:vAlign w:val="center"/>
          </w:tcPr>
          <w:p>
            <w:pPr>
              <w:pStyle w:val="15"/>
            </w:pPr>
            <w:r>
              <w:t>771.03</w:t>
            </w:r>
          </w:p>
        </w:tc>
        <w:tc>
          <w:tcPr>
            <w:tcW w:w="1474" w:type="dxa"/>
            <w:vAlign w:val="center"/>
          </w:tcPr>
          <w:p>
            <w:pPr>
              <w:pStyle w:val="15"/>
            </w:pPr>
            <w:r>
              <w:t>160.00</w:t>
            </w: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931.03</w:t>
            </w:r>
          </w:p>
        </w:tc>
        <w:tc>
          <w:tcPr>
            <w:tcW w:w="3402" w:type="dxa"/>
            <w:vAlign w:val="center"/>
          </w:tcPr>
          <w:p>
            <w:pPr>
              <w:pStyle w:val="14"/>
            </w:pPr>
            <w:r>
              <w:t>支出总计</w:t>
            </w:r>
          </w:p>
        </w:tc>
        <w:tc>
          <w:tcPr>
            <w:tcW w:w="1474" w:type="dxa"/>
            <w:vAlign w:val="center"/>
          </w:tcPr>
          <w:p>
            <w:pPr>
              <w:pStyle w:val="15"/>
            </w:pPr>
            <w:r>
              <w:t>931.03</w:t>
            </w:r>
          </w:p>
        </w:tc>
        <w:tc>
          <w:tcPr>
            <w:tcW w:w="1474" w:type="dxa"/>
            <w:vAlign w:val="center"/>
          </w:tcPr>
          <w:p>
            <w:pPr>
              <w:pStyle w:val="15"/>
            </w:pPr>
            <w:r>
              <w:t>771.03</w:t>
            </w:r>
          </w:p>
        </w:tc>
        <w:tc>
          <w:tcPr>
            <w:tcW w:w="1474" w:type="dxa"/>
            <w:vAlign w:val="center"/>
          </w:tcPr>
          <w:p>
            <w:pPr>
              <w:pStyle w:val="15"/>
            </w:pPr>
            <w:r>
              <w:t>160.00</w:t>
            </w: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771.03</w:t>
            </w:r>
          </w:p>
        </w:tc>
        <w:tc>
          <w:tcPr>
            <w:tcW w:w="2551" w:type="dxa"/>
            <w:vAlign w:val="center"/>
          </w:tcPr>
          <w:p>
            <w:pPr>
              <w:pStyle w:val="15"/>
            </w:pPr>
            <w:r>
              <w:t>644.37</w:t>
            </w:r>
          </w:p>
        </w:tc>
        <w:tc>
          <w:tcPr>
            <w:tcW w:w="2551" w:type="dxa"/>
            <w:vAlign w:val="center"/>
          </w:tcPr>
          <w:p>
            <w:pPr>
              <w:pStyle w:val="15"/>
            </w:pPr>
            <w:r>
              <w:t>126.66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504.80</w:t>
            </w:r>
          </w:p>
        </w:tc>
        <w:tc>
          <w:tcPr>
            <w:tcW w:w="2551" w:type="dxa"/>
            <w:vAlign w:val="center"/>
          </w:tcPr>
          <w:p>
            <w:pPr>
              <w:pStyle w:val="11"/>
            </w:pPr>
            <w:r>
              <w:t>503.80</w:t>
            </w: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504.80</w:t>
            </w:r>
          </w:p>
        </w:tc>
        <w:tc>
          <w:tcPr>
            <w:tcW w:w="2551" w:type="dxa"/>
            <w:vAlign w:val="center"/>
          </w:tcPr>
          <w:p>
            <w:pPr>
              <w:pStyle w:val="11"/>
            </w:pPr>
            <w:r>
              <w:t>503.80</w:t>
            </w: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503.80</w:t>
            </w:r>
          </w:p>
        </w:tc>
        <w:tc>
          <w:tcPr>
            <w:tcW w:w="2551" w:type="dxa"/>
            <w:vAlign w:val="center"/>
          </w:tcPr>
          <w:p>
            <w:pPr>
              <w:pStyle w:val="11"/>
            </w:pPr>
            <w:r>
              <w:t>503.80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2010399</w:t>
            </w:r>
          </w:p>
        </w:tc>
        <w:tc>
          <w:tcPr>
            <w:tcW w:w="4535" w:type="dxa"/>
            <w:vAlign w:val="center"/>
          </w:tcPr>
          <w:p>
            <w:pPr>
              <w:pStyle w:val="12"/>
            </w:pPr>
            <w:r>
              <w:t>其他政府办公厅（室）及相关机构事务支出</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206</w:t>
            </w:r>
          </w:p>
        </w:tc>
        <w:tc>
          <w:tcPr>
            <w:tcW w:w="4535" w:type="dxa"/>
            <w:vAlign w:val="center"/>
          </w:tcPr>
          <w:p>
            <w:pPr>
              <w:pStyle w:val="12"/>
            </w:pPr>
            <w:r>
              <w:t>科学技术支出</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20605</w:t>
            </w:r>
          </w:p>
        </w:tc>
        <w:tc>
          <w:tcPr>
            <w:tcW w:w="4535" w:type="dxa"/>
            <w:vAlign w:val="center"/>
          </w:tcPr>
          <w:p>
            <w:pPr>
              <w:pStyle w:val="12"/>
            </w:pPr>
            <w:r>
              <w:t>科技条件与服务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2060502</w:t>
            </w:r>
          </w:p>
        </w:tc>
        <w:tc>
          <w:tcPr>
            <w:tcW w:w="4535" w:type="dxa"/>
            <w:vAlign w:val="center"/>
          </w:tcPr>
          <w:p>
            <w:pPr>
              <w:pStyle w:val="12"/>
            </w:pPr>
            <w:r>
              <w:t>技术创新服务体系</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114.62</w:t>
            </w:r>
          </w:p>
        </w:tc>
        <w:tc>
          <w:tcPr>
            <w:tcW w:w="2551" w:type="dxa"/>
            <w:vAlign w:val="center"/>
          </w:tcPr>
          <w:p>
            <w:pPr>
              <w:pStyle w:val="11"/>
            </w:pPr>
            <w:r>
              <w:t>113.95</w:t>
            </w:r>
          </w:p>
        </w:tc>
        <w:tc>
          <w:tcPr>
            <w:tcW w:w="2551" w:type="dxa"/>
            <w:vAlign w:val="center"/>
          </w:tcPr>
          <w:p>
            <w:pPr>
              <w:pStyle w:val="11"/>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0.67</w:t>
            </w:r>
          </w:p>
        </w:tc>
        <w:tc>
          <w:tcPr>
            <w:tcW w:w="2551" w:type="dxa"/>
            <w:vAlign w:val="center"/>
          </w:tcPr>
          <w:p>
            <w:pPr>
              <w:pStyle w:val="11"/>
            </w:pPr>
          </w:p>
        </w:tc>
        <w:tc>
          <w:tcPr>
            <w:tcW w:w="2551" w:type="dxa"/>
            <w:vAlign w:val="center"/>
          </w:tcPr>
          <w:p>
            <w:pPr>
              <w:pStyle w:val="11"/>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2080299</w:t>
            </w:r>
          </w:p>
        </w:tc>
        <w:tc>
          <w:tcPr>
            <w:tcW w:w="4535" w:type="dxa"/>
            <w:vAlign w:val="center"/>
          </w:tcPr>
          <w:p>
            <w:pPr>
              <w:pStyle w:val="12"/>
            </w:pPr>
            <w:r>
              <w:t>其他民政管理事务支出</w:t>
            </w:r>
          </w:p>
        </w:tc>
        <w:tc>
          <w:tcPr>
            <w:tcW w:w="2551" w:type="dxa"/>
            <w:vAlign w:val="center"/>
          </w:tcPr>
          <w:p>
            <w:pPr>
              <w:pStyle w:val="11"/>
            </w:pPr>
            <w:r>
              <w:t>0.67</w:t>
            </w:r>
          </w:p>
        </w:tc>
        <w:tc>
          <w:tcPr>
            <w:tcW w:w="2551" w:type="dxa"/>
            <w:vAlign w:val="center"/>
          </w:tcPr>
          <w:p>
            <w:pPr>
              <w:pStyle w:val="11"/>
            </w:pPr>
          </w:p>
        </w:tc>
        <w:tc>
          <w:tcPr>
            <w:tcW w:w="2551" w:type="dxa"/>
            <w:vAlign w:val="center"/>
          </w:tcPr>
          <w:p>
            <w:pPr>
              <w:pStyle w:val="11"/>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113.95</w:t>
            </w:r>
          </w:p>
        </w:tc>
        <w:tc>
          <w:tcPr>
            <w:tcW w:w="2551" w:type="dxa"/>
            <w:vAlign w:val="center"/>
          </w:tcPr>
          <w:p>
            <w:pPr>
              <w:pStyle w:val="11"/>
            </w:pPr>
            <w:r>
              <w:t>113.95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31.67</w:t>
            </w:r>
          </w:p>
        </w:tc>
        <w:tc>
          <w:tcPr>
            <w:tcW w:w="2551" w:type="dxa"/>
            <w:vAlign w:val="center"/>
          </w:tcPr>
          <w:p>
            <w:pPr>
              <w:pStyle w:val="11"/>
            </w:pPr>
            <w:r>
              <w:t>31.67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54.85</w:t>
            </w:r>
          </w:p>
        </w:tc>
        <w:tc>
          <w:tcPr>
            <w:tcW w:w="2551" w:type="dxa"/>
            <w:vAlign w:val="center"/>
          </w:tcPr>
          <w:p>
            <w:pPr>
              <w:pStyle w:val="11"/>
            </w:pPr>
            <w:r>
              <w:t>54.85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27.43</w:t>
            </w:r>
          </w:p>
        </w:tc>
        <w:tc>
          <w:tcPr>
            <w:tcW w:w="2551" w:type="dxa"/>
            <w:vAlign w:val="center"/>
          </w:tcPr>
          <w:p>
            <w:pPr>
              <w:pStyle w:val="11"/>
            </w:pPr>
            <w:r>
              <w:t>27.43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2.01</w:t>
            </w:r>
          </w:p>
        </w:tc>
        <w:tc>
          <w:tcPr>
            <w:tcW w:w="2551" w:type="dxa"/>
            <w:vAlign w:val="center"/>
          </w:tcPr>
          <w:p>
            <w:pPr>
              <w:pStyle w:val="11"/>
            </w:pPr>
          </w:p>
        </w:tc>
        <w:tc>
          <w:tcPr>
            <w:tcW w:w="2551" w:type="dxa"/>
            <w:vAlign w:val="center"/>
          </w:tcPr>
          <w:p>
            <w:pPr>
              <w:pStyle w:val="11"/>
            </w:pPr>
            <w:r>
              <w:t>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1.34</w:t>
            </w:r>
          </w:p>
        </w:tc>
        <w:tc>
          <w:tcPr>
            <w:tcW w:w="2551" w:type="dxa"/>
            <w:vAlign w:val="center"/>
          </w:tcPr>
          <w:p>
            <w:pPr>
              <w:pStyle w:val="11"/>
            </w:pPr>
          </w:p>
        </w:tc>
        <w:tc>
          <w:tcPr>
            <w:tcW w:w="2551" w:type="dxa"/>
            <w:vAlign w:val="center"/>
          </w:tcPr>
          <w:p>
            <w:pPr>
              <w:pStyle w:val="11"/>
            </w:pPr>
            <w:r>
              <w:t>1.34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1.34</w:t>
            </w:r>
          </w:p>
        </w:tc>
        <w:tc>
          <w:tcPr>
            <w:tcW w:w="2551" w:type="dxa"/>
            <w:vAlign w:val="center"/>
          </w:tcPr>
          <w:p>
            <w:pPr>
              <w:pStyle w:val="11"/>
            </w:pPr>
          </w:p>
        </w:tc>
        <w:tc>
          <w:tcPr>
            <w:tcW w:w="2551" w:type="dxa"/>
            <w:vAlign w:val="center"/>
          </w:tcPr>
          <w:p>
            <w:pPr>
              <w:pStyle w:val="11"/>
            </w:pPr>
            <w:r>
              <w:t>1.34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0.67</w:t>
            </w:r>
          </w:p>
        </w:tc>
        <w:tc>
          <w:tcPr>
            <w:tcW w:w="2551" w:type="dxa"/>
            <w:vAlign w:val="center"/>
          </w:tcPr>
          <w:p>
            <w:pPr>
              <w:pStyle w:val="11"/>
            </w:pPr>
          </w:p>
        </w:tc>
        <w:tc>
          <w:tcPr>
            <w:tcW w:w="2551" w:type="dxa"/>
            <w:vAlign w:val="center"/>
          </w:tcPr>
          <w:p>
            <w:pPr>
              <w:pStyle w:val="11"/>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0.67</w:t>
            </w:r>
          </w:p>
        </w:tc>
        <w:tc>
          <w:tcPr>
            <w:tcW w:w="2551" w:type="dxa"/>
            <w:vAlign w:val="center"/>
          </w:tcPr>
          <w:p>
            <w:pPr>
              <w:pStyle w:val="11"/>
            </w:pPr>
          </w:p>
        </w:tc>
        <w:tc>
          <w:tcPr>
            <w:tcW w:w="2551" w:type="dxa"/>
            <w:vAlign w:val="center"/>
          </w:tcPr>
          <w:p>
            <w:pPr>
              <w:pStyle w:val="11"/>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115.98</w:t>
            </w:r>
          </w:p>
        </w:tc>
        <w:tc>
          <w:tcPr>
            <w:tcW w:w="2551" w:type="dxa"/>
            <w:vAlign w:val="center"/>
          </w:tcPr>
          <w:p>
            <w:pPr>
              <w:pStyle w:val="11"/>
            </w:pPr>
          </w:p>
        </w:tc>
        <w:tc>
          <w:tcPr>
            <w:tcW w:w="2551" w:type="dxa"/>
            <w:vAlign w:val="center"/>
          </w:tcPr>
          <w:p>
            <w:pPr>
              <w:pStyle w:val="11"/>
            </w:pPr>
            <w:r>
              <w:t>115.98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114.98</w:t>
            </w:r>
          </w:p>
        </w:tc>
        <w:tc>
          <w:tcPr>
            <w:tcW w:w="2551" w:type="dxa"/>
            <w:vAlign w:val="center"/>
          </w:tcPr>
          <w:p>
            <w:pPr>
              <w:pStyle w:val="11"/>
            </w:pPr>
          </w:p>
        </w:tc>
        <w:tc>
          <w:tcPr>
            <w:tcW w:w="2551" w:type="dxa"/>
            <w:vAlign w:val="center"/>
          </w:tcPr>
          <w:p>
            <w:pPr>
              <w:pStyle w:val="11"/>
            </w:pPr>
            <w:r>
              <w:t>114.98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114.98</w:t>
            </w:r>
          </w:p>
        </w:tc>
        <w:tc>
          <w:tcPr>
            <w:tcW w:w="2551" w:type="dxa"/>
            <w:vAlign w:val="center"/>
          </w:tcPr>
          <w:p>
            <w:pPr>
              <w:pStyle w:val="11"/>
            </w:pPr>
          </w:p>
        </w:tc>
        <w:tc>
          <w:tcPr>
            <w:tcW w:w="2551" w:type="dxa"/>
            <w:vAlign w:val="center"/>
          </w:tcPr>
          <w:p>
            <w:pPr>
              <w:pStyle w:val="11"/>
            </w:pPr>
            <w:r>
              <w:t>114.98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26.62</w:t>
            </w:r>
          </w:p>
        </w:tc>
        <w:tc>
          <w:tcPr>
            <w:tcW w:w="2551" w:type="dxa"/>
            <w:vAlign w:val="center"/>
          </w:tcPr>
          <w:p>
            <w:pPr>
              <w:pStyle w:val="11"/>
            </w:pPr>
            <w:r>
              <w:t>26.62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26.62</w:t>
            </w:r>
          </w:p>
        </w:tc>
        <w:tc>
          <w:tcPr>
            <w:tcW w:w="2551" w:type="dxa"/>
            <w:vAlign w:val="center"/>
          </w:tcPr>
          <w:p>
            <w:pPr>
              <w:pStyle w:val="11"/>
            </w:pPr>
            <w:r>
              <w:t>26.62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26.62</w:t>
            </w:r>
          </w:p>
        </w:tc>
        <w:tc>
          <w:tcPr>
            <w:tcW w:w="2551" w:type="dxa"/>
            <w:vAlign w:val="center"/>
          </w:tcPr>
          <w:p>
            <w:pPr>
              <w:pStyle w:val="11"/>
            </w:pPr>
            <w:r>
              <w:t>26.62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644.37</w:t>
            </w:r>
          </w:p>
        </w:tc>
        <w:tc>
          <w:tcPr>
            <w:tcW w:w="2551" w:type="dxa"/>
            <w:vAlign w:val="center"/>
          </w:tcPr>
          <w:p>
            <w:pPr>
              <w:pStyle w:val="15"/>
            </w:pPr>
            <w:r>
              <w:t>595.58</w:t>
            </w:r>
          </w:p>
        </w:tc>
        <w:tc>
          <w:tcPr>
            <w:tcW w:w="2551" w:type="dxa"/>
            <w:vAlign w:val="center"/>
          </w:tcPr>
          <w:p>
            <w:pPr>
              <w:pStyle w:val="15"/>
            </w:pPr>
            <w:r>
              <w:t>48.79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563.51</w:t>
            </w:r>
          </w:p>
        </w:tc>
        <w:tc>
          <w:tcPr>
            <w:tcW w:w="2551" w:type="dxa"/>
            <w:vAlign w:val="center"/>
          </w:tcPr>
          <w:p>
            <w:pPr>
              <w:pStyle w:val="11"/>
            </w:pPr>
            <w:r>
              <w:t>563.51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207.93</w:t>
            </w:r>
          </w:p>
        </w:tc>
        <w:tc>
          <w:tcPr>
            <w:tcW w:w="2551" w:type="dxa"/>
            <w:vAlign w:val="center"/>
          </w:tcPr>
          <w:p>
            <w:pPr>
              <w:pStyle w:val="11"/>
            </w:pPr>
            <w:r>
              <w:t>207.93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110.29</w:t>
            </w:r>
          </w:p>
        </w:tc>
        <w:tc>
          <w:tcPr>
            <w:tcW w:w="2551" w:type="dxa"/>
            <w:vAlign w:val="center"/>
          </w:tcPr>
          <w:p>
            <w:pPr>
              <w:pStyle w:val="11"/>
            </w:pPr>
            <w:r>
              <w:t>110.29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23.76</w:t>
            </w:r>
          </w:p>
        </w:tc>
        <w:tc>
          <w:tcPr>
            <w:tcW w:w="2551" w:type="dxa"/>
            <w:vAlign w:val="center"/>
          </w:tcPr>
          <w:p>
            <w:pPr>
              <w:pStyle w:val="11"/>
            </w:pPr>
            <w:r>
              <w:t>23.76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86.42</w:t>
            </w:r>
          </w:p>
        </w:tc>
        <w:tc>
          <w:tcPr>
            <w:tcW w:w="2551" w:type="dxa"/>
            <w:vAlign w:val="center"/>
          </w:tcPr>
          <w:p>
            <w:pPr>
              <w:pStyle w:val="11"/>
            </w:pPr>
            <w:r>
              <w:t>86.42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54.85</w:t>
            </w:r>
          </w:p>
        </w:tc>
        <w:tc>
          <w:tcPr>
            <w:tcW w:w="2551" w:type="dxa"/>
            <w:vAlign w:val="center"/>
          </w:tcPr>
          <w:p>
            <w:pPr>
              <w:pStyle w:val="11"/>
            </w:pPr>
            <w:r>
              <w:t>54.85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27.43</w:t>
            </w:r>
          </w:p>
        </w:tc>
        <w:tc>
          <w:tcPr>
            <w:tcW w:w="2551" w:type="dxa"/>
            <w:vAlign w:val="center"/>
          </w:tcPr>
          <w:p>
            <w:pPr>
              <w:pStyle w:val="11"/>
            </w:pPr>
            <w:r>
              <w:t>27.43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22.54</w:t>
            </w:r>
          </w:p>
        </w:tc>
        <w:tc>
          <w:tcPr>
            <w:tcW w:w="2551" w:type="dxa"/>
            <w:vAlign w:val="center"/>
          </w:tcPr>
          <w:p>
            <w:pPr>
              <w:pStyle w:val="11"/>
            </w:pPr>
            <w:r>
              <w:t>22.54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2.02</w:t>
            </w:r>
          </w:p>
        </w:tc>
        <w:tc>
          <w:tcPr>
            <w:tcW w:w="2551" w:type="dxa"/>
            <w:vAlign w:val="center"/>
          </w:tcPr>
          <w:p>
            <w:pPr>
              <w:pStyle w:val="11"/>
            </w:pPr>
            <w:r>
              <w:t>2.02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26.62</w:t>
            </w:r>
          </w:p>
        </w:tc>
        <w:tc>
          <w:tcPr>
            <w:tcW w:w="2551" w:type="dxa"/>
            <w:vAlign w:val="center"/>
          </w:tcPr>
          <w:p>
            <w:pPr>
              <w:pStyle w:val="11"/>
            </w:pPr>
            <w:r>
              <w:t>26.62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30199</w:t>
            </w:r>
          </w:p>
        </w:tc>
        <w:tc>
          <w:tcPr>
            <w:tcW w:w="4535" w:type="dxa"/>
            <w:vAlign w:val="center"/>
          </w:tcPr>
          <w:p>
            <w:pPr>
              <w:pStyle w:val="12"/>
            </w:pPr>
            <w:r>
              <w:t>其他工资福利支出</w:t>
            </w:r>
          </w:p>
        </w:tc>
        <w:tc>
          <w:tcPr>
            <w:tcW w:w="2551" w:type="dxa"/>
            <w:vAlign w:val="center"/>
          </w:tcPr>
          <w:p>
            <w:pPr>
              <w:pStyle w:val="11"/>
            </w:pPr>
            <w:r>
              <w:t>1.65</w:t>
            </w:r>
          </w:p>
        </w:tc>
        <w:tc>
          <w:tcPr>
            <w:tcW w:w="2551" w:type="dxa"/>
            <w:vAlign w:val="center"/>
          </w:tcPr>
          <w:p>
            <w:pPr>
              <w:pStyle w:val="11"/>
            </w:pPr>
            <w:r>
              <w:t>1.65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48.79</w:t>
            </w:r>
          </w:p>
        </w:tc>
        <w:tc>
          <w:tcPr>
            <w:tcW w:w="2551" w:type="dxa"/>
            <w:vAlign w:val="center"/>
          </w:tcPr>
          <w:p>
            <w:pPr>
              <w:pStyle w:val="11"/>
            </w:pPr>
          </w:p>
        </w:tc>
        <w:tc>
          <w:tcPr>
            <w:tcW w:w="2551" w:type="dxa"/>
            <w:vAlign w:val="center"/>
          </w:tcPr>
          <w:p>
            <w:pPr>
              <w:pStyle w:val="11"/>
            </w:pPr>
            <w:r>
              <w:t>48.79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10.90</w:t>
            </w:r>
          </w:p>
        </w:tc>
        <w:tc>
          <w:tcPr>
            <w:tcW w:w="2551" w:type="dxa"/>
            <w:vAlign w:val="center"/>
          </w:tcPr>
          <w:p>
            <w:pPr>
              <w:pStyle w:val="11"/>
            </w:pPr>
          </w:p>
        </w:tc>
        <w:tc>
          <w:tcPr>
            <w:tcW w:w="2551" w:type="dxa"/>
            <w:vAlign w:val="center"/>
          </w:tcPr>
          <w:p>
            <w:pPr>
              <w:pStyle w:val="11"/>
            </w:pPr>
            <w:r>
              <w:t>10.90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2.60</w:t>
            </w:r>
          </w:p>
        </w:tc>
        <w:tc>
          <w:tcPr>
            <w:tcW w:w="2551" w:type="dxa"/>
            <w:vAlign w:val="center"/>
          </w:tcPr>
          <w:p>
            <w:pPr>
              <w:pStyle w:val="11"/>
            </w:pPr>
          </w:p>
        </w:tc>
        <w:tc>
          <w:tcPr>
            <w:tcW w:w="2551" w:type="dxa"/>
            <w:vAlign w:val="center"/>
          </w:tcPr>
          <w:p>
            <w:pPr>
              <w:pStyle w:val="11"/>
            </w:pPr>
            <w:r>
              <w:t>2.60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8.40</w:t>
            </w:r>
          </w:p>
        </w:tc>
        <w:tc>
          <w:tcPr>
            <w:tcW w:w="2551" w:type="dxa"/>
            <w:vAlign w:val="center"/>
          </w:tcPr>
          <w:p>
            <w:pPr>
              <w:pStyle w:val="11"/>
            </w:pPr>
          </w:p>
        </w:tc>
        <w:tc>
          <w:tcPr>
            <w:tcW w:w="2551" w:type="dxa"/>
            <w:vAlign w:val="center"/>
          </w:tcPr>
          <w:p>
            <w:pPr>
              <w:pStyle w:val="11"/>
            </w:pPr>
            <w:r>
              <w:t>8.40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1.39</w:t>
            </w:r>
          </w:p>
        </w:tc>
        <w:tc>
          <w:tcPr>
            <w:tcW w:w="2551" w:type="dxa"/>
            <w:vAlign w:val="center"/>
          </w:tcPr>
          <w:p>
            <w:pPr>
              <w:pStyle w:val="11"/>
            </w:pPr>
          </w:p>
        </w:tc>
        <w:tc>
          <w:tcPr>
            <w:tcW w:w="2551" w:type="dxa"/>
            <w:vAlign w:val="center"/>
          </w:tcPr>
          <w:p>
            <w:pPr>
              <w:pStyle w:val="11"/>
            </w:pPr>
            <w:r>
              <w:t>1.39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32.07</w:t>
            </w:r>
          </w:p>
        </w:tc>
        <w:tc>
          <w:tcPr>
            <w:tcW w:w="2551" w:type="dxa"/>
            <w:vAlign w:val="center"/>
          </w:tcPr>
          <w:p>
            <w:pPr>
              <w:pStyle w:val="11"/>
            </w:pPr>
            <w:r>
              <w:t>32.07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31.67</w:t>
            </w:r>
          </w:p>
        </w:tc>
        <w:tc>
          <w:tcPr>
            <w:tcW w:w="2551" w:type="dxa"/>
            <w:vAlign w:val="center"/>
          </w:tcPr>
          <w:p>
            <w:pPr>
              <w:pStyle w:val="11"/>
            </w:pPr>
            <w:r>
              <w:t>31.67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0.40</w:t>
            </w:r>
          </w:p>
        </w:tc>
        <w:tc>
          <w:tcPr>
            <w:tcW w:w="2551" w:type="dxa"/>
            <w:vAlign w:val="center"/>
          </w:tcPr>
          <w:p>
            <w:pPr>
              <w:pStyle w:val="11"/>
            </w:pPr>
            <w:r>
              <w:t>0.40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160.00</w:t>
            </w:r>
          </w:p>
        </w:tc>
        <w:tc>
          <w:tcPr>
            <w:tcW w:w="2551" w:type="dxa"/>
            <w:vAlign w:val="center"/>
          </w:tcPr>
          <w:p>
            <w:pPr>
              <w:pStyle w:val="15"/>
            </w:pPr>
          </w:p>
        </w:tc>
        <w:tc>
          <w:tcPr>
            <w:tcW w:w="2551" w:type="dxa"/>
            <w:vAlign w:val="center"/>
          </w:tcPr>
          <w:p>
            <w:pPr>
              <w:pStyle w:val="15"/>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229</w:t>
            </w:r>
          </w:p>
        </w:tc>
        <w:tc>
          <w:tcPr>
            <w:tcW w:w="4535" w:type="dxa"/>
            <w:vAlign w:val="center"/>
          </w:tcPr>
          <w:p>
            <w:pPr>
              <w:pStyle w:val="12"/>
            </w:pPr>
            <w:r>
              <w:t>其他支出</w:t>
            </w:r>
          </w:p>
        </w:tc>
        <w:tc>
          <w:tcPr>
            <w:tcW w:w="2551" w:type="dxa"/>
            <w:vAlign w:val="center"/>
          </w:tcPr>
          <w:p>
            <w:pPr>
              <w:pStyle w:val="11"/>
            </w:pPr>
            <w:r>
              <w:t>160.00</w:t>
            </w:r>
          </w:p>
        </w:tc>
        <w:tc>
          <w:tcPr>
            <w:tcW w:w="2551" w:type="dxa"/>
            <w:vAlign w:val="center"/>
          </w:tcPr>
          <w:p>
            <w:pPr>
              <w:pStyle w:val="11"/>
            </w:pPr>
          </w:p>
        </w:tc>
        <w:tc>
          <w:tcPr>
            <w:tcW w:w="2551" w:type="dxa"/>
            <w:vAlign w:val="center"/>
          </w:tcPr>
          <w:p>
            <w:pPr>
              <w:pStyle w:val="11"/>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22960</w:t>
            </w:r>
          </w:p>
        </w:tc>
        <w:tc>
          <w:tcPr>
            <w:tcW w:w="4535" w:type="dxa"/>
            <w:vAlign w:val="center"/>
          </w:tcPr>
          <w:p>
            <w:pPr>
              <w:pStyle w:val="12"/>
            </w:pPr>
            <w:r>
              <w:t>彩票公益金安排的支出</w:t>
            </w:r>
          </w:p>
        </w:tc>
        <w:tc>
          <w:tcPr>
            <w:tcW w:w="2551" w:type="dxa"/>
            <w:vAlign w:val="center"/>
          </w:tcPr>
          <w:p>
            <w:pPr>
              <w:pStyle w:val="11"/>
            </w:pPr>
            <w:r>
              <w:t>160.00</w:t>
            </w:r>
          </w:p>
        </w:tc>
        <w:tc>
          <w:tcPr>
            <w:tcW w:w="2551" w:type="dxa"/>
            <w:vAlign w:val="center"/>
          </w:tcPr>
          <w:p>
            <w:pPr>
              <w:pStyle w:val="11"/>
            </w:pPr>
          </w:p>
        </w:tc>
        <w:tc>
          <w:tcPr>
            <w:tcW w:w="2551" w:type="dxa"/>
            <w:vAlign w:val="center"/>
          </w:tcPr>
          <w:p>
            <w:pPr>
              <w:pStyle w:val="11"/>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2296099</w:t>
            </w:r>
          </w:p>
        </w:tc>
        <w:tc>
          <w:tcPr>
            <w:tcW w:w="4535" w:type="dxa"/>
            <w:vAlign w:val="center"/>
          </w:tcPr>
          <w:p>
            <w:pPr>
              <w:pStyle w:val="12"/>
            </w:pPr>
            <w:r>
              <w:t>用于其他社会公益事业的彩票公益金支出</w:t>
            </w:r>
          </w:p>
        </w:tc>
        <w:tc>
          <w:tcPr>
            <w:tcW w:w="2551" w:type="dxa"/>
            <w:vAlign w:val="center"/>
          </w:tcPr>
          <w:p>
            <w:pPr>
              <w:pStyle w:val="11"/>
            </w:pPr>
            <w:r>
              <w:t>160.00</w:t>
            </w:r>
          </w:p>
        </w:tc>
        <w:tc>
          <w:tcPr>
            <w:tcW w:w="2551" w:type="dxa"/>
            <w:vAlign w:val="center"/>
          </w:tcPr>
          <w:p>
            <w:pPr>
              <w:pStyle w:val="11"/>
            </w:pPr>
          </w:p>
        </w:tc>
        <w:tc>
          <w:tcPr>
            <w:tcW w:w="2551" w:type="dxa"/>
            <w:vAlign w:val="center"/>
          </w:tcPr>
          <w:p>
            <w:pPr>
              <w:pStyle w:val="11"/>
            </w:pPr>
            <w:r>
              <w:t>160.00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7.00</w:t>
            </w:r>
          </w:p>
        </w:tc>
        <w:tc>
          <w:tcPr>
            <w:tcW w:w="2381" w:type="dxa"/>
            <w:vAlign w:val="center"/>
          </w:tcPr>
          <w:p>
            <w:pPr>
              <w:pStyle w:val="15"/>
            </w:pPr>
            <w:r>
              <w:t>7.00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6.00</w:t>
            </w:r>
          </w:p>
        </w:tc>
        <w:tc>
          <w:tcPr>
            <w:tcW w:w="2381" w:type="dxa"/>
            <w:vAlign w:val="center"/>
          </w:tcPr>
          <w:p>
            <w:pPr>
              <w:pStyle w:val="11"/>
            </w:pPr>
            <w:r>
              <w:t>6.00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6.00</w:t>
            </w:r>
          </w:p>
        </w:tc>
        <w:tc>
          <w:tcPr>
            <w:tcW w:w="2381" w:type="dxa"/>
            <w:vAlign w:val="center"/>
          </w:tcPr>
          <w:p>
            <w:pPr>
              <w:pStyle w:val="11"/>
            </w:pPr>
            <w:r>
              <w:t>6.00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涞源县金家井乡人民政府本级2025年单位预算信息公开情况说明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按照《中华人民共和国预算法》、《地方预决算公开操作规程》和《关于进一步推进预算公开工作的实施意见》规定，现将涞源县金家井乡人民政府本级2025年单位预算公开如下：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pStyle w:val="22"/>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根据《涞源县金家井乡人民政府职能配置、内设机构和人员编制规定》，</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涞源县金家井乡人民政府的主要职责是：</w:t>
      </w:r>
    </w:p>
    <w:p>
      <w:pPr>
        <w:pStyle w:val="22"/>
        <w:ind w:left="0" w:leftChars="0" w:firstLine="560" w:firstLineChars="200"/>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社会事务办公室（同时挂计划生育办公室牌子）：负责乡镇的拥军</w:t>
      </w:r>
      <w:r>
        <w:rPr>
          <w:rFonts w:hint="eastAsia" w:ascii="Times New Roman" w:hAnsi="Times New Roman" w:eastAsia="方正仿宋_GBK" w:cs="Times New Roman"/>
          <w:b w:val="0"/>
          <w:color w:val="000000"/>
          <w:sz w:val="28"/>
          <w:szCs w:val="24"/>
          <w:lang w:val="en-US" w:eastAsia="zh-CN" w:bidi="ar-SA"/>
        </w:rPr>
        <w:t>优</w:t>
      </w:r>
      <w:r>
        <w:rPr>
          <w:rFonts w:ascii="Times New Roman" w:hAnsi="Times New Roman" w:eastAsia="方正仿宋_GBK" w:cs="Times New Roman"/>
          <w:b w:val="0"/>
          <w:color w:val="000000"/>
          <w:sz w:val="28"/>
          <w:szCs w:val="24"/>
          <w:lang w:val="en-US" w:eastAsia="uk-UA" w:bidi="ar-SA"/>
        </w:rP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财政所：负责乡镇财政预算及执行，监管乡镇、村专项资金的使用，开展绩效分析，搞好定期定补人员的管理。</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2"/>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计划生育服务中心：贯彻执行计划生育基本国策，控制人口增长，提供生殖健康服务。</w:t>
      </w:r>
    </w:p>
    <w:p>
      <w:pPr>
        <w:spacing w:before="0" w:after="0" w:line="240" w:lineRule="auto"/>
        <w:ind w:firstLine="640"/>
        <w:jc w:val="left"/>
        <w:outlineLvl w:val="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综合文化服务中心：推进农村宣传文化事业发展，活跃农民精神文化生活，开展好农村精神文明建设工作。推进乡镇农村科技、文化、体育等各项社会事业的进步，全面促进各项社会事业健康有序发展。</w:t>
      </w:r>
    </w:p>
    <w:p>
      <w:pPr>
        <w:pStyle w:val="17"/>
        <w:rPr>
          <w:rFonts w:ascii="Times New Roman" w:hAnsi="Times New Roman" w:eastAsia="方正仿宋_GBK" w:cs="Times New Roman"/>
          <w:b w:val="0"/>
          <w:color w:val="000000"/>
          <w:sz w:val="28"/>
          <w:szCs w:val="24"/>
          <w:lang w:val="en-US" w:eastAsia="uk-UA" w:bidi="ar-SA"/>
        </w:rPr>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涞源县金家井乡人民政府本级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pStyle w:val="18"/>
        <w:numPr>
          <w:ilvl w:val="0"/>
          <w:numId w:val="1"/>
        </w:numPr>
        <w:rPr>
          <w:rFonts w:ascii="黑体" w:hAnsi="黑体" w:eastAsia="黑体" w:cs="黑体"/>
          <w:color w:val="000000"/>
          <w:sz w:val="32"/>
        </w:rPr>
      </w:pPr>
      <w:r>
        <w:rPr>
          <w:rFonts w:ascii="黑体" w:hAnsi="黑体" w:eastAsia="黑体" w:cs="黑体"/>
          <w:color w:val="000000"/>
          <w:sz w:val="32"/>
        </w:rPr>
        <w:t>单位预算安排的总体情况</w:t>
      </w:r>
    </w:p>
    <w:p>
      <w:pPr>
        <w:pStyle w:val="18"/>
        <w:numPr>
          <w:ilvl w:val="0"/>
          <w:numId w:val="0"/>
        </w:numPr>
        <w:ind w:firstLine="560" w:firstLineChars="200"/>
      </w:pPr>
      <w:r>
        <w:t>按照预算管理有关规定，目前单位预算的编制实行综合预算管理，即全部收入和支出都反映在预算中。</w:t>
      </w:r>
    </w:p>
    <w:p>
      <w:pPr>
        <w:pStyle w:val="23"/>
      </w:pPr>
      <w:r>
        <w:t>1、收入说明</w:t>
      </w:r>
    </w:p>
    <w:p>
      <w:pPr>
        <w:pStyle w:val="23"/>
      </w:pPr>
      <w:r>
        <w:t>反映本</w:t>
      </w:r>
      <w:r>
        <w:rPr>
          <w:rFonts w:hint="eastAsia"/>
          <w:lang w:val="en-US" w:eastAsia="zh-CN"/>
        </w:rPr>
        <w:t>单位</w:t>
      </w:r>
      <w:r>
        <w:t>当年全部收入。202</w:t>
      </w:r>
      <w:r>
        <w:rPr>
          <w:rFonts w:hint="eastAsia"/>
          <w:lang w:val="en-US" w:eastAsia="zh-CN"/>
        </w:rPr>
        <w:t>5</w:t>
      </w:r>
      <w:r>
        <w:t>年预算收入</w:t>
      </w:r>
      <w:r>
        <w:rPr>
          <w:rFonts w:hint="eastAsia"/>
          <w:lang w:val="en-US" w:eastAsia="zh-CN"/>
        </w:rPr>
        <w:t>931.03</w:t>
      </w:r>
      <w:r>
        <w:t>万元，其中：一般公共预算收入</w:t>
      </w:r>
      <w:r>
        <w:rPr>
          <w:rFonts w:hint="eastAsia"/>
          <w:lang w:val="en-US" w:eastAsia="zh-CN"/>
        </w:rPr>
        <w:t>771.03</w:t>
      </w:r>
      <w:r>
        <w:t>万元，基金预算收入</w:t>
      </w:r>
      <w:r>
        <w:rPr>
          <w:rFonts w:hint="eastAsia"/>
          <w:lang w:val="en-US" w:eastAsia="zh-CN"/>
        </w:rPr>
        <w:t>160.00</w:t>
      </w:r>
      <w:r>
        <w:t>万元，国有资本经营预算收入0.00万元，财政专户核拨收入0.00万元，单位资金收入0.00万元，上年结转结余</w:t>
      </w:r>
      <w:r>
        <w:rPr>
          <w:rFonts w:hint="eastAsia"/>
          <w:lang w:val="en-US" w:eastAsia="zh-CN"/>
        </w:rPr>
        <w:t>0.00</w:t>
      </w:r>
      <w:r>
        <w:t>万元。</w:t>
      </w:r>
    </w:p>
    <w:p>
      <w:pPr>
        <w:pStyle w:val="23"/>
      </w:pPr>
      <w:r>
        <w:t>2、支出说明</w:t>
      </w:r>
    </w:p>
    <w:p>
      <w:pPr>
        <w:pStyle w:val="23"/>
      </w:pPr>
      <w:r>
        <w:t>收支预算总表支出栏、基本支出表、项目支出表按经济分类和支出功能分类科目编制，反映涞源县金家井乡人民政府年度</w:t>
      </w:r>
      <w:r>
        <w:rPr>
          <w:rFonts w:hint="eastAsia"/>
          <w:lang w:val="en-US" w:eastAsia="zh-CN"/>
        </w:rPr>
        <w:t>单位</w:t>
      </w:r>
      <w:r>
        <w:t>预算中支出预算的总体情况。202</w:t>
      </w:r>
      <w:r>
        <w:rPr>
          <w:rFonts w:hint="eastAsia"/>
          <w:lang w:val="en-US" w:eastAsia="zh-CN"/>
        </w:rPr>
        <w:t>5</w:t>
      </w:r>
      <w:r>
        <w:t>年支出预算</w:t>
      </w:r>
      <w:r>
        <w:rPr>
          <w:rFonts w:hint="eastAsia"/>
          <w:lang w:val="en-US" w:eastAsia="zh-CN"/>
        </w:rPr>
        <w:t>931.03</w:t>
      </w:r>
      <w:r>
        <w:t>万元，其中基本支出</w:t>
      </w:r>
      <w:r>
        <w:rPr>
          <w:rFonts w:hint="eastAsia"/>
          <w:lang w:val="en-US" w:eastAsia="zh-CN"/>
        </w:rPr>
        <w:t>644.37</w:t>
      </w:r>
      <w:r>
        <w:t>万元，包括人员经费</w:t>
      </w:r>
      <w:r>
        <w:rPr>
          <w:rFonts w:hint="eastAsia"/>
          <w:lang w:val="en-US" w:eastAsia="zh-CN"/>
        </w:rPr>
        <w:t>595.58</w:t>
      </w:r>
      <w:r>
        <w:t>万元和日常公用经费</w:t>
      </w:r>
      <w:r>
        <w:rPr>
          <w:rFonts w:hint="eastAsia"/>
          <w:lang w:val="en-US" w:eastAsia="zh-CN"/>
        </w:rPr>
        <w:t>48.79</w:t>
      </w:r>
      <w:r>
        <w:t>万元；项目支出</w:t>
      </w:r>
      <w:r>
        <w:rPr>
          <w:rFonts w:hint="eastAsia"/>
          <w:lang w:val="en-US" w:eastAsia="zh-CN"/>
        </w:rPr>
        <w:t>286.66</w:t>
      </w:r>
      <w:r>
        <w:t>万元，主要为乡镇日常运转经费、村级经费、扶贫专项资金等。</w:t>
      </w:r>
    </w:p>
    <w:p>
      <w:pPr>
        <w:pStyle w:val="23"/>
      </w:pPr>
      <w:r>
        <w:t>3、比上年增减情况</w:t>
      </w:r>
    </w:p>
    <w:p>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931.03</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年预算</w:t>
      </w:r>
      <w:r>
        <w:rPr>
          <w:rFonts w:hint="eastAsia" w:ascii="Times New Roman" w:hAnsi="Times New Roman" w:eastAsia="方正仿宋_GBK" w:cs="Times New Roman"/>
          <w:sz w:val="28"/>
          <w:szCs w:val="24"/>
          <w:lang w:val="en-US" w:eastAsia="zh-CN" w:bidi="ar-SA"/>
        </w:rPr>
        <w:t>增加121.49</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1</w:t>
      </w:r>
      <w:r>
        <w:rPr>
          <w:rFonts w:hint="eastAsia" w:ascii="Times New Roman" w:hAnsi="Times New Roman" w:eastAsia="方正仿宋_GBK" w:cs="Times New Roman"/>
          <w:sz w:val="28"/>
          <w:szCs w:val="24"/>
          <w:lang w:val="en-US" w:eastAsia="zh-CN" w:bidi="ar-SA"/>
        </w:rPr>
        <w:t>21.49</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人员支出。项目支出减少</w:t>
      </w:r>
      <w:r>
        <w:rPr>
          <w:rFonts w:hint="eastAsia" w:ascii="Times New Roman" w:hAnsi="Times New Roman" w:eastAsia="方正仿宋_GBK" w:cs="Times New Roman"/>
          <w:sz w:val="28"/>
          <w:szCs w:val="24"/>
          <w:lang w:val="en-US" w:eastAsia="zh-CN" w:bidi="ar-SA"/>
        </w:rPr>
        <w:t>10.77</w:t>
      </w:r>
      <w:r>
        <w:rPr>
          <w:rFonts w:ascii="Times New Roman" w:hAnsi="Times New Roman" w:eastAsia="方正仿宋_GBK" w:cs="Times New Roman"/>
          <w:sz w:val="28"/>
          <w:szCs w:val="24"/>
          <w:lang w:val="en-US" w:eastAsia="uk-UA" w:bidi="ar-SA"/>
        </w:rPr>
        <w:t>万元，主要为减少项目支出。</w:t>
      </w:r>
    </w:p>
    <w:p>
      <w:pPr>
        <w:pStyle w:val="24"/>
        <w:numPr>
          <w:ilvl w:val="0"/>
          <w:numId w:val="1"/>
        </w:numPr>
        <w:ind w:left="0" w:leftChars="0" w:firstLine="560" w:firstLineChars="0"/>
        <w:rPr>
          <w:rFonts w:ascii="黑体" w:hAnsi="黑体" w:eastAsia="黑体" w:cs="黑体"/>
          <w:color w:val="000000"/>
          <w:sz w:val="32"/>
        </w:rPr>
      </w:pPr>
      <w:r>
        <w:rPr>
          <w:rFonts w:ascii="黑体" w:hAnsi="黑体" w:eastAsia="黑体" w:cs="黑体"/>
          <w:color w:val="000000"/>
          <w:sz w:val="32"/>
        </w:rPr>
        <w:t>机关运行经费安排情况</w:t>
      </w:r>
    </w:p>
    <w:p>
      <w:pPr>
        <w:pStyle w:val="24"/>
        <w:numPr>
          <w:ilvl w:val="0"/>
          <w:numId w:val="0"/>
        </w:numPr>
        <w:ind w:left="560" w:leftChars="0"/>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uk-UA" w:bidi="ar-SA"/>
        </w:rPr>
        <w:t>运行经费共计安排</w:t>
      </w:r>
      <w:r>
        <w:rPr>
          <w:rFonts w:hint="eastAsia" w:cs="Times New Roman"/>
          <w:sz w:val="28"/>
          <w:szCs w:val="24"/>
          <w:lang w:val="en-US" w:eastAsia="zh-CN" w:bidi="ar-SA"/>
        </w:rPr>
        <w:t>48.79</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pPr>
        <w:pStyle w:val="25"/>
        <w:numPr>
          <w:ilvl w:val="0"/>
          <w:numId w:val="1"/>
        </w:numPr>
        <w:ind w:left="0" w:leftChars="0" w:firstLine="560" w:firstLineChars="0"/>
        <w:rPr>
          <w:rFonts w:ascii="黑体" w:hAnsi="黑体" w:eastAsia="黑体" w:cs="黑体"/>
          <w:color w:val="000000"/>
          <w:sz w:val="32"/>
        </w:rPr>
      </w:pPr>
      <w:r>
        <w:rPr>
          <w:rFonts w:ascii="黑体" w:hAnsi="黑体" w:eastAsia="黑体" w:cs="黑体"/>
          <w:color w:val="000000"/>
          <w:sz w:val="32"/>
        </w:rPr>
        <w:t>财政拨款“三公”经费预算情况及增减变化原因</w:t>
      </w:r>
    </w:p>
    <w:p>
      <w:pPr>
        <w:pStyle w:val="25"/>
        <w:numPr>
          <w:ilvl w:val="0"/>
          <w:numId w:val="0"/>
        </w:numPr>
        <w:ind w:left="560" w:leftChars="0"/>
        <w:rPr>
          <w:rFonts w:hint="eastAsia" w:eastAsia="方正仿宋_GBK"/>
          <w:lang w:eastAsia="zh-CN"/>
        </w:rPr>
      </w:pPr>
      <w:r>
        <w:t>202</w:t>
      </w:r>
      <w:r>
        <w:rPr>
          <w:rFonts w:hint="eastAsia"/>
          <w:lang w:val="en-US" w:eastAsia="zh-CN"/>
        </w:rPr>
        <w:t>5</w:t>
      </w:r>
      <w:r>
        <w:t>年，我</w:t>
      </w:r>
      <w:r>
        <w:rPr>
          <w:rFonts w:hint="eastAsia"/>
          <w:lang w:val="en-US" w:eastAsia="zh-CN"/>
        </w:rPr>
        <w:t>单位</w:t>
      </w:r>
      <w:r>
        <w:t>财政拨款“三公”经费预算安排</w:t>
      </w:r>
      <w:r>
        <w:rPr>
          <w:rFonts w:hint="eastAsia"/>
          <w:lang w:val="en-US" w:eastAsia="zh-CN"/>
        </w:rPr>
        <w:t>7.00</w:t>
      </w:r>
      <w:r>
        <w:t>万元，其中因公出国（境）费0.00万元；公务用车购置及运维费</w:t>
      </w:r>
      <w:r>
        <w:rPr>
          <w:rFonts w:hint="eastAsia"/>
          <w:lang w:val="en-US" w:eastAsia="zh-CN"/>
        </w:rPr>
        <w:t>6</w:t>
      </w:r>
      <w:r>
        <w:t>.00万元（其中：公务用车购置费为0.00万元，公务用车运维费</w:t>
      </w:r>
      <w:r>
        <w:rPr>
          <w:rFonts w:hint="eastAsia"/>
          <w:lang w:val="en-US" w:eastAsia="zh-CN"/>
        </w:rPr>
        <w:t>6</w:t>
      </w:r>
      <w:r>
        <w:t>.00万元)；公务接待费</w:t>
      </w:r>
      <w:r>
        <w:rPr>
          <w:rFonts w:hint="eastAsia"/>
          <w:lang w:val="en-US" w:eastAsia="zh-CN"/>
        </w:rPr>
        <w:t>1.00</w:t>
      </w:r>
      <w:r>
        <w:t>万元。与202</w:t>
      </w:r>
      <w:r>
        <w:rPr>
          <w:rFonts w:hint="eastAsia"/>
          <w:lang w:val="en-US" w:eastAsia="zh-CN"/>
        </w:rPr>
        <w:t>4</w:t>
      </w:r>
      <w:r>
        <w:t>年相比</w:t>
      </w:r>
      <w:r>
        <w:rPr>
          <w:rFonts w:hint="eastAsia"/>
          <w:lang w:val="en-US" w:eastAsia="zh-CN"/>
        </w:rPr>
        <w:t>减少4</w:t>
      </w:r>
      <w:r>
        <w:t>.75万元，增减变化的主要原因是公务用车运维费</w:t>
      </w:r>
      <w:r>
        <w:rPr>
          <w:rFonts w:hint="eastAsia"/>
          <w:lang w:val="en-US" w:eastAsia="zh-CN"/>
        </w:rPr>
        <w:t>及</w:t>
      </w:r>
      <w:r>
        <w:t>公务接待费减少，202</w:t>
      </w:r>
      <w:r>
        <w:rPr>
          <w:rFonts w:hint="eastAsia"/>
          <w:lang w:val="en-US" w:eastAsia="zh-CN"/>
        </w:rPr>
        <w:t>5</w:t>
      </w:r>
      <w:r>
        <w:t>年预算收支安排</w:t>
      </w:r>
      <w:r>
        <w:rPr>
          <w:rFonts w:hint="eastAsia"/>
          <w:lang w:val="en-US" w:eastAsia="zh-CN"/>
        </w:rPr>
        <w:t>7.00</w:t>
      </w:r>
      <w:r>
        <w:t>万元，较202</w:t>
      </w:r>
      <w:r>
        <w:rPr>
          <w:rFonts w:hint="eastAsia"/>
          <w:lang w:val="en-US" w:eastAsia="zh-CN"/>
        </w:rPr>
        <w:t>4</w:t>
      </w:r>
      <w:r>
        <w:t>年预算减少</w:t>
      </w:r>
      <w:r>
        <w:rPr>
          <w:rFonts w:hint="eastAsia"/>
          <w:lang w:val="en-US" w:eastAsia="zh-CN"/>
        </w:rPr>
        <w:t>4.75</w:t>
      </w:r>
      <w:r>
        <w:t>万元</w:t>
      </w:r>
      <w:r>
        <w:rPr>
          <w:rFonts w:hint="eastAsia"/>
          <w:lang w:eastAsia="zh-CN"/>
        </w:rPr>
        <w:t>。</w:t>
      </w:r>
    </w:p>
    <w:p>
      <w:pPr>
        <w:spacing w:before="10" w:after="10" w:line="240" w:lineRule="auto"/>
        <w:ind w:firstLine="640" w:firstLineChars="200"/>
        <w:jc w:val="left"/>
        <w:outlineLvl w:val="5"/>
        <w:rPr>
          <w:rFonts w:ascii="黑体" w:hAnsi="黑体" w:eastAsia="黑体" w:cs="黑体"/>
          <w:color w:val="000000"/>
          <w:sz w:val="32"/>
        </w:rPr>
      </w:pPr>
    </w:p>
    <w:p>
      <w:pPr>
        <w:spacing w:before="10" w:after="10" w:line="240" w:lineRule="auto"/>
        <w:ind w:firstLine="640" w:firstLineChars="200"/>
        <w:jc w:val="left"/>
        <w:outlineLvl w:val="5"/>
        <w:rPr>
          <w:rFonts w:ascii="黑体" w:hAnsi="黑体" w:eastAsia="黑体" w:cs="黑体"/>
          <w:color w:val="000000"/>
          <w:sz w:val="32"/>
        </w:rPr>
      </w:pPr>
    </w:p>
    <w:p>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1、冀财教[2024]127号 关于提前下达2025年支持市县科技创新和科学普及专项资金预算的通知（科技特派员工作站）金家井乡绩效目标表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13063025P00459110003J</w:t>
            </w:r>
          </w:p>
        </w:tc>
        <w:tc>
          <w:tcPr>
            <w:tcW w:w="2835" w:type="dxa"/>
            <w:vAlign w:val="center"/>
          </w:tcPr>
          <w:p>
            <w:pPr>
              <w:pStyle w:val="10"/>
            </w:pPr>
            <w:r>
              <w:t>项目名称</w:t>
            </w:r>
          </w:p>
        </w:tc>
        <w:tc>
          <w:tcPr>
            <w:tcW w:w="6095" w:type="dxa"/>
            <w:gridSpan w:val="3"/>
            <w:vAlign w:val="center"/>
          </w:tcPr>
          <w:p>
            <w:pPr>
              <w:pStyle w:val="12"/>
            </w:pPr>
            <w:r>
              <w:t>冀财教[2024]127号 关于提前下达2025年支持市县科技创新和科学普及专项资金预算的通知（科技特派员工作站）金家井乡</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用于2025年支持市县科技创新和科学普及专项资金预算的通知（科技特派员工作站）金家井乡</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w:t>
            </w:r>
          </w:p>
        </w:tc>
        <w:tc>
          <w:tcPr>
            <w:tcW w:w="2835" w:type="dxa"/>
            <w:vAlign w:val="center"/>
          </w:tcPr>
          <w:p>
            <w:pPr>
              <w:pStyle w:val="13"/>
            </w:pPr>
            <w:r>
              <w:t>500000%</w:t>
            </w:r>
          </w:p>
        </w:tc>
        <w:tc>
          <w:tcPr>
            <w:tcW w:w="2551" w:type="dxa"/>
            <w:vAlign w:val="center"/>
          </w:tcPr>
          <w:p>
            <w:pPr>
              <w:pStyle w:val="13"/>
            </w:pPr>
            <w:r>
              <w:t>750000%</w:t>
            </w:r>
          </w:p>
        </w:tc>
        <w:tc>
          <w:tcPr>
            <w:tcW w:w="3544" w:type="dxa"/>
            <w:gridSpan w:val="2"/>
            <w:vAlign w:val="center"/>
          </w:tcPr>
          <w:p>
            <w:pPr>
              <w:pStyle w:val="13"/>
            </w:pPr>
            <w: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1.用于2025年支持市县科技创新和科学普及专项资金预算的通知（科技特派员工作站）金家井乡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服务水平</w:t>
            </w:r>
          </w:p>
        </w:tc>
        <w:tc>
          <w:tcPr>
            <w:tcW w:w="5386" w:type="dxa"/>
            <w:vAlign w:val="center"/>
          </w:tcPr>
          <w:p>
            <w:pPr>
              <w:pStyle w:val="12"/>
            </w:pPr>
            <w:r>
              <w:t>服务水平</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2、金家丼2025年中央专项彩票公益金支持地方公益事业发展资金预算绩效目标表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13063025P00000110006B</w:t>
            </w:r>
          </w:p>
        </w:tc>
        <w:tc>
          <w:tcPr>
            <w:tcW w:w="2835" w:type="dxa"/>
            <w:vAlign w:val="center"/>
          </w:tcPr>
          <w:p>
            <w:pPr>
              <w:pStyle w:val="10"/>
            </w:pPr>
            <w:r>
              <w:t>项目名称</w:t>
            </w:r>
          </w:p>
        </w:tc>
        <w:tc>
          <w:tcPr>
            <w:tcW w:w="6095" w:type="dxa"/>
            <w:gridSpan w:val="3"/>
            <w:vAlign w:val="center"/>
          </w:tcPr>
          <w:p>
            <w:pPr>
              <w:pStyle w:val="12"/>
            </w:pPr>
            <w:r>
              <w:t>金家丼2025年中央专项彩票公益金支持地方公益事业发展资金预算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160.00</w:t>
            </w:r>
          </w:p>
        </w:tc>
        <w:tc>
          <w:tcPr>
            <w:tcW w:w="2835" w:type="dxa"/>
            <w:vAlign w:val="center"/>
          </w:tcPr>
          <w:p>
            <w:pPr>
              <w:pStyle w:val="10"/>
            </w:pPr>
            <w:r>
              <w:t>其中：财政    资金</w:t>
            </w:r>
          </w:p>
        </w:tc>
        <w:tc>
          <w:tcPr>
            <w:tcW w:w="2551" w:type="dxa"/>
            <w:vAlign w:val="center"/>
          </w:tcPr>
          <w:p>
            <w:pPr>
              <w:pStyle w:val="12"/>
            </w:pPr>
            <w:r>
              <w:t>160.00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用于金家丼2025年中央专项彩票公益金支持地方公益事业发展资金预算</w:t>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w:t>
            </w:r>
          </w:p>
        </w:tc>
        <w:tc>
          <w:tcPr>
            <w:tcW w:w="2835" w:type="dxa"/>
            <w:vAlign w:val="center"/>
          </w:tcPr>
          <w:p>
            <w:pPr>
              <w:pStyle w:val="13"/>
            </w:pPr>
            <w:r>
              <w:t>500000%</w:t>
            </w:r>
          </w:p>
        </w:tc>
        <w:tc>
          <w:tcPr>
            <w:tcW w:w="2551" w:type="dxa"/>
            <w:vAlign w:val="center"/>
          </w:tcPr>
          <w:p>
            <w:pPr>
              <w:pStyle w:val="13"/>
            </w:pPr>
            <w:r>
              <w:t>750000%</w:t>
            </w:r>
          </w:p>
        </w:tc>
        <w:tc>
          <w:tcPr>
            <w:tcW w:w="3544" w:type="dxa"/>
            <w:gridSpan w:val="2"/>
            <w:vAlign w:val="center"/>
          </w:tcPr>
          <w:p>
            <w:pPr>
              <w:pStyle w:val="13"/>
            </w:pPr>
            <w:r>
              <w:t>100000000%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1.目标内容1：用于金家丼2025年中央专项彩票公益金支持地方公益事业发展资金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5386" w:type="dxa"/>
            <w:vAlign w:val="center"/>
          </w:tcPr>
          <w:p>
            <w:pPr>
              <w:pStyle w:val="12"/>
            </w:pPr>
            <w:r>
              <w:t>资金发放率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增强服务保障能力。</w:t>
            </w:r>
          </w:p>
        </w:tc>
        <w:tc>
          <w:tcPr>
            <w:tcW w:w="5386" w:type="dxa"/>
            <w:vAlign w:val="center"/>
          </w:tcPr>
          <w:p>
            <w:pPr>
              <w:pStyle w:val="12"/>
            </w:pPr>
            <w:r>
              <w:t>增强服务保障能力。</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≥95百分比</w:t>
            </w:r>
          </w:p>
        </w:tc>
        <w:tc>
          <w:tcPr>
            <w:tcW w:w="1276" w:type="dxa"/>
            <w:vAlign w:val="center"/>
          </w:tcPr>
          <w:p>
            <w:pPr>
              <w:pStyle w:val="12"/>
            </w:pPr>
            <w:r>
              <w:t>根据预算安排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3、金家井乡村党组织活动经费绩效目标表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13063025P00558810052D</w:t>
            </w:r>
          </w:p>
        </w:tc>
        <w:tc>
          <w:tcPr>
            <w:tcW w:w="2835" w:type="dxa"/>
            <w:vAlign w:val="center"/>
          </w:tcPr>
          <w:p>
            <w:pPr>
              <w:pStyle w:val="10"/>
            </w:pPr>
            <w:r>
              <w:t>项目名称</w:t>
            </w:r>
          </w:p>
        </w:tc>
        <w:tc>
          <w:tcPr>
            <w:tcW w:w="6095" w:type="dxa"/>
            <w:gridSpan w:val="3"/>
            <w:vAlign w:val="center"/>
          </w:tcPr>
          <w:p>
            <w:pPr>
              <w:pStyle w:val="12"/>
            </w:pPr>
            <w:r>
              <w:t>金家井乡村党组织活动经费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19.00</w:t>
            </w:r>
          </w:p>
        </w:tc>
        <w:tc>
          <w:tcPr>
            <w:tcW w:w="2835" w:type="dxa"/>
            <w:vAlign w:val="center"/>
          </w:tcPr>
          <w:p>
            <w:pPr>
              <w:pStyle w:val="10"/>
            </w:pPr>
            <w:r>
              <w:t>其中：财政    资金</w:t>
            </w:r>
          </w:p>
        </w:tc>
        <w:tc>
          <w:tcPr>
            <w:tcW w:w="2551" w:type="dxa"/>
            <w:vAlign w:val="center"/>
          </w:tcPr>
          <w:p>
            <w:pPr>
              <w:pStyle w:val="12"/>
            </w:pPr>
            <w:r>
              <w:t>19.00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用于金家井乡村党组织活动经费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w:t>
            </w:r>
          </w:p>
        </w:tc>
        <w:tc>
          <w:tcPr>
            <w:tcW w:w="2835" w:type="dxa"/>
            <w:vAlign w:val="center"/>
          </w:tcPr>
          <w:p>
            <w:pPr>
              <w:pStyle w:val="13"/>
            </w:pPr>
            <w:r>
              <w:t>500000%</w:t>
            </w:r>
          </w:p>
        </w:tc>
        <w:tc>
          <w:tcPr>
            <w:tcW w:w="2551" w:type="dxa"/>
            <w:vAlign w:val="center"/>
          </w:tcPr>
          <w:p>
            <w:pPr>
              <w:pStyle w:val="13"/>
            </w:pPr>
            <w:r>
              <w:t>750000%</w:t>
            </w:r>
          </w:p>
        </w:tc>
        <w:tc>
          <w:tcPr>
            <w:tcW w:w="3544" w:type="dxa"/>
            <w:gridSpan w:val="2"/>
            <w:vAlign w:val="center"/>
          </w:tcPr>
          <w:p>
            <w:pPr>
              <w:pStyle w:val="13"/>
            </w:pPr>
            <w:r>
              <w:t>19000000%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5386" w:type="dxa"/>
            <w:vAlign w:val="center"/>
          </w:tcPr>
          <w:p>
            <w:pPr>
              <w:pStyle w:val="12"/>
            </w:pPr>
            <w:r>
              <w:t>资金发放率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增强服务保障能力。</w:t>
            </w:r>
          </w:p>
        </w:tc>
        <w:tc>
          <w:tcPr>
            <w:tcW w:w="5386" w:type="dxa"/>
            <w:vAlign w:val="center"/>
          </w:tcPr>
          <w:p>
            <w:pPr>
              <w:pStyle w:val="12"/>
            </w:pPr>
            <w:r>
              <w:t>增强服务保障能力。</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≥95百分比</w:t>
            </w:r>
          </w:p>
        </w:tc>
        <w:tc>
          <w:tcPr>
            <w:tcW w:w="1276" w:type="dxa"/>
            <w:vAlign w:val="center"/>
          </w:tcPr>
          <w:p>
            <w:pPr>
              <w:pStyle w:val="12"/>
            </w:pPr>
            <w:r>
              <w:t>根据预算安排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4、金家井乡防火专项经费绩效目标表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13063025P00606810038Q</w:t>
            </w:r>
          </w:p>
        </w:tc>
        <w:tc>
          <w:tcPr>
            <w:tcW w:w="2835" w:type="dxa"/>
            <w:vAlign w:val="center"/>
          </w:tcPr>
          <w:p>
            <w:pPr>
              <w:pStyle w:val="10"/>
            </w:pPr>
            <w:r>
              <w:t>项目名称</w:t>
            </w:r>
          </w:p>
        </w:tc>
        <w:tc>
          <w:tcPr>
            <w:tcW w:w="6095" w:type="dxa"/>
            <w:gridSpan w:val="3"/>
            <w:vAlign w:val="center"/>
          </w:tcPr>
          <w:p>
            <w:pPr>
              <w:pStyle w:val="12"/>
            </w:pPr>
            <w:r>
              <w:t>金家井乡防火专项经费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防火经费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500000%</w:t>
            </w:r>
          </w:p>
        </w:tc>
        <w:tc>
          <w:tcPr>
            <w:tcW w:w="2835" w:type="dxa"/>
            <w:vAlign w:val="center"/>
          </w:tcPr>
          <w:p>
            <w:pPr>
              <w:pStyle w:val="13"/>
            </w:pPr>
            <w:r>
              <w:t>1000000%</w:t>
            </w:r>
          </w:p>
        </w:tc>
        <w:tc>
          <w:tcPr>
            <w:tcW w:w="2551" w:type="dxa"/>
            <w:vAlign w:val="center"/>
          </w:tcPr>
          <w:p>
            <w:pPr>
              <w:pStyle w:val="13"/>
            </w:pPr>
            <w:r>
              <w:t>1500000%</w:t>
            </w:r>
          </w:p>
        </w:tc>
        <w:tc>
          <w:tcPr>
            <w:tcW w:w="3544" w:type="dxa"/>
            <w:gridSpan w:val="2"/>
            <w:vAlign w:val="center"/>
          </w:tcPr>
          <w:p>
            <w:pPr>
              <w:pStyle w:val="13"/>
            </w:pPr>
            <w:r>
              <w:t>2000000%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1.目标内容1：金家井乡防火专项经费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森林防火督导任务完成率</w:t>
            </w:r>
          </w:p>
        </w:tc>
        <w:tc>
          <w:tcPr>
            <w:tcW w:w="5386" w:type="dxa"/>
            <w:vAlign w:val="center"/>
          </w:tcPr>
          <w:p>
            <w:pPr>
              <w:pStyle w:val="12"/>
            </w:pPr>
            <w:r>
              <w:t>森林防火督导任务完成率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运行保障成本</w:t>
            </w:r>
          </w:p>
        </w:tc>
        <w:tc>
          <w:tcPr>
            <w:tcW w:w="5386" w:type="dxa"/>
            <w:vAlign w:val="center"/>
          </w:tcPr>
          <w:p>
            <w:pPr>
              <w:pStyle w:val="12"/>
            </w:pPr>
            <w:r>
              <w:t>运行保障成本</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5、金家井乡防汛专项经费绩效目标表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13063025P006069100219</w:t>
            </w:r>
          </w:p>
        </w:tc>
        <w:tc>
          <w:tcPr>
            <w:tcW w:w="2835" w:type="dxa"/>
            <w:vAlign w:val="center"/>
          </w:tcPr>
          <w:p>
            <w:pPr>
              <w:pStyle w:val="10"/>
            </w:pPr>
            <w:r>
              <w:t>项目名称</w:t>
            </w:r>
          </w:p>
        </w:tc>
        <w:tc>
          <w:tcPr>
            <w:tcW w:w="6095" w:type="dxa"/>
            <w:gridSpan w:val="3"/>
            <w:vAlign w:val="center"/>
          </w:tcPr>
          <w:p>
            <w:pPr>
              <w:pStyle w:val="12"/>
            </w:pPr>
            <w:r>
              <w:t>金家井乡防汛专项经费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w:t>
            </w:r>
          </w:p>
        </w:tc>
        <w:tc>
          <w:tcPr>
            <w:tcW w:w="2835" w:type="dxa"/>
            <w:vAlign w:val="center"/>
          </w:tcPr>
          <w:p>
            <w:pPr>
              <w:pStyle w:val="13"/>
            </w:pPr>
            <w:r>
              <w:t>500000%</w:t>
            </w:r>
          </w:p>
        </w:tc>
        <w:tc>
          <w:tcPr>
            <w:tcW w:w="2551" w:type="dxa"/>
            <w:vAlign w:val="center"/>
          </w:tcPr>
          <w:p>
            <w:pPr>
              <w:pStyle w:val="13"/>
            </w:pPr>
            <w:r>
              <w:t>750000%</w:t>
            </w:r>
          </w:p>
        </w:tc>
        <w:tc>
          <w:tcPr>
            <w:tcW w:w="3544" w:type="dxa"/>
            <w:gridSpan w:val="2"/>
            <w:vAlign w:val="center"/>
          </w:tcPr>
          <w:p>
            <w:pPr>
              <w:pStyle w:val="13"/>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1.目标内容1：金家井乡防汛专项经费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防汛天数（≥**天）</w:t>
            </w:r>
          </w:p>
        </w:tc>
        <w:tc>
          <w:tcPr>
            <w:tcW w:w="5386" w:type="dxa"/>
            <w:vAlign w:val="center"/>
          </w:tcPr>
          <w:p>
            <w:pPr>
              <w:pStyle w:val="12"/>
            </w:pPr>
            <w:r>
              <w:t>防汛天数（≥**天）</w:t>
            </w:r>
          </w:p>
        </w:tc>
        <w:tc>
          <w:tcPr>
            <w:tcW w:w="2268" w:type="dxa"/>
            <w:vAlign w:val="center"/>
          </w:tcPr>
          <w:p>
            <w:pPr>
              <w:pStyle w:val="12"/>
            </w:pPr>
            <w:r>
              <w:t>≥100天</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服务水平</w:t>
            </w:r>
          </w:p>
        </w:tc>
        <w:tc>
          <w:tcPr>
            <w:tcW w:w="5386" w:type="dxa"/>
            <w:vAlign w:val="center"/>
          </w:tcPr>
          <w:p>
            <w:pPr>
              <w:pStyle w:val="12"/>
            </w:pPr>
            <w:r>
              <w:t>服务水平</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控制成本</w:t>
            </w:r>
          </w:p>
        </w:tc>
        <w:tc>
          <w:tcPr>
            <w:tcW w:w="5386" w:type="dxa"/>
            <w:vAlign w:val="center"/>
          </w:tcPr>
          <w:p>
            <w:pPr>
              <w:pStyle w:val="12"/>
            </w:pPr>
            <w:r>
              <w:t>控制成本</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消除隐患，保证安全度汛，减少人</w:t>
            </w:r>
          </w:p>
        </w:tc>
        <w:tc>
          <w:tcPr>
            <w:tcW w:w="5386" w:type="dxa"/>
            <w:vAlign w:val="center"/>
          </w:tcPr>
          <w:p>
            <w:pPr>
              <w:pStyle w:val="12"/>
            </w:pPr>
            <w:r>
              <w:t>消除隐患，保证安全度汛，减少人民生命和财产损失情况</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≥95%</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6、金家井乡服务群众专项经费绩效目标表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13063025P005588100506</w:t>
            </w:r>
          </w:p>
        </w:tc>
        <w:tc>
          <w:tcPr>
            <w:tcW w:w="2835" w:type="dxa"/>
            <w:vAlign w:val="center"/>
          </w:tcPr>
          <w:p>
            <w:pPr>
              <w:pStyle w:val="10"/>
            </w:pPr>
            <w:r>
              <w:t>项目名称</w:t>
            </w:r>
          </w:p>
        </w:tc>
        <w:tc>
          <w:tcPr>
            <w:tcW w:w="6095" w:type="dxa"/>
            <w:gridSpan w:val="3"/>
            <w:vAlign w:val="center"/>
          </w:tcPr>
          <w:p>
            <w:pPr>
              <w:pStyle w:val="12"/>
            </w:pPr>
            <w:r>
              <w:t>金家井乡服务群众专项经费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95.00</w:t>
            </w:r>
          </w:p>
        </w:tc>
        <w:tc>
          <w:tcPr>
            <w:tcW w:w="2835" w:type="dxa"/>
            <w:vAlign w:val="center"/>
          </w:tcPr>
          <w:p>
            <w:pPr>
              <w:pStyle w:val="10"/>
            </w:pPr>
            <w:r>
              <w:t>其中：财政    资金</w:t>
            </w:r>
          </w:p>
        </w:tc>
        <w:tc>
          <w:tcPr>
            <w:tcW w:w="2551" w:type="dxa"/>
            <w:vAlign w:val="center"/>
          </w:tcPr>
          <w:p>
            <w:pPr>
              <w:pStyle w:val="12"/>
            </w:pPr>
            <w:r>
              <w:t>95.00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用于金家井乡服务群众专项经费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w:t>
            </w:r>
          </w:p>
        </w:tc>
        <w:tc>
          <w:tcPr>
            <w:tcW w:w="2835" w:type="dxa"/>
            <w:vAlign w:val="center"/>
          </w:tcPr>
          <w:p>
            <w:pPr>
              <w:pStyle w:val="13"/>
            </w:pPr>
            <w:r>
              <w:t>500000%</w:t>
            </w:r>
          </w:p>
        </w:tc>
        <w:tc>
          <w:tcPr>
            <w:tcW w:w="2551" w:type="dxa"/>
            <w:vAlign w:val="center"/>
          </w:tcPr>
          <w:p>
            <w:pPr>
              <w:pStyle w:val="13"/>
            </w:pPr>
            <w:r>
              <w:t>750000%</w:t>
            </w:r>
          </w:p>
        </w:tc>
        <w:tc>
          <w:tcPr>
            <w:tcW w:w="3544" w:type="dxa"/>
            <w:gridSpan w:val="2"/>
            <w:vAlign w:val="center"/>
          </w:tcPr>
          <w:p>
            <w:pPr>
              <w:pStyle w:val="13"/>
            </w:pPr>
            <w:r>
              <w:t>950000%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5386" w:type="dxa"/>
            <w:vAlign w:val="center"/>
          </w:tcPr>
          <w:p>
            <w:pPr>
              <w:pStyle w:val="12"/>
            </w:pPr>
            <w:r>
              <w:t>资金发放率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增强服务保障能力。</w:t>
            </w:r>
          </w:p>
        </w:tc>
        <w:tc>
          <w:tcPr>
            <w:tcW w:w="5386" w:type="dxa"/>
            <w:vAlign w:val="center"/>
          </w:tcPr>
          <w:p>
            <w:pPr>
              <w:pStyle w:val="12"/>
            </w:pPr>
            <w:r>
              <w:t>增强服务保障能力。</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≥95百分比</w:t>
            </w:r>
          </w:p>
        </w:tc>
        <w:tc>
          <w:tcPr>
            <w:tcW w:w="1276" w:type="dxa"/>
            <w:vAlign w:val="center"/>
          </w:tcPr>
          <w:p>
            <w:pPr>
              <w:pStyle w:val="12"/>
            </w:pPr>
            <w:r>
              <w:t>根据预算安排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7、金家井乡计划生育专项经费绩效目标表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13063025P00385610025M</w:t>
            </w:r>
          </w:p>
        </w:tc>
        <w:tc>
          <w:tcPr>
            <w:tcW w:w="2835" w:type="dxa"/>
            <w:vAlign w:val="center"/>
          </w:tcPr>
          <w:p>
            <w:pPr>
              <w:pStyle w:val="10"/>
            </w:pPr>
            <w:r>
              <w:t>项目名称</w:t>
            </w:r>
          </w:p>
        </w:tc>
        <w:tc>
          <w:tcPr>
            <w:tcW w:w="6095" w:type="dxa"/>
            <w:gridSpan w:val="3"/>
            <w:vAlign w:val="center"/>
          </w:tcPr>
          <w:p>
            <w:pPr>
              <w:pStyle w:val="12"/>
            </w:pPr>
            <w:r>
              <w:t>金家井乡计划生育专项经费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1.34</w:t>
            </w:r>
          </w:p>
        </w:tc>
        <w:tc>
          <w:tcPr>
            <w:tcW w:w="2835" w:type="dxa"/>
            <w:vAlign w:val="center"/>
          </w:tcPr>
          <w:p>
            <w:pPr>
              <w:pStyle w:val="10"/>
            </w:pPr>
            <w:r>
              <w:t>其中：财政    资金</w:t>
            </w:r>
          </w:p>
        </w:tc>
        <w:tc>
          <w:tcPr>
            <w:tcW w:w="2551" w:type="dxa"/>
            <w:vAlign w:val="center"/>
          </w:tcPr>
          <w:p>
            <w:pPr>
              <w:pStyle w:val="12"/>
            </w:pPr>
            <w:r>
              <w:t>1.34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335000%</w:t>
            </w:r>
          </w:p>
        </w:tc>
        <w:tc>
          <w:tcPr>
            <w:tcW w:w="2835" w:type="dxa"/>
            <w:vAlign w:val="center"/>
          </w:tcPr>
          <w:p>
            <w:pPr>
              <w:pStyle w:val="13"/>
            </w:pPr>
            <w:r>
              <w:t>670000%</w:t>
            </w:r>
          </w:p>
        </w:tc>
        <w:tc>
          <w:tcPr>
            <w:tcW w:w="2551" w:type="dxa"/>
            <w:vAlign w:val="center"/>
          </w:tcPr>
          <w:p>
            <w:pPr>
              <w:pStyle w:val="13"/>
            </w:pPr>
            <w:r>
              <w:t>1005000%</w:t>
            </w:r>
          </w:p>
        </w:tc>
        <w:tc>
          <w:tcPr>
            <w:tcW w:w="3544" w:type="dxa"/>
            <w:gridSpan w:val="2"/>
            <w:vAlign w:val="center"/>
          </w:tcPr>
          <w:p>
            <w:pPr>
              <w:pStyle w:val="13"/>
            </w:pPr>
            <w:r>
              <w:t>1340000%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1.目标内容1：金家井乡计划生育专项经费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提高数据质量</w:t>
            </w:r>
          </w:p>
        </w:tc>
        <w:tc>
          <w:tcPr>
            <w:tcW w:w="5386" w:type="dxa"/>
            <w:vAlign w:val="center"/>
          </w:tcPr>
          <w:p>
            <w:pPr>
              <w:pStyle w:val="12"/>
            </w:pPr>
            <w:r>
              <w:t>提高数据质量</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保障业务工作情况</w:t>
            </w:r>
          </w:p>
        </w:tc>
        <w:tc>
          <w:tcPr>
            <w:tcW w:w="5386" w:type="dxa"/>
            <w:vAlign w:val="center"/>
          </w:tcPr>
          <w:p>
            <w:pPr>
              <w:pStyle w:val="12"/>
            </w:pPr>
            <w:r>
              <w:t>保障业务工作情况</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8、金家井乡民政统筹专项经费绩效目标表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13063025P003855100250</w:t>
            </w:r>
          </w:p>
        </w:tc>
        <w:tc>
          <w:tcPr>
            <w:tcW w:w="2835" w:type="dxa"/>
            <w:vAlign w:val="center"/>
          </w:tcPr>
          <w:p>
            <w:pPr>
              <w:pStyle w:val="10"/>
            </w:pPr>
            <w:r>
              <w:t>项目名称</w:t>
            </w:r>
          </w:p>
        </w:tc>
        <w:tc>
          <w:tcPr>
            <w:tcW w:w="6095" w:type="dxa"/>
            <w:gridSpan w:val="3"/>
            <w:vAlign w:val="center"/>
          </w:tcPr>
          <w:p>
            <w:pPr>
              <w:pStyle w:val="12"/>
            </w:pPr>
            <w:r>
              <w:t>金家井乡民政统筹专项经费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0.67</w:t>
            </w:r>
          </w:p>
        </w:tc>
        <w:tc>
          <w:tcPr>
            <w:tcW w:w="2835" w:type="dxa"/>
            <w:vAlign w:val="center"/>
          </w:tcPr>
          <w:p>
            <w:pPr>
              <w:pStyle w:val="10"/>
            </w:pPr>
            <w:r>
              <w:t>其中：财政    资金</w:t>
            </w:r>
          </w:p>
        </w:tc>
        <w:tc>
          <w:tcPr>
            <w:tcW w:w="2551" w:type="dxa"/>
            <w:vAlign w:val="center"/>
          </w:tcPr>
          <w:p>
            <w:pPr>
              <w:pStyle w:val="12"/>
            </w:pPr>
            <w:r>
              <w:t>0.67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167500%</w:t>
            </w:r>
          </w:p>
        </w:tc>
        <w:tc>
          <w:tcPr>
            <w:tcW w:w="2835" w:type="dxa"/>
            <w:vAlign w:val="center"/>
          </w:tcPr>
          <w:p>
            <w:pPr>
              <w:pStyle w:val="13"/>
            </w:pPr>
            <w:r>
              <w:t>335000%</w:t>
            </w:r>
          </w:p>
        </w:tc>
        <w:tc>
          <w:tcPr>
            <w:tcW w:w="2551" w:type="dxa"/>
            <w:vAlign w:val="center"/>
          </w:tcPr>
          <w:p>
            <w:pPr>
              <w:pStyle w:val="13"/>
            </w:pPr>
            <w:r>
              <w:t>502500%</w:t>
            </w:r>
          </w:p>
        </w:tc>
        <w:tc>
          <w:tcPr>
            <w:tcW w:w="3544" w:type="dxa"/>
            <w:gridSpan w:val="2"/>
            <w:vAlign w:val="center"/>
          </w:tcPr>
          <w:p>
            <w:pPr>
              <w:pStyle w:val="13"/>
            </w:pPr>
            <w:r>
              <w:t>670000%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1.目标内容1：金家井乡民政统筹专项经费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服务水平</w:t>
            </w:r>
          </w:p>
        </w:tc>
        <w:tc>
          <w:tcPr>
            <w:tcW w:w="5386" w:type="dxa"/>
            <w:vAlign w:val="center"/>
          </w:tcPr>
          <w:p>
            <w:pPr>
              <w:pStyle w:val="12"/>
            </w:pPr>
            <w:r>
              <w:t>服务水平</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9、金家井乡农村两委干部养老保险绩效目标表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13063025P00558810051R</w:t>
            </w:r>
          </w:p>
        </w:tc>
        <w:tc>
          <w:tcPr>
            <w:tcW w:w="2835" w:type="dxa"/>
            <w:vAlign w:val="center"/>
          </w:tcPr>
          <w:p>
            <w:pPr>
              <w:pStyle w:val="10"/>
            </w:pPr>
            <w:r>
              <w:t>项目名称</w:t>
            </w:r>
          </w:p>
        </w:tc>
        <w:tc>
          <w:tcPr>
            <w:tcW w:w="6095" w:type="dxa"/>
            <w:gridSpan w:val="3"/>
            <w:vAlign w:val="center"/>
          </w:tcPr>
          <w:p>
            <w:pPr>
              <w:pStyle w:val="12"/>
            </w:pPr>
            <w:r>
              <w:t>金家井乡农村两委干部养老保险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0.98</w:t>
            </w:r>
          </w:p>
        </w:tc>
        <w:tc>
          <w:tcPr>
            <w:tcW w:w="2835" w:type="dxa"/>
            <w:vAlign w:val="center"/>
          </w:tcPr>
          <w:p>
            <w:pPr>
              <w:pStyle w:val="10"/>
            </w:pPr>
            <w:r>
              <w:t>其中：财政    资金</w:t>
            </w:r>
          </w:p>
        </w:tc>
        <w:tc>
          <w:tcPr>
            <w:tcW w:w="2551" w:type="dxa"/>
            <w:vAlign w:val="center"/>
          </w:tcPr>
          <w:p>
            <w:pPr>
              <w:pStyle w:val="12"/>
            </w:pPr>
            <w:r>
              <w:t>0.98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用于金家井乡农村两委干部养老保险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w:t>
            </w:r>
          </w:p>
        </w:tc>
        <w:tc>
          <w:tcPr>
            <w:tcW w:w="2835" w:type="dxa"/>
            <w:vAlign w:val="center"/>
          </w:tcPr>
          <w:p>
            <w:pPr>
              <w:pStyle w:val="13"/>
            </w:pPr>
            <w:r>
              <w:t>500000%</w:t>
            </w:r>
          </w:p>
        </w:tc>
        <w:tc>
          <w:tcPr>
            <w:tcW w:w="2551" w:type="dxa"/>
            <w:vAlign w:val="center"/>
          </w:tcPr>
          <w:p>
            <w:pPr>
              <w:pStyle w:val="13"/>
            </w:pPr>
            <w:r>
              <w:t>750000%</w:t>
            </w:r>
          </w:p>
        </w:tc>
        <w:tc>
          <w:tcPr>
            <w:tcW w:w="3544" w:type="dxa"/>
            <w:gridSpan w:val="2"/>
            <w:vAlign w:val="center"/>
          </w:tcPr>
          <w:p>
            <w:pPr>
              <w:pStyle w:val="13"/>
            </w:pPr>
            <w:r>
              <w:t>980000%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5386" w:type="dxa"/>
            <w:vAlign w:val="center"/>
          </w:tcPr>
          <w:p>
            <w:pPr>
              <w:pStyle w:val="12"/>
            </w:pPr>
            <w:r>
              <w:t>资金发放率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增强服务保障能力。</w:t>
            </w:r>
          </w:p>
        </w:tc>
        <w:tc>
          <w:tcPr>
            <w:tcW w:w="5386" w:type="dxa"/>
            <w:vAlign w:val="center"/>
          </w:tcPr>
          <w:p>
            <w:pPr>
              <w:pStyle w:val="12"/>
            </w:pPr>
            <w:r>
              <w:t>增强服务保障能力。</w:t>
            </w:r>
          </w:p>
        </w:tc>
        <w:tc>
          <w:tcPr>
            <w:tcW w:w="2268" w:type="dxa"/>
            <w:vAlign w:val="center"/>
          </w:tcPr>
          <w:p>
            <w:pPr>
              <w:pStyle w:val="12"/>
            </w:pPr>
            <w:r>
              <w:t>≥95百分比</w:t>
            </w:r>
          </w:p>
        </w:tc>
        <w:tc>
          <w:tcPr>
            <w:tcW w:w="1276" w:type="dxa"/>
            <w:vAlign w:val="center"/>
          </w:tcPr>
          <w:p>
            <w:pPr>
              <w:pStyle w:val="12"/>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≥95百分比</w:t>
            </w:r>
          </w:p>
        </w:tc>
        <w:tc>
          <w:tcPr>
            <w:tcW w:w="1276" w:type="dxa"/>
            <w:vAlign w:val="center"/>
          </w:tcPr>
          <w:p>
            <w:pPr>
              <w:pStyle w:val="12"/>
            </w:pPr>
            <w:r>
              <w:t>根据预算安排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10、金家井乡卫生专项补助绩效目标表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13063025P00606710024Q</w:t>
            </w:r>
          </w:p>
        </w:tc>
        <w:tc>
          <w:tcPr>
            <w:tcW w:w="2835" w:type="dxa"/>
            <w:vAlign w:val="center"/>
          </w:tcPr>
          <w:p>
            <w:pPr>
              <w:pStyle w:val="10"/>
            </w:pPr>
            <w:r>
              <w:t>项目名称</w:t>
            </w:r>
          </w:p>
        </w:tc>
        <w:tc>
          <w:tcPr>
            <w:tcW w:w="6095" w:type="dxa"/>
            <w:gridSpan w:val="3"/>
            <w:vAlign w:val="center"/>
          </w:tcPr>
          <w:p>
            <w:pPr>
              <w:pStyle w:val="12"/>
            </w:pPr>
            <w:r>
              <w:t>金家井乡卫生专项补助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0.67</w:t>
            </w:r>
          </w:p>
        </w:tc>
        <w:tc>
          <w:tcPr>
            <w:tcW w:w="2835" w:type="dxa"/>
            <w:vAlign w:val="center"/>
          </w:tcPr>
          <w:p>
            <w:pPr>
              <w:pStyle w:val="10"/>
            </w:pPr>
            <w:r>
              <w:t>其中：财政    资金</w:t>
            </w:r>
          </w:p>
        </w:tc>
        <w:tc>
          <w:tcPr>
            <w:tcW w:w="2551" w:type="dxa"/>
            <w:vAlign w:val="center"/>
          </w:tcPr>
          <w:p>
            <w:pPr>
              <w:pStyle w:val="12"/>
            </w:pPr>
            <w:r>
              <w:t>0.67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167500%</w:t>
            </w:r>
          </w:p>
        </w:tc>
        <w:tc>
          <w:tcPr>
            <w:tcW w:w="2835" w:type="dxa"/>
            <w:vAlign w:val="center"/>
          </w:tcPr>
          <w:p>
            <w:pPr>
              <w:pStyle w:val="13"/>
            </w:pPr>
            <w:r>
              <w:t>335000%</w:t>
            </w:r>
          </w:p>
        </w:tc>
        <w:tc>
          <w:tcPr>
            <w:tcW w:w="2551" w:type="dxa"/>
            <w:vAlign w:val="center"/>
          </w:tcPr>
          <w:p>
            <w:pPr>
              <w:pStyle w:val="13"/>
            </w:pPr>
            <w:r>
              <w:t>502500%</w:t>
            </w:r>
          </w:p>
        </w:tc>
        <w:tc>
          <w:tcPr>
            <w:tcW w:w="3544" w:type="dxa"/>
            <w:gridSpan w:val="2"/>
            <w:vAlign w:val="center"/>
          </w:tcPr>
          <w:p>
            <w:pPr>
              <w:pStyle w:val="13"/>
            </w:pPr>
            <w:r>
              <w:t>670000%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1.目标内容1：金家井乡卫生专项补助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保障相关业务、工作等开展情况</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11、金家井乡武装工作经费绩效目标表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13063025P00607010004G</w:t>
            </w:r>
          </w:p>
        </w:tc>
        <w:tc>
          <w:tcPr>
            <w:tcW w:w="2835" w:type="dxa"/>
            <w:vAlign w:val="center"/>
          </w:tcPr>
          <w:p>
            <w:pPr>
              <w:pStyle w:val="10"/>
            </w:pPr>
            <w:r>
              <w:t>项目名称</w:t>
            </w:r>
          </w:p>
        </w:tc>
        <w:tc>
          <w:tcPr>
            <w:tcW w:w="6095" w:type="dxa"/>
            <w:gridSpan w:val="3"/>
            <w:vAlign w:val="center"/>
          </w:tcPr>
          <w:p>
            <w:pPr>
              <w:pStyle w:val="12"/>
            </w:pPr>
            <w:r>
              <w:t>金家井乡武装工作经费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w:t>
            </w:r>
          </w:p>
        </w:tc>
        <w:tc>
          <w:tcPr>
            <w:tcW w:w="2835" w:type="dxa"/>
            <w:vAlign w:val="center"/>
          </w:tcPr>
          <w:p>
            <w:pPr>
              <w:pStyle w:val="13"/>
            </w:pPr>
            <w:r>
              <w:t>500000%</w:t>
            </w:r>
          </w:p>
        </w:tc>
        <w:tc>
          <w:tcPr>
            <w:tcW w:w="2551" w:type="dxa"/>
            <w:vAlign w:val="center"/>
          </w:tcPr>
          <w:p>
            <w:pPr>
              <w:pStyle w:val="13"/>
            </w:pPr>
            <w:r>
              <w:t>750000%</w:t>
            </w:r>
          </w:p>
        </w:tc>
        <w:tc>
          <w:tcPr>
            <w:tcW w:w="3544" w:type="dxa"/>
            <w:gridSpan w:val="2"/>
            <w:vAlign w:val="center"/>
          </w:tcPr>
          <w:p>
            <w:pPr>
              <w:pStyle w:val="13"/>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1.目标内容1：金家井乡武装工作经费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服务水平</w:t>
            </w:r>
          </w:p>
        </w:tc>
        <w:tc>
          <w:tcPr>
            <w:tcW w:w="5386" w:type="dxa"/>
            <w:vAlign w:val="center"/>
          </w:tcPr>
          <w:p>
            <w:pPr>
              <w:pStyle w:val="12"/>
            </w:pPr>
            <w:r>
              <w:t>服务水平</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932" w:firstLineChars="333"/>
        <w:jc w:val="left"/>
        <w:outlineLvl w:val="9"/>
      </w:pPr>
      <w:r>
        <w:rPr>
          <w:rFonts w:ascii="Times New Roman" w:hAnsi="Times New Roman" w:eastAsia="方正仿宋_GBK" w:cs="Times New Roman"/>
          <w:b w:val="0"/>
          <w:color w:val="000000"/>
          <w:sz w:val="28"/>
        </w:rPr>
        <w:t>涞源县金家井乡人民政府本级上年末固定资产金额为</w:t>
      </w:r>
      <w:r>
        <w:rPr>
          <w:rFonts w:hint="eastAsia" w:eastAsia="方正仿宋_GBK" w:cs="Times New Roman"/>
          <w:b w:val="0"/>
          <w:color w:val="000000"/>
          <w:sz w:val="28"/>
          <w:lang w:val="en-US" w:eastAsia="zh-CN"/>
        </w:rPr>
        <w:t>156.22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pPr>
              <w:pStyle w:val="13"/>
            </w:pPr>
          </w:p>
        </w:tc>
        <w:tc>
          <w:tcPr>
            <w:tcW w:w="2835" w:type="dxa"/>
            <w:vAlign w:val="center"/>
          </w:tcPr>
          <w:p>
            <w:pPr>
              <w:pStyle w:val="11"/>
              <w:ind w:firstLine="0" w:firstLineChars="0"/>
              <w:rPr>
                <w:rFonts w:hint="default" w:ascii="方正书宋_GBK" w:hAnsi="方正书宋_GBK" w:eastAsia="方正书宋_GBK" w:cs="方正书宋_GBK"/>
                <w:sz w:val="21"/>
                <w:szCs w:val="24"/>
                <w:lang w:val="en-US" w:eastAsia="uk-UA" w:bidi="ar-SA"/>
              </w:rPr>
            </w:pPr>
            <w:r>
              <w:rPr>
                <w:rFonts w:hint="eastAsia"/>
                <w:lang w:val="en-US" w:eastAsia="zh-CN"/>
              </w:rPr>
              <w:t>161.61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pPr>
              <w:pStyle w:val="13"/>
              <w:ind w:firstLine="0" w:firstLineChars="0"/>
              <w:rPr>
                <w:rFonts w:ascii="方正书宋_GBK" w:hAnsi="方正书宋_GBK" w:eastAsia="方正书宋_GBK" w:cs="方正书宋_GBK"/>
                <w:sz w:val="21"/>
                <w:szCs w:val="24"/>
                <w:lang w:val="en-US" w:eastAsia="uk-UA" w:bidi="ar-SA"/>
              </w:rPr>
            </w:pPr>
            <w:r>
              <w:t>1000</w:t>
            </w:r>
          </w:p>
        </w:tc>
        <w:tc>
          <w:tcPr>
            <w:tcW w:w="2835" w:type="dxa"/>
            <w:vAlign w:val="center"/>
          </w:tcPr>
          <w:p>
            <w:pPr>
              <w:pStyle w:val="11"/>
              <w:ind w:firstLine="0" w:firstLineChars="0"/>
              <w:rPr>
                <w:rFonts w:ascii="方正书宋_GBK" w:hAnsi="方正书宋_GBK" w:eastAsia="方正书宋_GBK" w:cs="方正书宋_GBK"/>
                <w:sz w:val="21"/>
                <w:szCs w:val="24"/>
                <w:lang w:val="en-US" w:eastAsia="uk-UA" w:bidi="ar-SA"/>
              </w:rPr>
            </w:pPr>
            <w:r>
              <w:t>43.02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1000</w:t>
            </w:r>
          </w:p>
        </w:tc>
        <w:tc>
          <w:tcPr>
            <w:tcW w:w="2835" w:type="dxa"/>
            <w:vAlign w:val="center"/>
          </w:tcPr>
          <w:p>
            <w:pPr>
              <w:pStyle w:val="11"/>
              <w:ind w:firstLine="0" w:firstLineChars="0"/>
              <w:rPr>
                <w:rFonts w:hint="default" w:ascii="方正书宋_GBK" w:hAnsi="方正书宋_GBK" w:eastAsia="方正书宋_GBK" w:cs="方正书宋_GBK"/>
                <w:sz w:val="21"/>
                <w:szCs w:val="24"/>
                <w:lang w:val="en-US" w:eastAsia="uk-UA" w:bidi="ar-SA"/>
              </w:rPr>
            </w:pPr>
            <w:r>
              <w:rPr>
                <w:rFonts w:hint="eastAsia"/>
                <w:lang w:val="en-US" w:eastAsia="zh-CN"/>
              </w:rPr>
              <w:t>43.02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pPr>
              <w:pStyle w:val="13"/>
              <w:ind w:firstLine="0" w:firstLineChars="0"/>
              <w:rPr>
                <w:rFonts w:ascii="方正书宋_GBK" w:hAnsi="方正书宋_GBK" w:eastAsia="方正书宋_GBK" w:cs="方正书宋_GBK"/>
                <w:sz w:val="21"/>
                <w:szCs w:val="24"/>
                <w:lang w:val="en-US" w:eastAsia="uk-UA" w:bidi="ar-SA"/>
              </w:rPr>
            </w:pPr>
            <w:r>
              <w:t>13</w:t>
            </w:r>
          </w:p>
        </w:tc>
        <w:tc>
          <w:tcPr>
            <w:tcW w:w="2835" w:type="dxa"/>
            <w:vAlign w:val="center"/>
          </w:tcPr>
          <w:p>
            <w:pPr>
              <w:pStyle w:val="11"/>
              <w:ind w:firstLine="0" w:firstLineChars="0"/>
              <w:rPr>
                <w:rFonts w:hint="default" w:ascii="方正书宋_GBK" w:hAnsi="方正书宋_GBK" w:eastAsia="方正书宋_GBK" w:cs="方正书宋_GBK"/>
                <w:sz w:val="21"/>
                <w:szCs w:val="24"/>
                <w:lang w:val="en-US" w:eastAsia="uk-UA" w:bidi="ar-SA"/>
              </w:rPr>
            </w:pPr>
            <w:r>
              <w:rPr>
                <w:rFonts w:hint="eastAsia"/>
                <w:lang w:val="en-US" w:eastAsia="zh-CN"/>
              </w:rPr>
              <w:t>58.76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pPr>
              <w:pStyle w:val="13"/>
              <w:rPr>
                <w:rFonts w:hint="eastAsia" w:eastAsia="方正书宋_GBK"/>
                <w:lang w:val="en-US" w:eastAsia="zh-CN"/>
              </w:rPr>
            </w:pPr>
            <w:r>
              <w:rPr>
                <w:rFonts w:hint="eastAsia"/>
                <w:lang w:val="en-US" w:eastAsia="zh-CN"/>
              </w:rPr>
              <w:t>0</w:t>
            </w:r>
          </w:p>
        </w:tc>
        <w:tc>
          <w:tcPr>
            <w:tcW w:w="2835" w:type="dxa"/>
            <w:vAlign w:val="center"/>
          </w:tcPr>
          <w:p>
            <w:pPr>
              <w:pStyle w:val="11"/>
              <w:rPr>
                <w:rFonts w:hint="default" w:eastAsia="方正书宋_GBK"/>
                <w:lang w:val="en-US" w:eastAsia="zh-CN"/>
              </w:rPr>
            </w:pPr>
            <w:r>
              <w:rPr>
                <w:rFonts w:hint="eastAsia"/>
                <w:lang w:val="en-US" w:eastAsia="zh-CN"/>
              </w:rPr>
              <w:t>0.00</w:t>
            </w:r>
            <w:bookmarkStart w:id="1" w:name="_GoBack"/>
            <w:bookmarkEnd w:id="1"/>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pPr>
              <w:pStyle w:val="13"/>
              <w:ind w:firstLine="0" w:firstLineChars="0"/>
              <w:rPr>
                <w:rFonts w:hint="default"/>
                <w:lang w:val="en-US"/>
              </w:rPr>
            </w:pPr>
            <w:r>
              <w:rPr>
                <w:rFonts w:hint="eastAsia"/>
                <w:lang w:val="en-US" w:eastAsia="zh-CN"/>
              </w:rPr>
              <w:t>247</w:t>
            </w:r>
          </w:p>
        </w:tc>
        <w:tc>
          <w:tcPr>
            <w:tcW w:w="2835" w:type="dxa"/>
            <w:vAlign w:val="center"/>
          </w:tcPr>
          <w:p>
            <w:pPr>
              <w:pStyle w:val="11"/>
              <w:ind w:firstLine="0" w:firstLineChars="0"/>
              <w:rPr>
                <w:rFonts w:hint="default" w:eastAsia="方正书宋_GBK"/>
                <w:lang w:val="en-US" w:eastAsia="zh-CN"/>
              </w:rPr>
            </w:pPr>
            <w:r>
              <w:rPr>
                <w:rFonts w:hint="eastAsia"/>
                <w:lang w:val="en-US" w:eastAsia="zh-CN"/>
              </w:rPr>
              <w:t>59.83</w:t>
            </w:r>
          </w:p>
        </w:tc>
      </w:tr>
    </w:tbl>
    <w:p>
      <w:pPr>
        <w:spacing w:before="0" w:after="0"/>
        <w:jc w:val="left"/>
        <w:outlineLvl w:val="9"/>
      </w:pP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2A0071"/>
    <w:multiLevelType w:val="singleLevel"/>
    <w:tmpl w:val="302A007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GFhMjQxNjA1ZTMyNWY5ZjcwYTQ3MTg2YjZlNDMzZjIifQ=="/>
  </w:docVars>
  <w:rsids>
    <w:rsidRoot w:val="00000000"/>
    <w:rsid w:val="053A4F12"/>
    <w:rsid w:val="0783117E"/>
    <w:rsid w:val="09E638BB"/>
    <w:rsid w:val="0B1C3A38"/>
    <w:rsid w:val="118F201A"/>
    <w:rsid w:val="129765F7"/>
    <w:rsid w:val="1DF54412"/>
    <w:rsid w:val="229210CE"/>
    <w:rsid w:val="24762CCD"/>
    <w:rsid w:val="25201F1F"/>
    <w:rsid w:val="2F26688E"/>
    <w:rsid w:val="30D327E3"/>
    <w:rsid w:val="394238D8"/>
    <w:rsid w:val="39445D84"/>
    <w:rsid w:val="3C2C3741"/>
    <w:rsid w:val="3CCA034E"/>
    <w:rsid w:val="43803E5D"/>
    <w:rsid w:val="44DA70D8"/>
    <w:rsid w:val="4674757D"/>
    <w:rsid w:val="4760647F"/>
    <w:rsid w:val="49D92519"/>
    <w:rsid w:val="4CAA019C"/>
    <w:rsid w:val="4D0A0B12"/>
    <w:rsid w:val="4E487C6D"/>
    <w:rsid w:val="56E10C5F"/>
    <w:rsid w:val="5C1A519F"/>
    <w:rsid w:val="67C56F71"/>
    <w:rsid w:val="6EF32E85"/>
    <w:rsid w:val="7D311748"/>
    <w:rsid w:val="7D814CF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TotalTime>6</TotalTime>
  <ScaleCrop>false</ScaleCrop>
  <LinksUpToDate>false</LinksUpToDate>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2025-02-19T11:35:00Z</dcterms:created>
  <dc:creator>dell</dc:creator>
  <cp:lastModifiedBy>dell</cp:lastModifiedBy>
  <dcterms:modified xsi:type="dcterms:W3CDTF">2025-02-20T05:35:55Z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BCE95C1C41AF49E09D000D53D3292872_12</vt:lpwstr>
  </property>
</Properties>
</file>