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31</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31</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31</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32</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990涞源县金家井乡人民政府</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771.03</w:t>
            </w:r>
          </w:p>
        </w:tc>
        <w:tc>
          <w:tcPr>
            <w:tcW w:w="4535" w:type="dxa"/>
            <w:vAlign w:val="center"/>
          </w:tcPr>
          <w:p>
            <w:pPr>
              <w:pStyle w:val="13"/>
            </w:pPr>
            <w:r>
              <w:t>一、一般公共服务支出</w:t>
            </w:r>
          </w:p>
        </w:tc>
        <w:tc>
          <w:tcPr>
            <w:tcW w:w="2126" w:type="dxa"/>
            <w:vAlign w:val="center"/>
          </w:tcPr>
          <w:p>
            <w:pPr>
              <w:pStyle w:val="12"/>
            </w:pPr>
            <w:r>
              <w:t>504.80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r>
              <w:t>160.00</w:t>
            </w: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114.62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115.98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26.62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931.03</w:t>
            </w:r>
          </w:p>
        </w:tc>
        <w:tc>
          <w:tcPr>
            <w:tcW w:w="4535" w:type="dxa"/>
            <w:vAlign w:val="center"/>
          </w:tcPr>
          <w:p>
            <w:pPr>
              <w:pStyle w:val="15"/>
            </w:pPr>
            <w:r>
              <w:t>本年支出合计</w:t>
            </w:r>
          </w:p>
        </w:tc>
        <w:tc>
          <w:tcPr>
            <w:tcW w:w="2126" w:type="dxa"/>
            <w:vAlign w:val="center"/>
          </w:tcPr>
          <w:p>
            <w:pPr>
              <w:pStyle w:val="16"/>
            </w:pPr>
            <w:r>
              <w:t>931.03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931.03</w:t>
            </w:r>
          </w:p>
        </w:tc>
        <w:tc>
          <w:tcPr>
            <w:tcW w:w="4535" w:type="dxa"/>
            <w:vAlign w:val="center"/>
          </w:tcPr>
          <w:p>
            <w:pPr>
              <w:pStyle w:val="15"/>
            </w:pPr>
            <w:r>
              <w:t>支出总计</w:t>
            </w:r>
          </w:p>
        </w:tc>
        <w:tc>
          <w:tcPr>
            <w:tcW w:w="2126" w:type="dxa"/>
            <w:vAlign w:val="center"/>
          </w:tcPr>
          <w:p>
            <w:pPr>
              <w:pStyle w:val="16"/>
            </w:pPr>
            <w:r>
              <w:t>931.03</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990涞源县金家井乡人民政府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931.03</w:t>
            </w:r>
          </w:p>
        </w:tc>
        <w:tc>
          <w:tcPr>
            <w:tcW w:w="1134" w:type="dxa"/>
            <w:vAlign w:val="center"/>
          </w:tcPr>
          <w:p>
            <w:pPr>
              <w:pStyle w:val="16"/>
            </w:pPr>
            <w:r>
              <w:t>931.03</w:t>
            </w:r>
          </w:p>
        </w:tc>
        <w:tc>
          <w:tcPr>
            <w:tcW w:w="1134" w:type="dxa"/>
            <w:vAlign w:val="center"/>
          </w:tcPr>
          <w:p>
            <w:pPr>
              <w:pStyle w:val="16"/>
            </w:pPr>
            <w:r>
              <w:t>931.03</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504.80</w:t>
            </w:r>
          </w:p>
        </w:tc>
        <w:tc>
          <w:tcPr>
            <w:tcW w:w="1134" w:type="dxa"/>
            <w:vAlign w:val="center"/>
          </w:tcPr>
          <w:p>
            <w:pPr>
              <w:pStyle w:val="12"/>
            </w:pPr>
            <w:r>
              <w:t>504.80</w:t>
            </w:r>
          </w:p>
        </w:tc>
        <w:tc>
          <w:tcPr>
            <w:tcW w:w="1134" w:type="dxa"/>
            <w:vAlign w:val="center"/>
          </w:tcPr>
          <w:p>
            <w:pPr>
              <w:pStyle w:val="12"/>
            </w:pPr>
            <w:r>
              <w:t>504.80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504.80</w:t>
            </w:r>
          </w:p>
        </w:tc>
        <w:tc>
          <w:tcPr>
            <w:tcW w:w="1134" w:type="dxa"/>
            <w:vAlign w:val="center"/>
          </w:tcPr>
          <w:p>
            <w:pPr>
              <w:pStyle w:val="12"/>
            </w:pPr>
            <w:r>
              <w:t>504.80</w:t>
            </w:r>
          </w:p>
        </w:tc>
        <w:tc>
          <w:tcPr>
            <w:tcW w:w="1134" w:type="dxa"/>
            <w:vAlign w:val="center"/>
          </w:tcPr>
          <w:p>
            <w:pPr>
              <w:pStyle w:val="12"/>
            </w:pPr>
            <w:r>
              <w:t>504.80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503.80</w:t>
            </w:r>
          </w:p>
        </w:tc>
        <w:tc>
          <w:tcPr>
            <w:tcW w:w="1134" w:type="dxa"/>
            <w:vAlign w:val="center"/>
          </w:tcPr>
          <w:p>
            <w:pPr>
              <w:pStyle w:val="12"/>
            </w:pPr>
            <w:r>
              <w:t>503.80</w:t>
            </w:r>
          </w:p>
        </w:tc>
        <w:tc>
          <w:tcPr>
            <w:tcW w:w="1134" w:type="dxa"/>
            <w:vAlign w:val="center"/>
          </w:tcPr>
          <w:p>
            <w:pPr>
              <w:pStyle w:val="12"/>
            </w:pPr>
            <w:r>
              <w:t>503.80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2010399</w:t>
            </w:r>
          </w:p>
        </w:tc>
        <w:tc>
          <w:tcPr>
            <w:tcW w:w="1559" w:type="dxa"/>
            <w:vAlign w:val="center"/>
          </w:tcPr>
          <w:p>
            <w:pPr>
              <w:pStyle w:val="13"/>
            </w:pPr>
            <w:r>
              <w:t>其他政府办公厅（室）及相关机构事务支出</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206</w:t>
            </w:r>
          </w:p>
        </w:tc>
        <w:tc>
          <w:tcPr>
            <w:tcW w:w="1559" w:type="dxa"/>
            <w:vAlign w:val="center"/>
          </w:tcPr>
          <w:p>
            <w:pPr>
              <w:pStyle w:val="13"/>
            </w:pPr>
            <w:r>
              <w:t>科学技术支出</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20605</w:t>
            </w:r>
          </w:p>
        </w:tc>
        <w:tc>
          <w:tcPr>
            <w:tcW w:w="1559" w:type="dxa"/>
            <w:vAlign w:val="center"/>
          </w:tcPr>
          <w:p>
            <w:pPr>
              <w:pStyle w:val="13"/>
            </w:pPr>
            <w:r>
              <w:t>科技条件与服务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2060502</w:t>
            </w:r>
          </w:p>
        </w:tc>
        <w:tc>
          <w:tcPr>
            <w:tcW w:w="1559" w:type="dxa"/>
            <w:vAlign w:val="center"/>
          </w:tcPr>
          <w:p>
            <w:pPr>
              <w:pStyle w:val="13"/>
            </w:pPr>
            <w:r>
              <w:t>技术创新服务体系</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114.62</w:t>
            </w:r>
          </w:p>
        </w:tc>
        <w:tc>
          <w:tcPr>
            <w:tcW w:w="1134" w:type="dxa"/>
            <w:vAlign w:val="center"/>
          </w:tcPr>
          <w:p>
            <w:pPr>
              <w:pStyle w:val="12"/>
            </w:pPr>
            <w:r>
              <w:t>114.62</w:t>
            </w:r>
          </w:p>
        </w:tc>
        <w:tc>
          <w:tcPr>
            <w:tcW w:w="1134" w:type="dxa"/>
            <w:vAlign w:val="center"/>
          </w:tcPr>
          <w:p>
            <w:pPr>
              <w:pStyle w:val="12"/>
            </w:pPr>
            <w:r>
              <w:t>114.62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20802</w:t>
            </w:r>
          </w:p>
        </w:tc>
        <w:tc>
          <w:tcPr>
            <w:tcW w:w="1559" w:type="dxa"/>
            <w:vAlign w:val="center"/>
          </w:tcPr>
          <w:p>
            <w:pPr>
              <w:pStyle w:val="13"/>
            </w:pPr>
            <w:r>
              <w:t>民政管理事务</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2080299</w:t>
            </w:r>
          </w:p>
        </w:tc>
        <w:tc>
          <w:tcPr>
            <w:tcW w:w="1559" w:type="dxa"/>
            <w:vAlign w:val="center"/>
          </w:tcPr>
          <w:p>
            <w:pPr>
              <w:pStyle w:val="13"/>
            </w:pPr>
            <w:r>
              <w:t>其他民政管理事务支出</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113.95</w:t>
            </w:r>
          </w:p>
        </w:tc>
        <w:tc>
          <w:tcPr>
            <w:tcW w:w="1134" w:type="dxa"/>
            <w:vAlign w:val="center"/>
          </w:tcPr>
          <w:p>
            <w:pPr>
              <w:pStyle w:val="12"/>
            </w:pPr>
            <w:r>
              <w:t>113.95</w:t>
            </w:r>
          </w:p>
        </w:tc>
        <w:tc>
          <w:tcPr>
            <w:tcW w:w="1134" w:type="dxa"/>
            <w:vAlign w:val="center"/>
          </w:tcPr>
          <w:p>
            <w:pPr>
              <w:pStyle w:val="12"/>
            </w:pPr>
            <w:r>
              <w:t>113.95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31.67</w:t>
            </w:r>
          </w:p>
        </w:tc>
        <w:tc>
          <w:tcPr>
            <w:tcW w:w="1134" w:type="dxa"/>
            <w:vAlign w:val="center"/>
          </w:tcPr>
          <w:p>
            <w:pPr>
              <w:pStyle w:val="12"/>
            </w:pPr>
            <w:r>
              <w:t>31.67</w:t>
            </w:r>
          </w:p>
        </w:tc>
        <w:tc>
          <w:tcPr>
            <w:tcW w:w="1134" w:type="dxa"/>
            <w:vAlign w:val="center"/>
          </w:tcPr>
          <w:p>
            <w:pPr>
              <w:pStyle w:val="12"/>
            </w:pPr>
            <w:r>
              <w:t>31.67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54.85</w:t>
            </w:r>
          </w:p>
        </w:tc>
        <w:tc>
          <w:tcPr>
            <w:tcW w:w="1134" w:type="dxa"/>
            <w:vAlign w:val="center"/>
          </w:tcPr>
          <w:p>
            <w:pPr>
              <w:pStyle w:val="12"/>
            </w:pPr>
            <w:r>
              <w:t>54.85</w:t>
            </w:r>
          </w:p>
        </w:tc>
        <w:tc>
          <w:tcPr>
            <w:tcW w:w="1134" w:type="dxa"/>
            <w:vAlign w:val="center"/>
          </w:tcPr>
          <w:p>
            <w:pPr>
              <w:pStyle w:val="12"/>
            </w:pPr>
            <w:r>
              <w:t>54.85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27.43</w:t>
            </w:r>
          </w:p>
        </w:tc>
        <w:tc>
          <w:tcPr>
            <w:tcW w:w="1134" w:type="dxa"/>
            <w:vAlign w:val="center"/>
          </w:tcPr>
          <w:p>
            <w:pPr>
              <w:pStyle w:val="12"/>
            </w:pPr>
            <w:r>
              <w:t>27.43</w:t>
            </w:r>
          </w:p>
        </w:tc>
        <w:tc>
          <w:tcPr>
            <w:tcW w:w="1134" w:type="dxa"/>
            <w:vAlign w:val="center"/>
          </w:tcPr>
          <w:p>
            <w:pPr>
              <w:pStyle w:val="12"/>
            </w:pPr>
            <w:r>
              <w:t>27.43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2.01</w:t>
            </w:r>
          </w:p>
        </w:tc>
        <w:tc>
          <w:tcPr>
            <w:tcW w:w="1134" w:type="dxa"/>
            <w:vAlign w:val="center"/>
          </w:tcPr>
          <w:p>
            <w:pPr>
              <w:pStyle w:val="12"/>
            </w:pPr>
            <w:r>
              <w:t>2.01</w:t>
            </w:r>
          </w:p>
        </w:tc>
        <w:tc>
          <w:tcPr>
            <w:tcW w:w="1134" w:type="dxa"/>
            <w:vAlign w:val="center"/>
          </w:tcPr>
          <w:p>
            <w:pPr>
              <w:pStyle w:val="12"/>
            </w:pPr>
            <w:r>
              <w:t>2.01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r>
              <w:t>1.34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21099</w:t>
            </w:r>
          </w:p>
        </w:tc>
        <w:tc>
          <w:tcPr>
            <w:tcW w:w="1559" w:type="dxa"/>
            <w:vAlign w:val="center"/>
          </w:tcPr>
          <w:p>
            <w:pPr>
              <w:pStyle w:val="13"/>
            </w:pPr>
            <w:r>
              <w:t>其他卫生健康支出</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2109999</w:t>
            </w:r>
          </w:p>
        </w:tc>
        <w:tc>
          <w:tcPr>
            <w:tcW w:w="1559" w:type="dxa"/>
            <w:vAlign w:val="center"/>
          </w:tcPr>
          <w:p>
            <w:pPr>
              <w:pStyle w:val="13"/>
            </w:pPr>
            <w:r>
              <w:t>其他卫生健康支出</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r>
              <w:t>0.67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115.98</w:t>
            </w:r>
          </w:p>
        </w:tc>
        <w:tc>
          <w:tcPr>
            <w:tcW w:w="1134" w:type="dxa"/>
            <w:vAlign w:val="center"/>
          </w:tcPr>
          <w:p>
            <w:pPr>
              <w:pStyle w:val="12"/>
            </w:pPr>
            <w:r>
              <w:t>115.98</w:t>
            </w:r>
          </w:p>
        </w:tc>
        <w:tc>
          <w:tcPr>
            <w:tcW w:w="1134" w:type="dxa"/>
            <w:vAlign w:val="center"/>
          </w:tcPr>
          <w:p>
            <w:pPr>
              <w:pStyle w:val="12"/>
            </w:pPr>
            <w:r>
              <w:t>115.98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114.98</w:t>
            </w:r>
          </w:p>
        </w:tc>
        <w:tc>
          <w:tcPr>
            <w:tcW w:w="1134" w:type="dxa"/>
            <w:vAlign w:val="center"/>
          </w:tcPr>
          <w:p>
            <w:pPr>
              <w:pStyle w:val="12"/>
            </w:pPr>
            <w:r>
              <w:t>114.98</w:t>
            </w:r>
          </w:p>
        </w:tc>
        <w:tc>
          <w:tcPr>
            <w:tcW w:w="1134" w:type="dxa"/>
            <w:vAlign w:val="center"/>
          </w:tcPr>
          <w:p>
            <w:pPr>
              <w:pStyle w:val="12"/>
            </w:pPr>
            <w:r>
              <w:t>114.98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114.98</w:t>
            </w:r>
          </w:p>
        </w:tc>
        <w:tc>
          <w:tcPr>
            <w:tcW w:w="1134" w:type="dxa"/>
            <w:vAlign w:val="center"/>
          </w:tcPr>
          <w:p>
            <w:pPr>
              <w:pStyle w:val="12"/>
            </w:pPr>
            <w:r>
              <w:t>114.98</w:t>
            </w:r>
          </w:p>
        </w:tc>
        <w:tc>
          <w:tcPr>
            <w:tcW w:w="1134" w:type="dxa"/>
            <w:vAlign w:val="center"/>
          </w:tcPr>
          <w:p>
            <w:pPr>
              <w:pStyle w:val="12"/>
            </w:pPr>
            <w:r>
              <w:t>114.98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26.62</w:t>
            </w:r>
          </w:p>
        </w:tc>
        <w:tc>
          <w:tcPr>
            <w:tcW w:w="1134" w:type="dxa"/>
            <w:vAlign w:val="center"/>
          </w:tcPr>
          <w:p>
            <w:pPr>
              <w:pStyle w:val="12"/>
            </w:pPr>
            <w:r>
              <w:t>26.62</w:t>
            </w:r>
          </w:p>
        </w:tc>
        <w:tc>
          <w:tcPr>
            <w:tcW w:w="1134" w:type="dxa"/>
            <w:vAlign w:val="center"/>
          </w:tcPr>
          <w:p>
            <w:pPr>
              <w:pStyle w:val="12"/>
            </w:pPr>
            <w:r>
              <w:t>26.62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26.62</w:t>
            </w:r>
          </w:p>
        </w:tc>
        <w:tc>
          <w:tcPr>
            <w:tcW w:w="1134" w:type="dxa"/>
            <w:vAlign w:val="center"/>
          </w:tcPr>
          <w:p>
            <w:pPr>
              <w:pStyle w:val="12"/>
            </w:pPr>
            <w:r>
              <w:t>26.62</w:t>
            </w:r>
          </w:p>
        </w:tc>
        <w:tc>
          <w:tcPr>
            <w:tcW w:w="1134" w:type="dxa"/>
            <w:vAlign w:val="center"/>
          </w:tcPr>
          <w:p>
            <w:pPr>
              <w:pStyle w:val="12"/>
            </w:pPr>
            <w:r>
              <w:t>26.62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26.62</w:t>
            </w:r>
          </w:p>
        </w:tc>
        <w:tc>
          <w:tcPr>
            <w:tcW w:w="1134" w:type="dxa"/>
            <w:vAlign w:val="center"/>
          </w:tcPr>
          <w:p>
            <w:pPr>
              <w:pStyle w:val="12"/>
            </w:pPr>
            <w:r>
              <w:t>26.62</w:t>
            </w:r>
          </w:p>
        </w:tc>
        <w:tc>
          <w:tcPr>
            <w:tcW w:w="1134" w:type="dxa"/>
            <w:vAlign w:val="center"/>
          </w:tcPr>
          <w:p>
            <w:pPr>
              <w:pStyle w:val="12"/>
            </w:pPr>
            <w:r>
              <w:t>26.62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2240104</w:t>
            </w:r>
          </w:p>
        </w:tc>
        <w:tc>
          <w:tcPr>
            <w:tcW w:w="1559" w:type="dxa"/>
            <w:vAlign w:val="center"/>
          </w:tcPr>
          <w:p>
            <w:pPr>
              <w:pStyle w:val="13"/>
            </w:pPr>
            <w:r>
              <w:t>灾害风险防治</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229</w:t>
            </w:r>
          </w:p>
        </w:tc>
        <w:tc>
          <w:tcPr>
            <w:tcW w:w="1559" w:type="dxa"/>
            <w:vAlign w:val="center"/>
          </w:tcPr>
          <w:p>
            <w:pPr>
              <w:pStyle w:val="13"/>
            </w:pPr>
            <w:r>
              <w:t>其他支出</w:t>
            </w:r>
          </w:p>
        </w:tc>
        <w:tc>
          <w:tcPr>
            <w:tcW w:w="1134" w:type="dxa"/>
            <w:vAlign w:val="center"/>
          </w:tcPr>
          <w:p>
            <w:pPr>
              <w:pStyle w:val="12"/>
            </w:pPr>
            <w:r>
              <w:t>160.00</w:t>
            </w:r>
          </w:p>
        </w:tc>
        <w:tc>
          <w:tcPr>
            <w:tcW w:w="1134" w:type="dxa"/>
            <w:vAlign w:val="center"/>
          </w:tcPr>
          <w:p>
            <w:pPr>
              <w:pStyle w:val="12"/>
            </w:pPr>
            <w:r>
              <w:t>160.00</w:t>
            </w:r>
          </w:p>
        </w:tc>
        <w:tc>
          <w:tcPr>
            <w:tcW w:w="1134" w:type="dxa"/>
            <w:vAlign w:val="center"/>
          </w:tcPr>
          <w:p>
            <w:pPr>
              <w:pStyle w:val="12"/>
            </w:pPr>
            <w:r>
              <w:t>160.00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22960</w:t>
            </w:r>
          </w:p>
        </w:tc>
        <w:tc>
          <w:tcPr>
            <w:tcW w:w="1559" w:type="dxa"/>
            <w:vAlign w:val="center"/>
          </w:tcPr>
          <w:p>
            <w:pPr>
              <w:pStyle w:val="13"/>
            </w:pPr>
            <w:r>
              <w:t>彩票公益金安排的支出</w:t>
            </w:r>
          </w:p>
        </w:tc>
        <w:tc>
          <w:tcPr>
            <w:tcW w:w="1134" w:type="dxa"/>
            <w:vAlign w:val="center"/>
          </w:tcPr>
          <w:p>
            <w:pPr>
              <w:pStyle w:val="12"/>
            </w:pPr>
            <w:r>
              <w:t>160.00</w:t>
            </w:r>
          </w:p>
        </w:tc>
        <w:tc>
          <w:tcPr>
            <w:tcW w:w="1134" w:type="dxa"/>
            <w:vAlign w:val="center"/>
          </w:tcPr>
          <w:p>
            <w:pPr>
              <w:pStyle w:val="12"/>
            </w:pPr>
            <w:r>
              <w:t>160.00</w:t>
            </w:r>
          </w:p>
        </w:tc>
        <w:tc>
          <w:tcPr>
            <w:tcW w:w="1134" w:type="dxa"/>
            <w:vAlign w:val="center"/>
          </w:tcPr>
          <w:p>
            <w:pPr>
              <w:pStyle w:val="12"/>
            </w:pPr>
            <w:r>
              <w:t>160.00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992" w:type="dxa"/>
            <w:vAlign w:val="center"/>
          </w:tcPr>
          <w:p>
            <w:pPr>
              <w:pStyle w:val="13"/>
            </w:pPr>
            <w:r>
              <w:t>2296099</w:t>
            </w:r>
          </w:p>
        </w:tc>
        <w:tc>
          <w:tcPr>
            <w:tcW w:w="1559" w:type="dxa"/>
            <w:vAlign w:val="center"/>
          </w:tcPr>
          <w:p>
            <w:pPr>
              <w:pStyle w:val="13"/>
            </w:pPr>
            <w:r>
              <w:t>用于其他社会公益事业的彩票公益金支出</w:t>
            </w:r>
          </w:p>
        </w:tc>
        <w:tc>
          <w:tcPr>
            <w:tcW w:w="1134" w:type="dxa"/>
            <w:vAlign w:val="center"/>
          </w:tcPr>
          <w:p>
            <w:pPr>
              <w:pStyle w:val="12"/>
            </w:pPr>
            <w:r>
              <w:t>160.00</w:t>
            </w:r>
          </w:p>
        </w:tc>
        <w:tc>
          <w:tcPr>
            <w:tcW w:w="1134" w:type="dxa"/>
            <w:vAlign w:val="center"/>
          </w:tcPr>
          <w:p>
            <w:pPr>
              <w:pStyle w:val="12"/>
            </w:pPr>
            <w:r>
              <w:t>160.00</w:t>
            </w:r>
          </w:p>
        </w:tc>
        <w:tc>
          <w:tcPr>
            <w:tcW w:w="1134" w:type="dxa"/>
            <w:vAlign w:val="center"/>
          </w:tcPr>
          <w:p>
            <w:pPr>
              <w:pStyle w:val="12"/>
            </w:pPr>
            <w:r>
              <w:t>160.00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931.03</w:t>
            </w:r>
          </w:p>
        </w:tc>
        <w:tc>
          <w:tcPr>
            <w:tcW w:w="1361" w:type="dxa"/>
            <w:vAlign w:val="center"/>
          </w:tcPr>
          <w:p>
            <w:pPr>
              <w:pStyle w:val="16"/>
            </w:pPr>
            <w:r>
              <w:t>644.37</w:t>
            </w:r>
          </w:p>
        </w:tc>
        <w:tc>
          <w:tcPr>
            <w:tcW w:w="1361" w:type="dxa"/>
            <w:vAlign w:val="center"/>
          </w:tcPr>
          <w:p>
            <w:pPr>
              <w:pStyle w:val="16"/>
            </w:pPr>
            <w:r>
              <w:t>286.66</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504.80</w:t>
            </w:r>
          </w:p>
        </w:tc>
        <w:tc>
          <w:tcPr>
            <w:tcW w:w="1361" w:type="dxa"/>
            <w:vAlign w:val="center"/>
          </w:tcPr>
          <w:p>
            <w:pPr>
              <w:pStyle w:val="12"/>
            </w:pPr>
            <w:r>
              <w:t>503.80</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504.80</w:t>
            </w:r>
          </w:p>
        </w:tc>
        <w:tc>
          <w:tcPr>
            <w:tcW w:w="1361" w:type="dxa"/>
            <w:vAlign w:val="center"/>
          </w:tcPr>
          <w:p>
            <w:pPr>
              <w:pStyle w:val="12"/>
            </w:pPr>
            <w:r>
              <w:t>503.80</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503.80</w:t>
            </w:r>
          </w:p>
        </w:tc>
        <w:tc>
          <w:tcPr>
            <w:tcW w:w="1361" w:type="dxa"/>
            <w:vAlign w:val="center"/>
          </w:tcPr>
          <w:p>
            <w:pPr>
              <w:pStyle w:val="12"/>
            </w:pPr>
            <w:r>
              <w:t>503.80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2010399</w:t>
            </w:r>
          </w:p>
        </w:tc>
        <w:tc>
          <w:tcPr>
            <w:tcW w:w="4535" w:type="dxa"/>
            <w:vAlign w:val="center"/>
          </w:tcPr>
          <w:p>
            <w:pPr>
              <w:pStyle w:val="13"/>
            </w:pPr>
            <w:r>
              <w:t>其他政府办公厅（室）及相关机构事务支出</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206</w:t>
            </w:r>
          </w:p>
        </w:tc>
        <w:tc>
          <w:tcPr>
            <w:tcW w:w="4535" w:type="dxa"/>
            <w:vAlign w:val="center"/>
          </w:tcPr>
          <w:p>
            <w:pPr>
              <w:pStyle w:val="13"/>
            </w:pPr>
            <w:r>
              <w:t>科学技术支出</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20605</w:t>
            </w:r>
          </w:p>
        </w:tc>
        <w:tc>
          <w:tcPr>
            <w:tcW w:w="4535" w:type="dxa"/>
            <w:vAlign w:val="center"/>
          </w:tcPr>
          <w:p>
            <w:pPr>
              <w:pStyle w:val="13"/>
            </w:pPr>
            <w:r>
              <w:t>科技条件与服务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2060502</w:t>
            </w:r>
          </w:p>
        </w:tc>
        <w:tc>
          <w:tcPr>
            <w:tcW w:w="4535" w:type="dxa"/>
            <w:vAlign w:val="center"/>
          </w:tcPr>
          <w:p>
            <w:pPr>
              <w:pStyle w:val="13"/>
            </w:pPr>
            <w:r>
              <w:t>技术创新服务体系</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114.62</w:t>
            </w:r>
          </w:p>
        </w:tc>
        <w:tc>
          <w:tcPr>
            <w:tcW w:w="1361" w:type="dxa"/>
            <w:vAlign w:val="center"/>
          </w:tcPr>
          <w:p>
            <w:pPr>
              <w:pStyle w:val="12"/>
            </w:pPr>
            <w:r>
              <w:t>113.95</w:t>
            </w: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20802</w:t>
            </w:r>
          </w:p>
        </w:tc>
        <w:tc>
          <w:tcPr>
            <w:tcW w:w="4535" w:type="dxa"/>
            <w:vAlign w:val="center"/>
          </w:tcPr>
          <w:p>
            <w:pPr>
              <w:pStyle w:val="13"/>
            </w:pPr>
            <w:r>
              <w:t>民政管理事务</w:t>
            </w: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2080299</w:t>
            </w:r>
          </w:p>
        </w:tc>
        <w:tc>
          <w:tcPr>
            <w:tcW w:w="4535" w:type="dxa"/>
            <w:vAlign w:val="center"/>
          </w:tcPr>
          <w:p>
            <w:pPr>
              <w:pStyle w:val="13"/>
            </w:pPr>
            <w:r>
              <w:t>其他民政管理事务支出</w:t>
            </w: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113.95</w:t>
            </w:r>
          </w:p>
        </w:tc>
        <w:tc>
          <w:tcPr>
            <w:tcW w:w="1361" w:type="dxa"/>
            <w:vAlign w:val="center"/>
          </w:tcPr>
          <w:p>
            <w:pPr>
              <w:pStyle w:val="12"/>
            </w:pPr>
            <w:r>
              <w:t>113.95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31.67</w:t>
            </w:r>
          </w:p>
        </w:tc>
        <w:tc>
          <w:tcPr>
            <w:tcW w:w="1361" w:type="dxa"/>
            <w:vAlign w:val="center"/>
          </w:tcPr>
          <w:p>
            <w:pPr>
              <w:pStyle w:val="12"/>
            </w:pPr>
            <w:r>
              <w:t>31.67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54.85</w:t>
            </w:r>
          </w:p>
        </w:tc>
        <w:tc>
          <w:tcPr>
            <w:tcW w:w="1361" w:type="dxa"/>
            <w:vAlign w:val="center"/>
          </w:tcPr>
          <w:p>
            <w:pPr>
              <w:pStyle w:val="12"/>
            </w:pPr>
            <w:r>
              <w:t>54.85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27.43</w:t>
            </w:r>
          </w:p>
        </w:tc>
        <w:tc>
          <w:tcPr>
            <w:tcW w:w="1361" w:type="dxa"/>
            <w:vAlign w:val="center"/>
          </w:tcPr>
          <w:p>
            <w:pPr>
              <w:pStyle w:val="12"/>
            </w:pPr>
            <w:r>
              <w:t>27.43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2.01</w:t>
            </w:r>
          </w:p>
        </w:tc>
        <w:tc>
          <w:tcPr>
            <w:tcW w:w="1361" w:type="dxa"/>
            <w:vAlign w:val="center"/>
          </w:tcPr>
          <w:p>
            <w:pPr>
              <w:pStyle w:val="12"/>
            </w:pPr>
          </w:p>
        </w:tc>
        <w:tc>
          <w:tcPr>
            <w:tcW w:w="1361" w:type="dxa"/>
            <w:vAlign w:val="center"/>
          </w:tcPr>
          <w:p>
            <w:pPr>
              <w:pStyle w:val="12"/>
            </w:pPr>
            <w:r>
              <w:t>2.01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21007</w:t>
            </w:r>
          </w:p>
        </w:tc>
        <w:tc>
          <w:tcPr>
            <w:tcW w:w="4535" w:type="dxa"/>
            <w:vAlign w:val="center"/>
          </w:tcPr>
          <w:p>
            <w:pPr>
              <w:pStyle w:val="13"/>
            </w:pPr>
            <w:r>
              <w:t>计划生育事务</w:t>
            </w: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2100717</w:t>
            </w:r>
          </w:p>
        </w:tc>
        <w:tc>
          <w:tcPr>
            <w:tcW w:w="4535" w:type="dxa"/>
            <w:vAlign w:val="center"/>
          </w:tcPr>
          <w:p>
            <w:pPr>
              <w:pStyle w:val="13"/>
            </w:pPr>
            <w:r>
              <w:t>计划生育服务</w:t>
            </w: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r>
              <w:t>1.34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21099</w:t>
            </w:r>
          </w:p>
        </w:tc>
        <w:tc>
          <w:tcPr>
            <w:tcW w:w="4535" w:type="dxa"/>
            <w:vAlign w:val="center"/>
          </w:tcPr>
          <w:p>
            <w:pPr>
              <w:pStyle w:val="13"/>
            </w:pPr>
            <w:r>
              <w:t>其他卫生健康支出</w:t>
            </w: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2109999</w:t>
            </w:r>
          </w:p>
        </w:tc>
        <w:tc>
          <w:tcPr>
            <w:tcW w:w="4535" w:type="dxa"/>
            <w:vAlign w:val="center"/>
          </w:tcPr>
          <w:p>
            <w:pPr>
              <w:pStyle w:val="13"/>
            </w:pPr>
            <w:r>
              <w:t>其他卫生健康支出</w:t>
            </w: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r>
              <w:t>0.67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115.98</w:t>
            </w:r>
          </w:p>
        </w:tc>
        <w:tc>
          <w:tcPr>
            <w:tcW w:w="1361" w:type="dxa"/>
            <w:vAlign w:val="center"/>
          </w:tcPr>
          <w:p>
            <w:pPr>
              <w:pStyle w:val="12"/>
            </w:pPr>
          </w:p>
        </w:tc>
        <w:tc>
          <w:tcPr>
            <w:tcW w:w="1361" w:type="dxa"/>
            <w:vAlign w:val="center"/>
          </w:tcPr>
          <w:p>
            <w:pPr>
              <w:pStyle w:val="12"/>
            </w:pPr>
            <w:r>
              <w:t>115.98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114.98</w:t>
            </w:r>
          </w:p>
        </w:tc>
        <w:tc>
          <w:tcPr>
            <w:tcW w:w="1361" w:type="dxa"/>
            <w:vAlign w:val="center"/>
          </w:tcPr>
          <w:p>
            <w:pPr>
              <w:pStyle w:val="12"/>
            </w:pPr>
          </w:p>
        </w:tc>
        <w:tc>
          <w:tcPr>
            <w:tcW w:w="1361" w:type="dxa"/>
            <w:vAlign w:val="center"/>
          </w:tcPr>
          <w:p>
            <w:pPr>
              <w:pStyle w:val="12"/>
            </w:pPr>
            <w:r>
              <w:t>114.98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114.98</w:t>
            </w:r>
          </w:p>
        </w:tc>
        <w:tc>
          <w:tcPr>
            <w:tcW w:w="1361" w:type="dxa"/>
            <w:vAlign w:val="center"/>
          </w:tcPr>
          <w:p>
            <w:pPr>
              <w:pStyle w:val="12"/>
            </w:pPr>
          </w:p>
        </w:tc>
        <w:tc>
          <w:tcPr>
            <w:tcW w:w="1361" w:type="dxa"/>
            <w:vAlign w:val="center"/>
          </w:tcPr>
          <w:p>
            <w:pPr>
              <w:pStyle w:val="12"/>
            </w:pPr>
            <w:r>
              <w:t>114.98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26.62</w:t>
            </w:r>
          </w:p>
        </w:tc>
        <w:tc>
          <w:tcPr>
            <w:tcW w:w="1361" w:type="dxa"/>
            <w:vAlign w:val="center"/>
          </w:tcPr>
          <w:p>
            <w:pPr>
              <w:pStyle w:val="12"/>
            </w:pPr>
            <w:r>
              <w:t>26.62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26.62</w:t>
            </w:r>
          </w:p>
        </w:tc>
        <w:tc>
          <w:tcPr>
            <w:tcW w:w="1361" w:type="dxa"/>
            <w:vAlign w:val="center"/>
          </w:tcPr>
          <w:p>
            <w:pPr>
              <w:pStyle w:val="12"/>
            </w:pPr>
            <w:r>
              <w:t>26.62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26.62</w:t>
            </w:r>
          </w:p>
        </w:tc>
        <w:tc>
          <w:tcPr>
            <w:tcW w:w="1361" w:type="dxa"/>
            <w:vAlign w:val="center"/>
          </w:tcPr>
          <w:p>
            <w:pPr>
              <w:pStyle w:val="12"/>
            </w:pPr>
            <w:r>
              <w:t>26.62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2240104</w:t>
            </w:r>
          </w:p>
        </w:tc>
        <w:tc>
          <w:tcPr>
            <w:tcW w:w="4535" w:type="dxa"/>
            <w:vAlign w:val="center"/>
          </w:tcPr>
          <w:p>
            <w:pPr>
              <w:pStyle w:val="13"/>
            </w:pPr>
            <w:r>
              <w:t>灾害风险防治</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229</w:t>
            </w:r>
          </w:p>
        </w:tc>
        <w:tc>
          <w:tcPr>
            <w:tcW w:w="4535" w:type="dxa"/>
            <w:vAlign w:val="center"/>
          </w:tcPr>
          <w:p>
            <w:pPr>
              <w:pStyle w:val="13"/>
            </w:pPr>
            <w:r>
              <w:t>其他支出</w:t>
            </w:r>
          </w:p>
        </w:tc>
        <w:tc>
          <w:tcPr>
            <w:tcW w:w="1361" w:type="dxa"/>
            <w:vAlign w:val="center"/>
          </w:tcPr>
          <w:p>
            <w:pPr>
              <w:pStyle w:val="12"/>
            </w:pPr>
            <w:r>
              <w:t>160.00</w:t>
            </w:r>
          </w:p>
        </w:tc>
        <w:tc>
          <w:tcPr>
            <w:tcW w:w="1361" w:type="dxa"/>
            <w:vAlign w:val="center"/>
          </w:tcPr>
          <w:p>
            <w:pPr>
              <w:pStyle w:val="12"/>
            </w:pPr>
          </w:p>
        </w:tc>
        <w:tc>
          <w:tcPr>
            <w:tcW w:w="1361" w:type="dxa"/>
            <w:vAlign w:val="center"/>
          </w:tcPr>
          <w:p>
            <w:pPr>
              <w:pStyle w:val="12"/>
            </w:pPr>
            <w:r>
              <w:t>160.00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22960</w:t>
            </w:r>
          </w:p>
        </w:tc>
        <w:tc>
          <w:tcPr>
            <w:tcW w:w="4535" w:type="dxa"/>
            <w:vAlign w:val="center"/>
          </w:tcPr>
          <w:p>
            <w:pPr>
              <w:pStyle w:val="13"/>
            </w:pPr>
            <w:r>
              <w:t>彩票公益金安排的支出</w:t>
            </w:r>
          </w:p>
        </w:tc>
        <w:tc>
          <w:tcPr>
            <w:tcW w:w="1361" w:type="dxa"/>
            <w:vAlign w:val="center"/>
          </w:tcPr>
          <w:p>
            <w:pPr>
              <w:pStyle w:val="12"/>
            </w:pPr>
            <w:r>
              <w:t>160.00</w:t>
            </w:r>
          </w:p>
        </w:tc>
        <w:tc>
          <w:tcPr>
            <w:tcW w:w="1361" w:type="dxa"/>
            <w:vAlign w:val="center"/>
          </w:tcPr>
          <w:p>
            <w:pPr>
              <w:pStyle w:val="12"/>
            </w:pPr>
          </w:p>
        </w:tc>
        <w:tc>
          <w:tcPr>
            <w:tcW w:w="1361" w:type="dxa"/>
            <w:vAlign w:val="center"/>
          </w:tcPr>
          <w:p>
            <w:pPr>
              <w:pStyle w:val="12"/>
            </w:pPr>
            <w:r>
              <w:t>160.00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992" w:type="dxa"/>
            <w:vAlign w:val="center"/>
          </w:tcPr>
          <w:p>
            <w:pPr>
              <w:pStyle w:val="13"/>
            </w:pPr>
            <w:r>
              <w:t>2296099</w:t>
            </w:r>
          </w:p>
        </w:tc>
        <w:tc>
          <w:tcPr>
            <w:tcW w:w="4535" w:type="dxa"/>
            <w:vAlign w:val="center"/>
          </w:tcPr>
          <w:p>
            <w:pPr>
              <w:pStyle w:val="13"/>
            </w:pPr>
            <w:r>
              <w:t>用于其他社会公益事业的彩票公益金支出</w:t>
            </w:r>
          </w:p>
        </w:tc>
        <w:tc>
          <w:tcPr>
            <w:tcW w:w="1361" w:type="dxa"/>
            <w:vAlign w:val="center"/>
          </w:tcPr>
          <w:p>
            <w:pPr>
              <w:pStyle w:val="12"/>
            </w:pPr>
            <w:r>
              <w:t>160.00</w:t>
            </w:r>
          </w:p>
        </w:tc>
        <w:tc>
          <w:tcPr>
            <w:tcW w:w="1361" w:type="dxa"/>
            <w:vAlign w:val="center"/>
          </w:tcPr>
          <w:p>
            <w:pPr>
              <w:pStyle w:val="12"/>
            </w:pPr>
          </w:p>
        </w:tc>
        <w:tc>
          <w:tcPr>
            <w:tcW w:w="1361" w:type="dxa"/>
            <w:vAlign w:val="center"/>
          </w:tcPr>
          <w:p>
            <w:pPr>
              <w:pStyle w:val="12"/>
            </w:pPr>
            <w:r>
              <w:t>160.00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771.03</w:t>
            </w:r>
          </w:p>
        </w:tc>
        <w:tc>
          <w:tcPr>
            <w:tcW w:w="3402" w:type="dxa"/>
            <w:vAlign w:val="center"/>
          </w:tcPr>
          <w:p>
            <w:pPr>
              <w:pStyle w:val="13"/>
            </w:pPr>
            <w:r>
              <w:t>一、一般公共服务支出</w:t>
            </w:r>
          </w:p>
        </w:tc>
        <w:tc>
          <w:tcPr>
            <w:tcW w:w="1474" w:type="dxa"/>
            <w:vAlign w:val="center"/>
          </w:tcPr>
          <w:p>
            <w:pPr>
              <w:pStyle w:val="12"/>
            </w:pPr>
            <w:r>
              <w:t>504.80</w:t>
            </w:r>
          </w:p>
        </w:tc>
        <w:tc>
          <w:tcPr>
            <w:tcW w:w="1474" w:type="dxa"/>
            <w:vAlign w:val="center"/>
          </w:tcPr>
          <w:p>
            <w:pPr>
              <w:pStyle w:val="12"/>
            </w:pPr>
            <w:r>
              <w:t>504.80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r>
              <w:t>160.00</w:t>
            </w: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r>
              <w:t>5.00</w:t>
            </w:r>
          </w:p>
        </w:tc>
        <w:tc>
          <w:tcPr>
            <w:tcW w:w="1474" w:type="dxa"/>
            <w:vAlign w:val="center"/>
          </w:tcPr>
          <w:p>
            <w:pPr>
              <w:pStyle w:val="12"/>
            </w:pPr>
            <w:r>
              <w:t>5.00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114.62</w:t>
            </w:r>
          </w:p>
        </w:tc>
        <w:tc>
          <w:tcPr>
            <w:tcW w:w="1474" w:type="dxa"/>
            <w:vAlign w:val="center"/>
          </w:tcPr>
          <w:p>
            <w:pPr>
              <w:pStyle w:val="12"/>
            </w:pPr>
            <w:r>
              <w:t>114.62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2.01</w:t>
            </w:r>
          </w:p>
        </w:tc>
        <w:tc>
          <w:tcPr>
            <w:tcW w:w="1474" w:type="dxa"/>
            <w:vAlign w:val="center"/>
          </w:tcPr>
          <w:p>
            <w:pPr>
              <w:pStyle w:val="12"/>
            </w:pPr>
            <w:r>
              <w:t>2.01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115.98</w:t>
            </w:r>
          </w:p>
        </w:tc>
        <w:tc>
          <w:tcPr>
            <w:tcW w:w="1474" w:type="dxa"/>
            <w:vAlign w:val="center"/>
          </w:tcPr>
          <w:p>
            <w:pPr>
              <w:pStyle w:val="12"/>
            </w:pPr>
            <w:r>
              <w:t>115.98</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26.62</w:t>
            </w:r>
          </w:p>
        </w:tc>
        <w:tc>
          <w:tcPr>
            <w:tcW w:w="1474" w:type="dxa"/>
            <w:vAlign w:val="center"/>
          </w:tcPr>
          <w:p>
            <w:pPr>
              <w:pStyle w:val="12"/>
            </w:pPr>
            <w:r>
              <w:t>26.62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2.00</w:t>
            </w:r>
          </w:p>
        </w:tc>
        <w:tc>
          <w:tcPr>
            <w:tcW w:w="1474" w:type="dxa"/>
            <w:vAlign w:val="center"/>
          </w:tcPr>
          <w:p>
            <w:pPr>
              <w:pStyle w:val="12"/>
            </w:pPr>
            <w:r>
              <w:t>2.00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r>
              <w:t>160.00</w:t>
            </w:r>
          </w:p>
        </w:tc>
        <w:tc>
          <w:tcPr>
            <w:tcW w:w="1474" w:type="dxa"/>
            <w:vAlign w:val="center"/>
          </w:tcPr>
          <w:p>
            <w:pPr>
              <w:pStyle w:val="12"/>
            </w:pPr>
          </w:p>
        </w:tc>
        <w:tc>
          <w:tcPr>
            <w:tcW w:w="1474" w:type="dxa"/>
            <w:vAlign w:val="center"/>
          </w:tcPr>
          <w:p>
            <w:pPr>
              <w:pStyle w:val="12"/>
            </w:pPr>
            <w:r>
              <w:t>160.00</w:t>
            </w: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931.03</w:t>
            </w:r>
          </w:p>
        </w:tc>
        <w:tc>
          <w:tcPr>
            <w:tcW w:w="3402" w:type="dxa"/>
            <w:vAlign w:val="center"/>
          </w:tcPr>
          <w:p>
            <w:pPr>
              <w:pStyle w:val="15"/>
            </w:pPr>
            <w:r>
              <w:t>本年支出合计</w:t>
            </w:r>
          </w:p>
        </w:tc>
        <w:tc>
          <w:tcPr>
            <w:tcW w:w="1474" w:type="dxa"/>
            <w:vAlign w:val="center"/>
          </w:tcPr>
          <w:p>
            <w:pPr>
              <w:pStyle w:val="16"/>
            </w:pPr>
            <w:r>
              <w:t>931.03</w:t>
            </w:r>
          </w:p>
        </w:tc>
        <w:tc>
          <w:tcPr>
            <w:tcW w:w="1474" w:type="dxa"/>
            <w:vAlign w:val="center"/>
          </w:tcPr>
          <w:p>
            <w:pPr>
              <w:pStyle w:val="16"/>
            </w:pPr>
            <w:r>
              <w:t>771.03</w:t>
            </w:r>
          </w:p>
        </w:tc>
        <w:tc>
          <w:tcPr>
            <w:tcW w:w="1474" w:type="dxa"/>
            <w:vAlign w:val="center"/>
          </w:tcPr>
          <w:p>
            <w:pPr>
              <w:pStyle w:val="16"/>
            </w:pPr>
            <w:r>
              <w:t>160.00</w:t>
            </w: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931.03</w:t>
            </w:r>
          </w:p>
        </w:tc>
        <w:tc>
          <w:tcPr>
            <w:tcW w:w="3402" w:type="dxa"/>
            <w:vAlign w:val="center"/>
          </w:tcPr>
          <w:p>
            <w:pPr>
              <w:pStyle w:val="15"/>
            </w:pPr>
            <w:r>
              <w:t>支出总计</w:t>
            </w:r>
          </w:p>
        </w:tc>
        <w:tc>
          <w:tcPr>
            <w:tcW w:w="1474" w:type="dxa"/>
            <w:vAlign w:val="center"/>
          </w:tcPr>
          <w:p>
            <w:pPr>
              <w:pStyle w:val="16"/>
            </w:pPr>
            <w:r>
              <w:t>931.03</w:t>
            </w:r>
          </w:p>
        </w:tc>
        <w:tc>
          <w:tcPr>
            <w:tcW w:w="1474" w:type="dxa"/>
            <w:vAlign w:val="center"/>
          </w:tcPr>
          <w:p>
            <w:pPr>
              <w:pStyle w:val="16"/>
            </w:pPr>
            <w:r>
              <w:t>771.03</w:t>
            </w:r>
          </w:p>
        </w:tc>
        <w:tc>
          <w:tcPr>
            <w:tcW w:w="1474" w:type="dxa"/>
            <w:vAlign w:val="center"/>
          </w:tcPr>
          <w:p>
            <w:pPr>
              <w:pStyle w:val="16"/>
            </w:pPr>
            <w:r>
              <w:t>160.00</w:t>
            </w: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771.03</w:t>
            </w:r>
          </w:p>
        </w:tc>
        <w:tc>
          <w:tcPr>
            <w:tcW w:w="2551" w:type="dxa"/>
            <w:vAlign w:val="center"/>
          </w:tcPr>
          <w:p>
            <w:pPr>
              <w:pStyle w:val="16"/>
            </w:pPr>
            <w:r>
              <w:t>644.37</w:t>
            </w:r>
          </w:p>
        </w:tc>
        <w:tc>
          <w:tcPr>
            <w:tcW w:w="2551" w:type="dxa"/>
            <w:vAlign w:val="center"/>
          </w:tcPr>
          <w:p>
            <w:pPr>
              <w:pStyle w:val="16"/>
            </w:pPr>
            <w:r>
              <w:t>126.66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504.80</w:t>
            </w:r>
          </w:p>
        </w:tc>
        <w:tc>
          <w:tcPr>
            <w:tcW w:w="2551" w:type="dxa"/>
            <w:vAlign w:val="center"/>
          </w:tcPr>
          <w:p>
            <w:pPr>
              <w:pStyle w:val="12"/>
            </w:pPr>
            <w:r>
              <w:t>503.80</w:t>
            </w: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504.80</w:t>
            </w:r>
          </w:p>
        </w:tc>
        <w:tc>
          <w:tcPr>
            <w:tcW w:w="2551" w:type="dxa"/>
            <w:vAlign w:val="center"/>
          </w:tcPr>
          <w:p>
            <w:pPr>
              <w:pStyle w:val="12"/>
            </w:pPr>
            <w:r>
              <w:t>503.80</w:t>
            </w: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503.80</w:t>
            </w:r>
          </w:p>
        </w:tc>
        <w:tc>
          <w:tcPr>
            <w:tcW w:w="2551" w:type="dxa"/>
            <w:vAlign w:val="center"/>
          </w:tcPr>
          <w:p>
            <w:pPr>
              <w:pStyle w:val="12"/>
            </w:pPr>
            <w:r>
              <w:t>503.80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2010399</w:t>
            </w:r>
          </w:p>
        </w:tc>
        <w:tc>
          <w:tcPr>
            <w:tcW w:w="4535" w:type="dxa"/>
            <w:vAlign w:val="center"/>
          </w:tcPr>
          <w:p>
            <w:pPr>
              <w:pStyle w:val="13"/>
            </w:pPr>
            <w:r>
              <w:t>其他政府办公厅（室）及相关机构事务支出</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206</w:t>
            </w:r>
          </w:p>
        </w:tc>
        <w:tc>
          <w:tcPr>
            <w:tcW w:w="4535" w:type="dxa"/>
            <w:vAlign w:val="center"/>
          </w:tcPr>
          <w:p>
            <w:pPr>
              <w:pStyle w:val="13"/>
            </w:pPr>
            <w:r>
              <w:t>科学技术支出</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20605</w:t>
            </w:r>
          </w:p>
        </w:tc>
        <w:tc>
          <w:tcPr>
            <w:tcW w:w="4535" w:type="dxa"/>
            <w:vAlign w:val="center"/>
          </w:tcPr>
          <w:p>
            <w:pPr>
              <w:pStyle w:val="13"/>
            </w:pPr>
            <w:r>
              <w:t>科技条件与服务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2060502</w:t>
            </w:r>
          </w:p>
        </w:tc>
        <w:tc>
          <w:tcPr>
            <w:tcW w:w="4535" w:type="dxa"/>
            <w:vAlign w:val="center"/>
          </w:tcPr>
          <w:p>
            <w:pPr>
              <w:pStyle w:val="13"/>
            </w:pPr>
            <w:r>
              <w:t>技术创新服务体系</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114.62</w:t>
            </w:r>
          </w:p>
        </w:tc>
        <w:tc>
          <w:tcPr>
            <w:tcW w:w="2551" w:type="dxa"/>
            <w:vAlign w:val="center"/>
          </w:tcPr>
          <w:p>
            <w:pPr>
              <w:pStyle w:val="12"/>
            </w:pPr>
            <w:r>
              <w:t>113.95</w:t>
            </w:r>
          </w:p>
        </w:tc>
        <w:tc>
          <w:tcPr>
            <w:tcW w:w="2551" w:type="dxa"/>
            <w:vAlign w:val="center"/>
          </w:tcPr>
          <w:p>
            <w:pPr>
              <w:pStyle w:val="12"/>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20802</w:t>
            </w:r>
          </w:p>
        </w:tc>
        <w:tc>
          <w:tcPr>
            <w:tcW w:w="4535" w:type="dxa"/>
            <w:vAlign w:val="center"/>
          </w:tcPr>
          <w:p>
            <w:pPr>
              <w:pStyle w:val="13"/>
            </w:pPr>
            <w:r>
              <w:t>民政管理事务</w:t>
            </w:r>
          </w:p>
        </w:tc>
        <w:tc>
          <w:tcPr>
            <w:tcW w:w="2551" w:type="dxa"/>
            <w:vAlign w:val="center"/>
          </w:tcPr>
          <w:p>
            <w:pPr>
              <w:pStyle w:val="12"/>
            </w:pPr>
            <w:r>
              <w:t>0.67</w:t>
            </w:r>
          </w:p>
        </w:tc>
        <w:tc>
          <w:tcPr>
            <w:tcW w:w="2551" w:type="dxa"/>
            <w:vAlign w:val="center"/>
          </w:tcPr>
          <w:p>
            <w:pPr>
              <w:pStyle w:val="12"/>
            </w:pPr>
          </w:p>
        </w:tc>
        <w:tc>
          <w:tcPr>
            <w:tcW w:w="2551" w:type="dxa"/>
            <w:vAlign w:val="center"/>
          </w:tcPr>
          <w:p>
            <w:pPr>
              <w:pStyle w:val="12"/>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2080299</w:t>
            </w:r>
          </w:p>
        </w:tc>
        <w:tc>
          <w:tcPr>
            <w:tcW w:w="4535" w:type="dxa"/>
            <w:vAlign w:val="center"/>
          </w:tcPr>
          <w:p>
            <w:pPr>
              <w:pStyle w:val="13"/>
            </w:pPr>
            <w:r>
              <w:t>其他民政管理事务支出</w:t>
            </w:r>
          </w:p>
        </w:tc>
        <w:tc>
          <w:tcPr>
            <w:tcW w:w="2551" w:type="dxa"/>
            <w:vAlign w:val="center"/>
          </w:tcPr>
          <w:p>
            <w:pPr>
              <w:pStyle w:val="12"/>
            </w:pPr>
            <w:r>
              <w:t>0.67</w:t>
            </w:r>
          </w:p>
        </w:tc>
        <w:tc>
          <w:tcPr>
            <w:tcW w:w="2551" w:type="dxa"/>
            <w:vAlign w:val="center"/>
          </w:tcPr>
          <w:p>
            <w:pPr>
              <w:pStyle w:val="12"/>
            </w:pPr>
          </w:p>
        </w:tc>
        <w:tc>
          <w:tcPr>
            <w:tcW w:w="2551" w:type="dxa"/>
            <w:vAlign w:val="center"/>
          </w:tcPr>
          <w:p>
            <w:pPr>
              <w:pStyle w:val="12"/>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113.95</w:t>
            </w:r>
          </w:p>
        </w:tc>
        <w:tc>
          <w:tcPr>
            <w:tcW w:w="2551" w:type="dxa"/>
            <w:vAlign w:val="center"/>
          </w:tcPr>
          <w:p>
            <w:pPr>
              <w:pStyle w:val="12"/>
            </w:pPr>
            <w:r>
              <w:t>113.95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31.67</w:t>
            </w:r>
          </w:p>
        </w:tc>
        <w:tc>
          <w:tcPr>
            <w:tcW w:w="2551" w:type="dxa"/>
            <w:vAlign w:val="center"/>
          </w:tcPr>
          <w:p>
            <w:pPr>
              <w:pStyle w:val="12"/>
            </w:pPr>
            <w:r>
              <w:t>31.67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54.85</w:t>
            </w:r>
          </w:p>
        </w:tc>
        <w:tc>
          <w:tcPr>
            <w:tcW w:w="2551" w:type="dxa"/>
            <w:vAlign w:val="center"/>
          </w:tcPr>
          <w:p>
            <w:pPr>
              <w:pStyle w:val="12"/>
            </w:pPr>
            <w:r>
              <w:t>54.85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27.43</w:t>
            </w:r>
          </w:p>
        </w:tc>
        <w:tc>
          <w:tcPr>
            <w:tcW w:w="2551" w:type="dxa"/>
            <w:vAlign w:val="center"/>
          </w:tcPr>
          <w:p>
            <w:pPr>
              <w:pStyle w:val="12"/>
            </w:pPr>
            <w:r>
              <w:t>27.43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2.01</w:t>
            </w:r>
          </w:p>
        </w:tc>
        <w:tc>
          <w:tcPr>
            <w:tcW w:w="2551" w:type="dxa"/>
            <w:vAlign w:val="center"/>
          </w:tcPr>
          <w:p>
            <w:pPr>
              <w:pStyle w:val="12"/>
            </w:pPr>
          </w:p>
        </w:tc>
        <w:tc>
          <w:tcPr>
            <w:tcW w:w="2551" w:type="dxa"/>
            <w:vAlign w:val="center"/>
          </w:tcPr>
          <w:p>
            <w:pPr>
              <w:pStyle w:val="12"/>
            </w:pPr>
            <w:r>
              <w:t>2.01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1.34</w:t>
            </w:r>
          </w:p>
        </w:tc>
        <w:tc>
          <w:tcPr>
            <w:tcW w:w="2551" w:type="dxa"/>
            <w:vAlign w:val="center"/>
          </w:tcPr>
          <w:p>
            <w:pPr>
              <w:pStyle w:val="12"/>
            </w:pPr>
          </w:p>
        </w:tc>
        <w:tc>
          <w:tcPr>
            <w:tcW w:w="2551" w:type="dxa"/>
            <w:vAlign w:val="center"/>
          </w:tcPr>
          <w:p>
            <w:pPr>
              <w:pStyle w:val="12"/>
            </w:pPr>
            <w:r>
              <w:t>1.34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1.34</w:t>
            </w:r>
          </w:p>
        </w:tc>
        <w:tc>
          <w:tcPr>
            <w:tcW w:w="2551" w:type="dxa"/>
            <w:vAlign w:val="center"/>
          </w:tcPr>
          <w:p>
            <w:pPr>
              <w:pStyle w:val="12"/>
            </w:pPr>
          </w:p>
        </w:tc>
        <w:tc>
          <w:tcPr>
            <w:tcW w:w="2551" w:type="dxa"/>
            <w:vAlign w:val="center"/>
          </w:tcPr>
          <w:p>
            <w:pPr>
              <w:pStyle w:val="12"/>
            </w:pPr>
            <w:r>
              <w:t>1.34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21099</w:t>
            </w:r>
          </w:p>
        </w:tc>
        <w:tc>
          <w:tcPr>
            <w:tcW w:w="4535" w:type="dxa"/>
            <w:vAlign w:val="center"/>
          </w:tcPr>
          <w:p>
            <w:pPr>
              <w:pStyle w:val="13"/>
            </w:pPr>
            <w:r>
              <w:t>其他卫生健康支出</w:t>
            </w:r>
          </w:p>
        </w:tc>
        <w:tc>
          <w:tcPr>
            <w:tcW w:w="2551" w:type="dxa"/>
            <w:vAlign w:val="center"/>
          </w:tcPr>
          <w:p>
            <w:pPr>
              <w:pStyle w:val="12"/>
            </w:pPr>
            <w:r>
              <w:t>0.67</w:t>
            </w:r>
          </w:p>
        </w:tc>
        <w:tc>
          <w:tcPr>
            <w:tcW w:w="2551" w:type="dxa"/>
            <w:vAlign w:val="center"/>
          </w:tcPr>
          <w:p>
            <w:pPr>
              <w:pStyle w:val="12"/>
            </w:pPr>
          </w:p>
        </w:tc>
        <w:tc>
          <w:tcPr>
            <w:tcW w:w="2551" w:type="dxa"/>
            <w:vAlign w:val="center"/>
          </w:tcPr>
          <w:p>
            <w:pPr>
              <w:pStyle w:val="12"/>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2109999</w:t>
            </w:r>
          </w:p>
        </w:tc>
        <w:tc>
          <w:tcPr>
            <w:tcW w:w="4535" w:type="dxa"/>
            <w:vAlign w:val="center"/>
          </w:tcPr>
          <w:p>
            <w:pPr>
              <w:pStyle w:val="13"/>
            </w:pPr>
            <w:r>
              <w:t>其他卫生健康支出</w:t>
            </w:r>
          </w:p>
        </w:tc>
        <w:tc>
          <w:tcPr>
            <w:tcW w:w="2551" w:type="dxa"/>
            <w:vAlign w:val="center"/>
          </w:tcPr>
          <w:p>
            <w:pPr>
              <w:pStyle w:val="12"/>
            </w:pPr>
            <w:r>
              <w:t>0.67</w:t>
            </w:r>
          </w:p>
        </w:tc>
        <w:tc>
          <w:tcPr>
            <w:tcW w:w="2551" w:type="dxa"/>
            <w:vAlign w:val="center"/>
          </w:tcPr>
          <w:p>
            <w:pPr>
              <w:pStyle w:val="12"/>
            </w:pPr>
          </w:p>
        </w:tc>
        <w:tc>
          <w:tcPr>
            <w:tcW w:w="2551" w:type="dxa"/>
            <w:vAlign w:val="center"/>
          </w:tcPr>
          <w:p>
            <w:pPr>
              <w:pStyle w:val="12"/>
            </w:pPr>
            <w:r>
              <w:t>0.67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115.98</w:t>
            </w:r>
          </w:p>
        </w:tc>
        <w:tc>
          <w:tcPr>
            <w:tcW w:w="2551" w:type="dxa"/>
            <w:vAlign w:val="center"/>
          </w:tcPr>
          <w:p>
            <w:pPr>
              <w:pStyle w:val="12"/>
            </w:pPr>
          </w:p>
        </w:tc>
        <w:tc>
          <w:tcPr>
            <w:tcW w:w="2551" w:type="dxa"/>
            <w:vAlign w:val="center"/>
          </w:tcPr>
          <w:p>
            <w:pPr>
              <w:pStyle w:val="12"/>
            </w:pPr>
            <w:r>
              <w:t>115.98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114.98</w:t>
            </w:r>
          </w:p>
        </w:tc>
        <w:tc>
          <w:tcPr>
            <w:tcW w:w="2551" w:type="dxa"/>
            <w:vAlign w:val="center"/>
          </w:tcPr>
          <w:p>
            <w:pPr>
              <w:pStyle w:val="12"/>
            </w:pPr>
          </w:p>
        </w:tc>
        <w:tc>
          <w:tcPr>
            <w:tcW w:w="2551" w:type="dxa"/>
            <w:vAlign w:val="center"/>
          </w:tcPr>
          <w:p>
            <w:pPr>
              <w:pStyle w:val="12"/>
            </w:pPr>
            <w:r>
              <w:t>114.98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114.98</w:t>
            </w:r>
          </w:p>
        </w:tc>
        <w:tc>
          <w:tcPr>
            <w:tcW w:w="2551" w:type="dxa"/>
            <w:vAlign w:val="center"/>
          </w:tcPr>
          <w:p>
            <w:pPr>
              <w:pStyle w:val="12"/>
            </w:pPr>
          </w:p>
        </w:tc>
        <w:tc>
          <w:tcPr>
            <w:tcW w:w="2551" w:type="dxa"/>
            <w:vAlign w:val="center"/>
          </w:tcPr>
          <w:p>
            <w:pPr>
              <w:pStyle w:val="12"/>
            </w:pPr>
            <w:r>
              <w:t>114.98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26.62</w:t>
            </w:r>
          </w:p>
        </w:tc>
        <w:tc>
          <w:tcPr>
            <w:tcW w:w="2551" w:type="dxa"/>
            <w:vAlign w:val="center"/>
          </w:tcPr>
          <w:p>
            <w:pPr>
              <w:pStyle w:val="12"/>
            </w:pPr>
            <w:r>
              <w:t>26.62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26.62</w:t>
            </w:r>
          </w:p>
        </w:tc>
        <w:tc>
          <w:tcPr>
            <w:tcW w:w="2551" w:type="dxa"/>
            <w:vAlign w:val="center"/>
          </w:tcPr>
          <w:p>
            <w:pPr>
              <w:pStyle w:val="12"/>
            </w:pPr>
            <w:r>
              <w:t>26.62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26.62</w:t>
            </w:r>
          </w:p>
        </w:tc>
        <w:tc>
          <w:tcPr>
            <w:tcW w:w="2551" w:type="dxa"/>
            <w:vAlign w:val="center"/>
          </w:tcPr>
          <w:p>
            <w:pPr>
              <w:pStyle w:val="12"/>
            </w:pPr>
            <w:r>
              <w:t>26.62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2240104</w:t>
            </w:r>
          </w:p>
        </w:tc>
        <w:tc>
          <w:tcPr>
            <w:tcW w:w="4535" w:type="dxa"/>
            <w:vAlign w:val="center"/>
          </w:tcPr>
          <w:p>
            <w:pPr>
              <w:pStyle w:val="13"/>
            </w:pPr>
            <w:r>
              <w:t>灾害风险防治</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644.37</w:t>
            </w:r>
          </w:p>
        </w:tc>
        <w:tc>
          <w:tcPr>
            <w:tcW w:w="2551" w:type="dxa"/>
            <w:vAlign w:val="center"/>
          </w:tcPr>
          <w:p>
            <w:pPr>
              <w:pStyle w:val="16"/>
            </w:pPr>
            <w:r>
              <w:t>595.58</w:t>
            </w:r>
          </w:p>
        </w:tc>
        <w:tc>
          <w:tcPr>
            <w:tcW w:w="2551" w:type="dxa"/>
            <w:vAlign w:val="center"/>
          </w:tcPr>
          <w:p>
            <w:pPr>
              <w:pStyle w:val="16"/>
            </w:pPr>
            <w:r>
              <w:t>48.79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563.51</w:t>
            </w:r>
          </w:p>
        </w:tc>
        <w:tc>
          <w:tcPr>
            <w:tcW w:w="2551" w:type="dxa"/>
            <w:vAlign w:val="center"/>
          </w:tcPr>
          <w:p>
            <w:pPr>
              <w:pStyle w:val="12"/>
            </w:pPr>
            <w:r>
              <w:t>563.51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207.93</w:t>
            </w:r>
          </w:p>
        </w:tc>
        <w:tc>
          <w:tcPr>
            <w:tcW w:w="2551" w:type="dxa"/>
            <w:vAlign w:val="center"/>
          </w:tcPr>
          <w:p>
            <w:pPr>
              <w:pStyle w:val="12"/>
            </w:pPr>
            <w:r>
              <w:t>207.93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110.29</w:t>
            </w:r>
          </w:p>
        </w:tc>
        <w:tc>
          <w:tcPr>
            <w:tcW w:w="2551" w:type="dxa"/>
            <w:vAlign w:val="center"/>
          </w:tcPr>
          <w:p>
            <w:pPr>
              <w:pStyle w:val="12"/>
            </w:pPr>
            <w:r>
              <w:t>110.29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23.76</w:t>
            </w:r>
          </w:p>
        </w:tc>
        <w:tc>
          <w:tcPr>
            <w:tcW w:w="2551" w:type="dxa"/>
            <w:vAlign w:val="center"/>
          </w:tcPr>
          <w:p>
            <w:pPr>
              <w:pStyle w:val="12"/>
            </w:pPr>
            <w:r>
              <w:t>23.76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86.42</w:t>
            </w:r>
          </w:p>
        </w:tc>
        <w:tc>
          <w:tcPr>
            <w:tcW w:w="2551" w:type="dxa"/>
            <w:vAlign w:val="center"/>
          </w:tcPr>
          <w:p>
            <w:pPr>
              <w:pStyle w:val="12"/>
            </w:pPr>
            <w:r>
              <w:t>86.42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54.85</w:t>
            </w:r>
          </w:p>
        </w:tc>
        <w:tc>
          <w:tcPr>
            <w:tcW w:w="2551" w:type="dxa"/>
            <w:vAlign w:val="center"/>
          </w:tcPr>
          <w:p>
            <w:pPr>
              <w:pStyle w:val="12"/>
            </w:pPr>
            <w:r>
              <w:t>54.85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27.43</w:t>
            </w:r>
          </w:p>
        </w:tc>
        <w:tc>
          <w:tcPr>
            <w:tcW w:w="2551" w:type="dxa"/>
            <w:vAlign w:val="center"/>
          </w:tcPr>
          <w:p>
            <w:pPr>
              <w:pStyle w:val="12"/>
            </w:pPr>
            <w:r>
              <w:t>27.43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22.54</w:t>
            </w:r>
          </w:p>
        </w:tc>
        <w:tc>
          <w:tcPr>
            <w:tcW w:w="2551" w:type="dxa"/>
            <w:vAlign w:val="center"/>
          </w:tcPr>
          <w:p>
            <w:pPr>
              <w:pStyle w:val="12"/>
            </w:pPr>
            <w:r>
              <w:t>22.54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2.02</w:t>
            </w:r>
          </w:p>
        </w:tc>
        <w:tc>
          <w:tcPr>
            <w:tcW w:w="2551" w:type="dxa"/>
            <w:vAlign w:val="center"/>
          </w:tcPr>
          <w:p>
            <w:pPr>
              <w:pStyle w:val="12"/>
            </w:pPr>
            <w:r>
              <w:t>2.02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26.62</w:t>
            </w:r>
          </w:p>
        </w:tc>
        <w:tc>
          <w:tcPr>
            <w:tcW w:w="2551" w:type="dxa"/>
            <w:vAlign w:val="center"/>
          </w:tcPr>
          <w:p>
            <w:pPr>
              <w:pStyle w:val="12"/>
            </w:pPr>
            <w:r>
              <w:t>26.62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30199</w:t>
            </w:r>
          </w:p>
        </w:tc>
        <w:tc>
          <w:tcPr>
            <w:tcW w:w="4535" w:type="dxa"/>
            <w:vAlign w:val="center"/>
          </w:tcPr>
          <w:p>
            <w:pPr>
              <w:pStyle w:val="13"/>
            </w:pPr>
            <w:r>
              <w:t>其他工资福利支出</w:t>
            </w:r>
          </w:p>
        </w:tc>
        <w:tc>
          <w:tcPr>
            <w:tcW w:w="2551" w:type="dxa"/>
            <w:vAlign w:val="center"/>
          </w:tcPr>
          <w:p>
            <w:pPr>
              <w:pStyle w:val="12"/>
            </w:pPr>
            <w:r>
              <w:t>1.65</w:t>
            </w:r>
          </w:p>
        </w:tc>
        <w:tc>
          <w:tcPr>
            <w:tcW w:w="2551" w:type="dxa"/>
            <w:vAlign w:val="center"/>
          </w:tcPr>
          <w:p>
            <w:pPr>
              <w:pStyle w:val="12"/>
            </w:pPr>
            <w:r>
              <w:t>1.65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48.79</w:t>
            </w:r>
          </w:p>
        </w:tc>
        <w:tc>
          <w:tcPr>
            <w:tcW w:w="2551" w:type="dxa"/>
            <w:vAlign w:val="center"/>
          </w:tcPr>
          <w:p>
            <w:pPr>
              <w:pStyle w:val="12"/>
            </w:pPr>
          </w:p>
        </w:tc>
        <w:tc>
          <w:tcPr>
            <w:tcW w:w="2551" w:type="dxa"/>
            <w:vAlign w:val="center"/>
          </w:tcPr>
          <w:p>
            <w:pPr>
              <w:pStyle w:val="12"/>
            </w:pPr>
            <w:r>
              <w:t>48.79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10.90</w:t>
            </w:r>
          </w:p>
        </w:tc>
        <w:tc>
          <w:tcPr>
            <w:tcW w:w="2551" w:type="dxa"/>
            <w:vAlign w:val="center"/>
          </w:tcPr>
          <w:p>
            <w:pPr>
              <w:pStyle w:val="12"/>
            </w:pPr>
          </w:p>
        </w:tc>
        <w:tc>
          <w:tcPr>
            <w:tcW w:w="2551" w:type="dxa"/>
            <w:vAlign w:val="center"/>
          </w:tcPr>
          <w:p>
            <w:pPr>
              <w:pStyle w:val="12"/>
            </w:pPr>
            <w:r>
              <w:t>10.90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2.60</w:t>
            </w:r>
          </w:p>
        </w:tc>
        <w:tc>
          <w:tcPr>
            <w:tcW w:w="2551" w:type="dxa"/>
            <w:vAlign w:val="center"/>
          </w:tcPr>
          <w:p>
            <w:pPr>
              <w:pStyle w:val="12"/>
            </w:pPr>
          </w:p>
        </w:tc>
        <w:tc>
          <w:tcPr>
            <w:tcW w:w="2551" w:type="dxa"/>
            <w:vAlign w:val="center"/>
          </w:tcPr>
          <w:p>
            <w:pPr>
              <w:pStyle w:val="12"/>
            </w:pPr>
            <w:r>
              <w:t>2.60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6.00</w:t>
            </w:r>
          </w:p>
        </w:tc>
        <w:tc>
          <w:tcPr>
            <w:tcW w:w="2551" w:type="dxa"/>
            <w:vAlign w:val="center"/>
          </w:tcPr>
          <w:p>
            <w:pPr>
              <w:pStyle w:val="12"/>
            </w:pPr>
          </w:p>
        </w:tc>
        <w:tc>
          <w:tcPr>
            <w:tcW w:w="2551" w:type="dxa"/>
            <w:vAlign w:val="center"/>
          </w:tcPr>
          <w:p>
            <w:pPr>
              <w:pStyle w:val="12"/>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8.40</w:t>
            </w:r>
          </w:p>
        </w:tc>
        <w:tc>
          <w:tcPr>
            <w:tcW w:w="2551" w:type="dxa"/>
            <w:vAlign w:val="center"/>
          </w:tcPr>
          <w:p>
            <w:pPr>
              <w:pStyle w:val="12"/>
            </w:pPr>
          </w:p>
        </w:tc>
        <w:tc>
          <w:tcPr>
            <w:tcW w:w="2551" w:type="dxa"/>
            <w:vAlign w:val="center"/>
          </w:tcPr>
          <w:p>
            <w:pPr>
              <w:pStyle w:val="12"/>
            </w:pPr>
            <w:r>
              <w:t>8.40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1.39</w:t>
            </w:r>
          </w:p>
        </w:tc>
        <w:tc>
          <w:tcPr>
            <w:tcW w:w="2551" w:type="dxa"/>
            <w:vAlign w:val="center"/>
          </w:tcPr>
          <w:p>
            <w:pPr>
              <w:pStyle w:val="12"/>
            </w:pPr>
          </w:p>
        </w:tc>
        <w:tc>
          <w:tcPr>
            <w:tcW w:w="2551" w:type="dxa"/>
            <w:vAlign w:val="center"/>
          </w:tcPr>
          <w:p>
            <w:pPr>
              <w:pStyle w:val="12"/>
            </w:pPr>
            <w:r>
              <w:t>1.39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32.07</w:t>
            </w:r>
          </w:p>
        </w:tc>
        <w:tc>
          <w:tcPr>
            <w:tcW w:w="2551" w:type="dxa"/>
            <w:vAlign w:val="center"/>
          </w:tcPr>
          <w:p>
            <w:pPr>
              <w:pStyle w:val="12"/>
            </w:pPr>
            <w:r>
              <w:t>32.07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31.67</w:t>
            </w:r>
          </w:p>
        </w:tc>
        <w:tc>
          <w:tcPr>
            <w:tcW w:w="2551" w:type="dxa"/>
            <w:vAlign w:val="center"/>
          </w:tcPr>
          <w:p>
            <w:pPr>
              <w:pStyle w:val="12"/>
            </w:pPr>
            <w:r>
              <w:t>31.67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0.40</w:t>
            </w:r>
          </w:p>
        </w:tc>
        <w:tc>
          <w:tcPr>
            <w:tcW w:w="2551" w:type="dxa"/>
            <w:vAlign w:val="center"/>
          </w:tcPr>
          <w:p>
            <w:pPr>
              <w:pStyle w:val="12"/>
            </w:pPr>
            <w:r>
              <w:t>0.40</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160.00</w:t>
            </w:r>
          </w:p>
        </w:tc>
        <w:tc>
          <w:tcPr>
            <w:tcW w:w="2551" w:type="dxa"/>
            <w:vAlign w:val="center"/>
          </w:tcPr>
          <w:p>
            <w:pPr>
              <w:pStyle w:val="16"/>
            </w:pPr>
          </w:p>
        </w:tc>
        <w:tc>
          <w:tcPr>
            <w:tcW w:w="2551" w:type="dxa"/>
            <w:vAlign w:val="center"/>
          </w:tcPr>
          <w:p>
            <w:pPr>
              <w:pStyle w:val="16"/>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229</w:t>
            </w:r>
          </w:p>
        </w:tc>
        <w:tc>
          <w:tcPr>
            <w:tcW w:w="4535" w:type="dxa"/>
            <w:vAlign w:val="center"/>
          </w:tcPr>
          <w:p>
            <w:pPr>
              <w:pStyle w:val="13"/>
            </w:pPr>
            <w:r>
              <w:t>其他支出</w:t>
            </w:r>
          </w:p>
        </w:tc>
        <w:tc>
          <w:tcPr>
            <w:tcW w:w="2551" w:type="dxa"/>
            <w:vAlign w:val="center"/>
          </w:tcPr>
          <w:p>
            <w:pPr>
              <w:pStyle w:val="12"/>
            </w:pPr>
            <w:r>
              <w:t>160.00</w:t>
            </w:r>
          </w:p>
        </w:tc>
        <w:tc>
          <w:tcPr>
            <w:tcW w:w="2551" w:type="dxa"/>
            <w:vAlign w:val="center"/>
          </w:tcPr>
          <w:p>
            <w:pPr>
              <w:pStyle w:val="12"/>
            </w:pPr>
          </w:p>
        </w:tc>
        <w:tc>
          <w:tcPr>
            <w:tcW w:w="2551" w:type="dxa"/>
            <w:vAlign w:val="center"/>
          </w:tcPr>
          <w:p>
            <w:pPr>
              <w:pStyle w:val="12"/>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22960</w:t>
            </w:r>
          </w:p>
        </w:tc>
        <w:tc>
          <w:tcPr>
            <w:tcW w:w="4535" w:type="dxa"/>
            <w:vAlign w:val="center"/>
          </w:tcPr>
          <w:p>
            <w:pPr>
              <w:pStyle w:val="13"/>
            </w:pPr>
            <w:r>
              <w:t>彩票公益金安排的支出</w:t>
            </w:r>
          </w:p>
        </w:tc>
        <w:tc>
          <w:tcPr>
            <w:tcW w:w="2551" w:type="dxa"/>
            <w:vAlign w:val="center"/>
          </w:tcPr>
          <w:p>
            <w:pPr>
              <w:pStyle w:val="12"/>
            </w:pPr>
            <w:r>
              <w:t>160.00</w:t>
            </w:r>
          </w:p>
        </w:tc>
        <w:tc>
          <w:tcPr>
            <w:tcW w:w="2551" w:type="dxa"/>
            <w:vAlign w:val="center"/>
          </w:tcPr>
          <w:p>
            <w:pPr>
              <w:pStyle w:val="12"/>
            </w:pPr>
          </w:p>
        </w:tc>
        <w:tc>
          <w:tcPr>
            <w:tcW w:w="2551" w:type="dxa"/>
            <w:vAlign w:val="center"/>
          </w:tcPr>
          <w:p>
            <w:pPr>
              <w:pStyle w:val="12"/>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2296099</w:t>
            </w:r>
          </w:p>
        </w:tc>
        <w:tc>
          <w:tcPr>
            <w:tcW w:w="4535" w:type="dxa"/>
            <w:vAlign w:val="center"/>
          </w:tcPr>
          <w:p>
            <w:pPr>
              <w:pStyle w:val="13"/>
            </w:pPr>
            <w:r>
              <w:t>用于其他社会公益事业的彩票公益金支出</w:t>
            </w:r>
          </w:p>
        </w:tc>
        <w:tc>
          <w:tcPr>
            <w:tcW w:w="2551" w:type="dxa"/>
            <w:vAlign w:val="center"/>
          </w:tcPr>
          <w:p>
            <w:pPr>
              <w:pStyle w:val="12"/>
            </w:pPr>
            <w:r>
              <w:t>160.00</w:t>
            </w:r>
          </w:p>
        </w:tc>
        <w:tc>
          <w:tcPr>
            <w:tcW w:w="2551" w:type="dxa"/>
            <w:vAlign w:val="center"/>
          </w:tcPr>
          <w:p>
            <w:pPr>
              <w:pStyle w:val="12"/>
            </w:pPr>
          </w:p>
        </w:tc>
        <w:tc>
          <w:tcPr>
            <w:tcW w:w="2551" w:type="dxa"/>
            <w:vAlign w:val="center"/>
          </w:tcPr>
          <w:p>
            <w:pPr>
              <w:pStyle w:val="12"/>
            </w:pPr>
            <w:r>
              <w:t>160.00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990涞源县金家井乡人民政府</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7.00</w:t>
            </w:r>
          </w:p>
        </w:tc>
        <w:tc>
          <w:tcPr>
            <w:tcW w:w="2381" w:type="dxa"/>
            <w:vAlign w:val="center"/>
          </w:tcPr>
          <w:p>
            <w:pPr>
              <w:pStyle w:val="16"/>
            </w:pPr>
            <w:r>
              <w:t>7.00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6.00</w:t>
            </w:r>
          </w:p>
        </w:tc>
        <w:tc>
          <w:tcPr>
            <w:tcW w:w="2381" w:type="dxa"/>
            <w:vAlign w:val="center"/>
          </w:tcPr>
          <w:p>
            <w:pPr>
              <w:pStyle w:val="12"/>
            </w:pPr>
            <w:r>
              <w:t>6.00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6.00</w:t>
            </w:r>
          </w:p>
        </w:tc>
        <w:tc>
          <w:tcPr>
            <w:tcW w:w="2381" w:type="dxa"/>
            <w:vAlign w:val="center"/>
          </w:tcPr>
          <w:p>
            <w:pPr>
              <w:pStyle w:val="12"/>
            </w:pPr>
            <w:r>
              <w:t>6.00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1.00</w:t>
            </w:r>
          </w:p>
        </w:tc>
        <w:tc>
          <w:tcPr>
            <w:tcW w:w="2381" w:type="dxa"/>
            <w:vAlign w:val="center"/>
          </w:tcPr>
          <w:p>
            <w:pPr>
              <w:pStyle w:val="12"/>
            </w:pPr>
            <w:r>
              <w:t>1.00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涞源县金家井乡人民政府2025年部门预算信息公开情况说明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涞源县金家井乡人民政府2025年部门预算信息公开情况说明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按照《中华人民共和国预算法》、《地方预决算公开操作规程》和《关于进一步推进预算公开工作的实施意见》规定，现将涞源县金家井乡人民政府2025年部门预算公开如下：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pStyle w:val="26"/>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6"/>
      </w:pPr>
      <w:r>
        <w:t>根据《涞源县金家井乡人民政府职能配置、内设机构和人员编制规定》，</w:t>
      </w:r>
    </w:p>
    <w:p>
      <w:pPr>
        <w:pStyle w:val="26"/>
        <w:ind w:left="0" w:leftChars="0" w:firstLine="560" w:firstLineChars="200"/>
      </w:pPr>
      <w:r>
        <w:t>金家井乡部门职责</w:t>
      </w:r>
    </w:p>
    <w:p>
      <w:pPr>
        <w:pStyle w:val="26"/>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6"/>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6"/>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6"/>
      </w:pPr>
      <w:r>
        <w:t>社会事务办公室（同时挂计划生育办公室牌子）：负责乡镇的拥军</w:t>
      </w:r>
      <w:r>
        <w:rPr>
          <w:rFonts w:hint="eastAsia"/>
          <w:lang w:val="en-US" w:eastAsia="zh-CN"/>
        </w:rPr>
        <w:t>优</w:t>
      </w:r>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6"/>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6"/>
      </w:pPr>
      <w:r>
        <w:t>财政所：负责乡镇财政预算及执行，监管乡镇、村专项资金的使用，开展绩效分析，搞好定期定补人员的管理。</w:t>
      </w:r>
    </w:p>
    <w:p>
      <w:pPr>
        <w:pStyle w:val="26"/>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6"/>
      </w:pPr>
      <w:r>
        <w:t>计划生育服务中心：贯彻执行计划生育基本国策，控制人口增长，提供生殖健康服务。</w:t>
      </w:r>
    </w:p>
    <w:p>
      <w:pPr>
        <w:pStyle w:val="26"/>
      </w:pPr>
      <w:r>
        <w:t>综合文化服务中心：推进农村宣传文化事业发展，活跃农民精神文化生活，开展好农村精神文明建设工作。推进乡镇农村科技、文化、体育等各项社会事业的进步，全面促进各项社会事业健康有序发展。</w:t>
      </w: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pPr>
    </w:p>
    <w:p>
      <w:pPr>
        <w:pStyle w:val="1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涞源县金家井乡人民政府本级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pStyle w:val="19"/>
        <w:numPr>
          <w:ilvl w:val="0"/>
          <w:numId w:val="1"/>
        </w:numPr>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pPr>
        <w:pStyle w:val="19"/>
        <w:numPr>
          <w:ilvl w:val="0"/>
          <w:numId w:val="0"/>
        </w:numPr>
        <w:ind w:firstLine="560" w:firstLineChars="200"/>
      </w:pPr>
      <w:r>
        <w:t>按照预算管理有关规定，目前部门预算的编制实行综合预算管理，即全部收入和支出都反映在预算中。涞源县金家井乡人民政府机关及所属事业单位的收支包含在部门预算中。</w:t>
      </w:r>
    </w:p>
    <w:p>
      <w:pPr>
        <w:pStyle w:val="19"/>
      </w:pPr>
      <w:r>
        <w:t>1、收入说明</w:t>
      </w:r>
    </w:p>
    <w:p>
      <w:pPr>
        <w:pStyle w:val="19"/>
      </w:pPr>
      <w:r>
        <w:t>反映本部门当年全部收入。202</w:t>
      </w:r>
      <w:r>
        <w:rPr>
          <w:rFonts w:hint="eastAsia"/>
          <w:lang w:val="en-US" w:eastAsia="zh-CN"/>
        </w:rPr>
        <w:t>5</w:t>
      </w:r>
      <w:r>
        <w:t>年预算收入</w:t>
      </w:r>
      <w:r>
        <w:rPr>
          <w:rFonts w:hint="eastAsia"/>
          <w:lang w:val="en-US" w:eastAsia="zh-CN"/>
        </w:rPr>
        <w:t>931.03</w:t>
      </w:r>
      <w:r>
        <w:t>万元，其中：一般公共预算收入</w:t>
      </w:r>
      <w:r>
        <w:rPr>
          <w:rFonts w:hint="eastAsia"/>
          <w:lang w:val="en-US" w:eastAsia="zh-CN"/>
        </w:rPr>
        <w:t>771.03</w:t>
      </w:r>
      <w:r>
        <w:t>万元，基金预算收入</w:t>
      </w:r>
      <w:r>
        <w:rPr>
          <w:rFonts w:hint="eastAsia"/>
          <w:lang w:val="en-US" w:eastAsia="zh-CN"/>
        </w:rPr>
        <w:t>160.00</w:t>
      </w:r>
      <w:r>
        <w:t>万元，国有资本经营预算收入0.00万元，财政专户核拨收入0.00万元，单位资金收入0.00万元，上年结转结余</w:t>
      </w:r>
      <w:r>
        <w:rPr>
          <w:rFonts w:hint="eastAsia"/>
          <w:lang w:val="en-US" w:eastAsia="zh-CN"/>
        </w:rPr>
        <w:t>0.00</w:t>
      </w:r>
      <w:r>
        <w:t>万元。</w:t>
      </w:r>
    </w:p>
    <w:p>
      <w:pPr>
        <w:pStyle w:val="19"/>
      </w:pPr>
      <w:r>
        <w:t>2、支出说明</w:t>
      </w:r>
    </w:p>
    <w:p>
      <w:pPr>
        <w:pStyle w:val="19"/>
      </w:pPr>
      <w:r>
        <w:t>收支预算总表支出栏、基本支出表、项目支出表按经济分类和支出功能分类科目编制，反映涞源县金家井乡人民政府年度部门预算中支出预算的总体情况。202</w:t>
      </w:r>
      <w:r>
        <w:rPr>
          <w:rFonts w:hint="eastAsia"/>
          <w:lang w:val="en-US" w:eastAsia="zh-CN"/>
        </w:rPr>
        <w:t>5</w:t>
      </w:r>
      <w:r>
        <w:t>年支出预算</w:t>
      </w:r>
      <w:r>
        <w:rPr>
          <w:rFonts w:hint="eastAsia"/>
          <w:lang w:val="en-US" w:eastAsia="zh-CN"/>
        </w:rPr>
        <w:t>931.03</w:t>
      </w:r>
      <w:r>
        <w:t>万元，其中基本支出</w:t>
      </w:r>
      <w:r>
        <w:rPr>
          <w:rFonts w:hint="eastAsia"/>
          <w:lang w:val="en-US" w:eastAsia="zh-CN"/>
        </w:rPr>
        <w:t>644.37</w:t>
      </w:r>
      <w:r>
        <w:t>万元，包括人员经费</w:t>
      </w:r>
      <w:r>
        <w:rPr>
          <w:rFonts w:hint="eastAsia"/>
          <w:lang w:val="en-US" w:eastAsia="zh-CN"/>
        </w:rPr>
        <w:t>595.58</w:t>
      </w:r>
      <w:r>
        <w:t>万元和日常公用经费</w:t>
      </w:r>
      <w:r>
        <w:rPr>
          <w:rFonts w:hint="eastAsia"/>
          <w:lang w:val="en-US" w:eastAsia="zh-CN"/>
        </w:rPr>
        <w:t>48.79</w:t>
      </w:r>
      <w:r>
        <w:t>万元；项目支出</w:t>
      </w:r>
      <w:r>
        <w:rPr>
          <w:rFonts w:hint="eastAsia"/>
          <w:lang w:val="en-US" w:eastAsia="zh-CN"/>
        </w:rPr>
        <w:t>286.66</w:t>
      </w:r>
      <w:r>
        <w:t>万元，主要为乡镇日常运转经费、村级经费、扶贫专项资金等。</w:t>
      </w:r>
    </w:p>
    <w:p>
      <w:pPr>
        <w:pStyle w:val="19"/>
      </w:pPr>
      <w:r>
        <w:t>3、比上年增减情况</w:t>
      </w:r>
    </w:p>
    <w:p>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931.03</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年预算</w:t>
      </w:r>
      <w:r>
        <w:rPr>
          <w:rFonts w:hint="eastAsia" w:ascii="Times New Roman" w:hAnsi="Times New Roman" w:eastAsia="方正仿宋_GBK" w:cs="Times New Roman"/>
          <w:sz w:val="28"/>
          <w:szCs w:val="24"/>
          <w:lang w:val="en-US" w:eastAsia="zh-CN" w:bidi="ar-SA"/>
        </w:rPr>
        <w:t>增加121.49</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1</w:t>
      </w:r>
      <w:r>
        <w:rPr>
          <w:rFonts w:hint="eastAsia" w:ascii="Times New Roman" w:hAnsi="Times New Roman" w:eastAsia="方正仿宋_GBK" w:cs="Times New Roman"/>
          <w:sz w:val="28"/>
          <w:szCs w:val="24"/>
          <w:lang w:val="en-US" w:eastAsia="zh-CN" w:bidi="ar-SA"/>
        </w:rPr>
        <w:t>21.49</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人员支出。项目支出减少</w:t>
      </w:r>
      <w:r>
        <w:rPr>
          <w:rFonts w:hint="eastAsia" w:ascii="Times New Roman" w:hAnsi="Times New Roman" w:eastAsia="方正仿宋_GBK" w:cs="Times New Roman"/>
          <w:sz w:val="28"/>
          <w:szCs w:val="24"/>
          <w:lang w:val="en-US" w:eastAsia="zh-CN" w:bidi="ar-SA"/>
        </w:rPr>
        <w:t>10.77</w:t>
      </w:r>
      <w:r>
        <w:rPr>
          <w:rFonts w:ascii="Times New Roman" w:hAnsi="Times New Roman" w:eastAsia="方正仿宋_GBK" w:cs="Times New Roman"/>
          <w:sz w:val="28"/>
          <w:szCs w:val="24"/>
          <w:lang w:val="en-US" w:eastAsia="uk-UA" w:bidi="ar-SA"/>
        </w:rPr>
        <w:t>万元，主要为减少项目支出。</w:t>
      </w:r>
    </w:p>
    <w:p>
      <w:pPr>
        <w:pStyle w:val="20"/>
        <w:numPr>
          <w:ilvl w:val="0"/>
          <w:numId w:val="1"/>
        </w:numPr>
        <w:ind w:left="0" w:leftChars="0" w:firstLine="560" w:firstLineChars="0"/>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pPr>
        <w:pStyle w:val="20"/>
        <w:numPr>
          <w:ilvl w:val="0"/>
          <w:numId w:val="0"/>
        </w:numPr>
        <w:ind w:firstLine="560" w:firstLineChars="200"/>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年，我部门运行经费共计安排</w:t>
      </w:r>
      <w:r>
        <w:rPr>
          <w:rFonts w:hint="eastAsia" w:cs="Times New Roman"/>
          <w:sz w:val="28"/>
          <w:szCs w:val="24"/>
          <w:lang w:val="en-US" w:eastAsia="zh-CN" w:bidi="ar-SA"/>
        </w:rPr>
        <w:t>48.79</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pPr>
        <w:pStyle w:val="21"/>
        <w:numPr>
          <w:ilvl w:val="0"/>
          <w:numId w:val="1"/>
        </w:numPr>
        <w:ind w:left="0" w:leftChars="0" w:firstLine="560" w:firstLineChars="0"/>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pPr>
        <w:pStyle w:val="21"/>
        <w:numPr>
          <w:ilvl w:val="0"/>
          <w:numId w:val="0"/>
        </w:numPr>
        <w:ind w:left="560" w:leftChars="0"/>
        <w:rPr>
          <w:rFonts w:hint="eastAsia" w:eastAsia="方正仿宋_GBK"/>
          <w:lang w:eastAsia="zh-CN"/>
        </w:rPr>
      </w:pPr>
      <w:r>
        <w:t>202</w:t>
      </w:r>
      <w:r>
        <w:rPr>
          <w:rFonts w:hint="eastAsia"/>
          <w:lang w:val="en-US" w:eastAsia="zh-CN"/>
        </w:rPr>
        <w:t>5</w:t>
      </w:r>
      <w:r>
        <w:t>年，我部门财政拨款“三公”经费预算安排</w:t>
      </w:r>
      <w:r>
        <w:rPr>
          <w:rFonts w:hint="eastAsia"/>
          <w:lang w:val="en-US" w:eastAsia="zh-CN"/>
        </w:rPr>
        <w:t>7.00</w:t>
      </w:r>
      <w:r>
        <w:t>万元，其中因公出国（境）费0.00万元；公务用车购置及运维费</w:t>
      </w:r>
      <w:r>
        <w:rPr>
          <w:rFonts w:hint="eastAsia"/>
          <w:lang w:val="en-US" w:eastAsia="zh-CN"/>
        </w:rPr>
        <w:t>6</w:t>
      </w:r>
      <w:r>
        <w:t>.00万元（其中：公务用车购置费为0.00万元，公务用车运维费</w:t>
      </w:r>
      <w:r>
        <w:rPr>
          <w:rFonts w:hint="eastAsia"/>
          <w:lang w:val="en-US" w:eastAsia="zh-CN"/>
        </w:rPr>
        <w:t>6</w:t>
      </w:r>
      <w:r>
        <w:t>.00万元)；公务接待费</w:t>
      </w:r>
      <w:r>
        <w:rPr>
          <w:rFonts w:hint="eastAsia"/>
          <w:lang w:val="en-US" w:eastAsia="zh-CN"/>
        </w:rPr>
        <w:t>1.00</w:t>
      </w:r>
      <w:r>
        <w:t>万元。与202</w:t>
      </w:r>
      <w:r>
        <w:rPr>
          <w:rFonts w:hint="eastAsia"/>
          <w:lang w:val="en-US" w:eastAsia="zh-CN"/>
        </w:rPr>
        <w:t>4</w:t>
      </w:r>
      <w:r>
        <w:t>年相比</w:t>
      </w:r>
      <w:r>
        <w:rPr>
          <w:rFonts w:hint="eastAsia"/>
          <w:lang w:val="en-US" w:eastAsia="zh-CN"/>
        </w:rPr>
        <w:t>减少4</w:t>
      </w:r>
      <w:r>
        <w:t>.75万元，增减变化的主要原因是公务用车运维费</w:t>
      </w:r>
      <w:r>
        <w:rPr>
          <w:rFonts w:hint="eastAsia"/>
          <w:lang w:val="en-US" w:eastAsia="zh-CN"/>
        </w:rPr>
        <w:t>及</w:t>
      </w:r>
      <w:r>
        <w:t>公务接待费减少，202</w:t>
      </w:r>
      <w:r>
        <w:rPr>
          <w:rFonts w:hint="eastAsia"/>
          <w:lang w:val="en-US" w:eastAsia="zh-CN"/>
        </w:rPr>
        <w:t>5</w:t>
      </w:r>
      <w:r>
        <w:t>年预算收支安排</w:t>
      </w:r>
      <w:r>
        <w:rPr>
          <w:rFonts w:hint="eastAsia"/>
          <w:lang w:val="en-US" w:eastAsia="zh-CN"/>
        </w:rPr>
        <w:t>7.00</w:t>
      </w:r>
      <w:r>
        <w:t>万元，较202</w:t>
      </w:r>
      <w:r>
        <w:rPr>
          <w:rFonts w:hint="eastAsia"/>
          <w:lang w:val="en-US" w:eastAsia="zh-CN"/>
        </w:rPr>
        <w:t>4</w:t>
      </w:r>
      <w:r>
        <w:t>年预算减少</w:t>
      </w:r>
      <w:r>
        <w:rPr>
          <w:rFonts w:hint="eastAsia"/>
          <w:lang w:val="en-US" w:eastAsia="zh-CN"/>
        </w:rPr>
        <w:t>4.75</w:t>
      </w:r>
      <w:r>
        <w:t>万元</w:t>
      </w:r>
      <w:r>
        <w:rPr>
          <w:rFonts w:hint="eastAsia"/>
          <w:lang w:eastAsia="zh-CN"/>
        </w:rPr>
        <w:t>。</w:t>
      </w:r>
    </w:p>
    <w:p>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pPr>
        <w:pStyle w:val="22"/>
      </w:pPr>
      <w:r>
        <w:rPr>
          <w:rFonts w:ascii="Times New Roman" w:hAnsi="Times New Roman" w:eastAsia="方正仿宋_GBK" w:cs="Times New Roman"/>
          <w:color w:val="000000"/>
          <w:sz w:val="28"/>
        </w:rPr>
        <w:t>（一）总体绩效目标</w:t>
      </w:r>
      <w:r>
        <w:t>总体绩效目标</w:t>
      </w:r>
    </w:p>
    <w:p>
      <w:pPr>
        <w:pStyle w:val="22"/>
      </w:pPr>
      <w:r>
        <w:t>在县委、县政府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pStyle w:val="22"/>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不断升级，为乡村和谐发展提供坚强组织保障。</w:t>
      </w:r>
    </w:p>
    <w:p>
      <w:pPr>
        <w:pStyle w:val="22"/>
      </w:pPr>
      <w:r>
        <w:t>（二）抓扶贫强产业，推进结构调整。按照“优势区位、整村推进、连片发展”的扶贫工作思路，抢抓机遇，进行精准扶贫指导对扶贫村结合一事一议、以工代赈、基层组织建设年等帮扶政策进行科学规划，推进重点村的扶贫项目落地实施，对所申报项目严格论证，大力发展建成特色产业带。</w:t>
      </w:r>
    </w:p>
    <w:p>
      <w:pPr>
        <w:pStyle w:val="22"/>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金家井。</w:t>
      </w:r>
    </w:p>
    <w:p>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四）抓稳定求发展，加强社会管理。树立“大综治”格局理念，将社会综合治理工作作为各项工作重中之重，落实责任、健全制度、强化措施，以建设“和谐金家井”为目标，加强创新社会管理，营造安全稳定和谐的生产生活环境。</w:t>
      </w:r>
    </w:p>
    <w:p>
      <w:pPr>
        <w:pStyle w:val="23"/>
        <w:ind w:left="0" w:leftChars="0" w:firstLine="560" w:firstLineChars="200"/>
      </w:pPr>
      <w:r>
        <w:rPr>
          <w:rFonts w:ascii="Times New Roman" w:hAnsi="Times New Roman" w:eastAsia="方正仿宋_GBK" w:cs="Times New Roman"/>
          <w:color w:val="000000"/>
          <w:sz w:val="28"/>
        </w:rPr>
        <w:t>（二）分项绩效目标</w:t>
      </w:r>
      <w:r>
        <w:t>分项绩效目标完成情况</w:t>
      </w:r>
    </w:p>
    <w:p>
      <w:pPr>
        <w:pStyle w:val="23"/>
      </w:pPr>
      <w:r>
        <w:t>1、（一）加强基层政权建设</w:t>
      </w:r>
    </w:p>
    <w:p>
      <w:pPr>
        <w:pStyle w:val="23"/>
      </w:pPr>
      <w:r>
        <w:t>绩效目标：增加基层党组织战斗力</w:t>
      </w:r>
    </w:p>
    <w:p>
      <w:pPr>
        <w:pStyle w:val="23"/>
      </w:pPr>
      <w:r>
        <w:t>绩效指标：抓住经济发展这个第一要务，加强社会管理和公共服务职能，逐步实现由管理型向服务型转变，努力建设服务型、法制型政府，更好为“三农”服务。</w:t>
      </w:r>
    </w:p>
    <w:p>
      <w:pPr>
        <w:pStyle w:val="23"/>
      </w:pPr>
      <w:r>
        <w:t>2、（二）协调各单位、各部门之间的关系</w:t>
      </w:r>
    </w:p>
    <w:p>
      <w:pPr>
        <w:pStyle w:val="23"/>
      </w:pPr>
      <w:r>
        <w:t>绩效目标：各项工作任务顺利完成。</w:t>
      </w:r>
    </w:p>
    <w:p>
      <w:pPr>
        <w:pStyle w:val="23"/>
      </w:pPr>
      <w:r>
        <w:t>绩效指标：保障人大、武装、纪检监察等各项工作顺利开展。</w:t>
      </w:r>
    </w:p>
    <w:p>
      <w:pPr>
        <w:pStyle w:val="23"/>
      </w:pPr>
      <w:r>
        <w:t>3、（三）处理来信来访、加强法制建设</w:t>
      </w:r>
    </w:p>
    <w:p>
      <w:pPr>
        <w:pStyle w:val="23"/>
      </w:pPr>
      <w:r>
        <w:t>绩效目标：处理群众来信来访，社会综合治理达到群众满意</w:t>
      </w:r>
    </w:p>
    <w:p>
      <w:pPr>
        <w:pStyle w:val="23"/>
      </w:pPr>
      <w:r>
        <w:t>绩效指标：及时有效的了解民情民意、扶持弱势群众，加强社会治安管理，维护社会安定秩序。</w:t>
      </w:r>
    </w:p>
    <w:p>
      <w:pPr>
        <w:pStyle w:val="23"/>
      </w:pPr>
      <w:r>
        <w:t>4、（四）巩固拓展脱贫攻坚成果</w:t>
      </w:r>
    </w:p>
    <w:p>
      <w:pPr>
        <w:pStyle w:val="23"/>
      </w:pPr>
      <w:r>
        <w:t>绩效目标：促进农村经济发展</w:t>
      </w:r>
    </w:p>
    <w:p>
      <w:pPr>
        <w:pStyle w:val="23"/>
      </w:pPr>
      <w:r>
        <w:t>绩效指标：通过进行政策宣传，进行脱贫人员动态调整，规范档案管理，聘用防贫监测信息员，联系管理驻村工作队，实施脱贫产业项目，落实五个一批措施，实现脱贫致富。</w:t>
      </w:r>
    </w:p>
    <w:p>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pPr>
        <w:pStyle w:val="24"/>
      </w:pPr>
      <w:r>
        <w:t>工作保障措施</w:t>
      </w:r>
    </w:p>
    <w:p>
      <w:pPr>
        <w:pStyle w:val="24"/>
      </w:pPr>
      <w:r>
        <w:t>（一）完善制度建设。为加强本乡预算绩效管理，强化预算支出责任，提高财政资金使用绩效，根据《中华人民共和国预算法》、《涞源县县级部门预算绩效管理办法》要求，对纳入政府预算管理的所有财政性资金，结合本乡实际，制定《2024预算绩效管理制度》，指导本乡预算单位开展预算绩效管理工作，对有关实施情况进行监督、检查和考核。情况（目标保障）、目标实现程度、目标偏差和纠偏情况等进行跟踪，为全年预算绩效目标的实现奠定制定基础。</w:t>
      </w:r>
    </w:p>
    <w:p>
      <w:pPr>
        <w:pStyle w:val="24"/>
      </w:pPr>
      <w:r>
        <w:t>（二）加强支出管理。通过优化支出结构、编细编实预算、加快履行政府采购手续、尽快启动项目、及时支付资金、6月底前细化代编预算、按规定及时下达资金等多种措施，确保支出进度达标。从严从紧安排支出预算，在预算执行过程中严格把关，对不合理、超标准支出坚决予以剔除。建立预算绩效评审机制，对项目中列支的“三公”经费需按要求提供立项依据。</w:t>
      </w:r>
    </w:p>
    <w:p>
      <w:pPr>
        <w:pStyle w:val="24"/>
      </w:pPr>
      <w:r>
        <w:t>（三）加强绩效运行监控。全面开展预算执行情况和绩效目标实现程度绩效运行“双监控”，实现部门和项目绩效运行监控管理全覆盖。以预算管理一体化系统为支撑，比对半年目标值和实际执行值，根据明确偏差率范围，进行预算执行和绩效指标完成进度偏差程度预警，提示执行偏离风险，明确纠偏重点，有效提高绩效运行监控效果。对本单位的部门整体支出和项目绩效运行监控信息进行部门审核，并对发现的管理漏洞和绩效目标偏差，及时予以纠偏，确保年度绩效目标和预算执行进度按时完成。</w:t>
      </w:r>
    </w:p>
    <w:p>
      <w:pPr>
        <w:pStyle w:val="24"/>
      </w:pPr>
      <w:r>
        <w:t>（四）做好绩效自评。按要求开展上年度部门预算绩自评和重点评价工作，对评价中发现的问题及时整改,调整优化支出结构，提高财政资金使用效益。</w:t>
      </w:r>
    </w:p>
    <w:p>
      <w:pPr>
        <w:pStyle w:val="24"/>
      </w:pPr>
      <w:r>
        <w:t>（五）规范财务资产管理。完善财务管理制度，严格审批程序，加强固定资产登记、使用和报废处置管理，做到支出合理，物尽其用。</w:t>
      </w:r>
    </w:p>
    <w:p>
      <w:pPr>
        <w:pStyle w:val="24"/>
      </w:pPr>
      <w:r>
        <w:t>（六）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4"/>
        <w:sectPr>
          <w:pgSz w:w="16840" w:h="11900" w:orient="landscape"/>
          <w:pgMar w:top="1361" w:right="1020" w:bottom="1361" w:left="1020" w:header="720" w:footer="720" w:gutter="0"/>
          <w:cols w:space="720" w:num="1"/>
        </w:sectPr>
      </w:pPr>
      <w:r>
        <w:t>（七）加强宣传培训调研等。加强人员培训，提高本部门职工业务素质;调研，提出优化财政资金配置、提高资金使用效益的意见;加大宣传力度，强化预算绩效管理意识，促进预算绩效管理水平进一步提升。</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1、冀财教[2024]127号 关于提前下达2025年支持市县科技创新和科学普及专项资金预算的通知（科技特派员工作站）金家井乡绩效目标表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13063025P00459110003J</w:t>
            </w:r>
          </w:p>
        </w:tc>
        <w:tc>
          <w:tcPr>
            <w:tcW w:w="2835" w:type="dxa"/>
            <w:vAlign w:val="center"/>
          </w:tcPr>
          <w:p>
            <w:pPr>
              <w:pStyle w:val="11"/>
            </w:pPr>
            <w:r>
              <w:t>项目名称</w:t>
            </w:r>
          </w:p>
        </w:tc>
        <w:tc>
          <w:tcPr>
            <w:tcW w:w="6095" w:type="dxa"/>
            <w:gridSpan w:val="3"/>
            <w:vAlign w:val="center"/>
          </w:tcPr>
          <w:p>
            <w:pPr>
              <w:pStyle w:val="13"/>
            </w:pPr>
            <w:r>
              <w:t>冀财教[2024]127号 关于提前下达2025年支持市县科技创新和科学普及专项资金预算的通知（科技特派员工作站）金家井乡</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用于2025年支持市县科技创新和科学普及专项资金预算的通知（科技特派员工作站）金家井乡</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w:t>
            </w:r>
          </w:p>
        </w:tc>
        <w:tc>
          <w:tcPr>
            <w:tcW w:w="2835" w:type="dxa"/>
            <w:vAlign w:val="center"/>
          </w:tcPr>
          <w:p>
            <w:pPr>
              <w:pStyle w:val="14"/>
            </w:pPr>
            <w:r>
              <w:t>500000%</w:t>
            </w:r>
          </w:p>
        </w:tc>
        <w:tc>
          <w:tcPr>
            <w:tcW w:w="2551" w:type="dxa"/>
            <w:vAlign w:val="center"/>
          </w:tcPr>
          <w:p>
            <w:pPr>
              <w:pStyle w:val="14"/>
            </w:pPr>
            <w:r>
              <w:t>750000%</w:t>
            </w:r>
          </w:p>
        </w:tc>
        <w:tc>
          <w:tcPr>
            <w:tcW w:w="3544" w:type="dxa"/>
            <w:gridSpan w:val="2"/>
            <w:vAlign w:val="center"/>
          </w:tcPr>
          <w:p>
            <w:pPr>
              <w:pStyle w:val="14"/>
            </w:pPr>
            <w:r>
              <w:t>5000000%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1.用于2025年支持市县科技创新和科学普及专项资金预算的通知（科技特派员工作站）金家井乡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服务水平</w:t>
            </w:r>
          </w:p>
        </w:tc>
        <w:tc>
          <w:tcPr>
            <w:tcW w:w="5386" w:type="dxa"/>
            <w:vAlign w:val="center"/>
          </w:tcPr>
          <w:p>
            <w:pPr>
              <w:pStyle w:val="13"/>
            </w:pPr>
            <w:r>
              <w:t>服务水平</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成本控制</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2、金家丼2025年中央专项彩票公益金支持地方公益事业发展资金预算绩效目标表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13063025P00000110006B</w:t>
            </w:r>
          </w:p>
        </w:tc>
        <w:tc>
          <w:tcPr>
            <w:tcW w:w="2835" w:type="dxa"/>
            <w:vAlign w:val="center"/>
          </w:tcPr>
          <w:p>
            <w:pPr>
              <w:pStyle w:val="11"/>
            </w:pPr>
            <w:r>
              <w:t>项目名称</w:t>
            </w:r>
          </w:p>
        </w:tc>
        <w:tc>
          <w:tcPr>
            <w:tcW w:w="6095" w:type="dxa"/>
            <w:gridSpan w:val="3"/>
            <w:vAlign w:val="center"/>
          </w:tcPr>
          <w:p>
            <w:pPr>
              <w:pStyle w:val="13"/>
            </w:pPr>
            <w:r>
              <w:t>金家丼2025年中央专项彩票公益金支持地方公益事业发展资金预算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160.00</w:t>
            </w:r>
          </w:p>
        </w:tc>
        <w:tc>
          <w:tcPr>
            <w:tcW w:w="2835" w:type="dxa"/>
            <w:vAlign w:val="center"/>
          </w:tcPr>
          <w:p>
            <w:pPr>
              <w:pStyle w:val="11"/>
            </w:pPr>
            <w:r>
              <w:t>其中：财政    资金</w:t>
            </w:r>
          </w:p>
        </w:tc>
        <w:tc>
          <w:tcPr>
            <w:tcW w:w="2551" w:type="dxa"/>
            <w:vAlign w:val="center"/>
          </w:tcPr>
          <w:p>
            <w:pPr>
              <w:pStyle w:val="13"/>
            </w:pPr>
            <w:r>
              <w:t>160.00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用于金家丼2025年中央专项彩票公益金支持地方公益事业发展资金预算</w:t>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w:t>
            </w:r>
          </w:p>
        </w:tc>
        <w:tc>
          <w:tcPr>
            <w:tcW w:w="2835" w:type="dxa"/>
            <w:vAlign w:val="center"/>
          </w:tcPr>
          <w:p>
            <w:pPr>
              <w:pStyle w:val="14"/>
            </w:pPr>
            <w:r>
              <w:t>500000%</w:t>
            </w:r>
          </w:p>
        </w:tc>
        <w:tc>
          <w:tcPr>
            <w:tcW w:w="2551" w:type="dxa"/>
            <w:vAlign w:val="center"/>
          </w:tcPr>
          <w:p>
            <w:pPr>
              <w:pStyle w:val="14"/>
            </w:pPr>
            <w:r>
              <w:t>750000%</w:t>
            </w:r>
          </w:p>
        </w:tc>
        <w:tc>
          <w:tcPr>
            <w:tcW w:w="3544" w:type="dxa"/>
            <w:gridSpan w:val="2"/>
            <w:vAlign w:val="center"/>
          </w:tcPr>
          <w:p>
            <w:pPr>
              <w:pStyle w:val="14"/>
            </w:pPr>
            <w:r>
              <w:t>100000000%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1.目标内容1：用于金家丼2025年中央专项彩票公益金支持地方公益事业发展资金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资金发放率</w:t>
            </w:r>
          </w:p>
        </w:tc>
        <w:tc>
          <w:tcPr>
            <w:tcW w:w="5386" w:type="dxa"/>
            <w:vAlign w:val="center"/>
          </w:tcPr>
          <w:p>
            <w:pPr>
              <w:pStyle w:val="13"/>
            </w:pPr>
            <w:r>
              <w:t>资金发放率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增强服务保障能力。</w:t>
            </w:r>
          </w:p>
        </w:tc>
        <w:tc>
          <w:tcPr>
            <w:tcW w:w="5386" w:type="dxa"/>
            <w:vAlign w:val="center"/>
          </w:tcPr>
          <w:p>
            <w:pPr>
              <w:pStyle w:val="13"/>
            </w:pPr>
            <w:r>
              <w:t>增强服务保障能力。</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≥95百分比</w:t>
            </w:r>
          </w:p>
        </w:tc>
        <w:tc>
          <w:tcPr>
            <w:tcW w:w="1276" w:type="dxa"/>
            <w:vAlign w:val="center"/>
          </w:tcPr>
          <w:p>
            <w:pPr>
              <w:pStyle w:val="13"/>
            </w:pPr>
            <w:r>
              <w:t>根据预算安排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3、金家井乡村党组织活动经费绩效目标表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13063025P00558810052D</w:t>
            </w:r>
          </w:p>
        </w:tc>
        <w:tc>
          <w:tcPr>
            <w:tcW w:w="2835" w:type="dxa"/>
            <w:vAlign w:val="center"/>
          </w:tcPr>
          <w:p>
            <w:pPr>
              <w:pStyle w:val="11"/>
            </w:pPr>
            <w:r>
              <w:t>项目名称</w:t>
            </w:r>
          </w:p>
        </w:tc>
        <w:tc>
          <w:tcPr>
            <w:tcW w:w="6095" w:type="dxa"/>
            <w:gridSpan w:val="3"/>
            <w:vAlign w:val="center"/>
          </w:tcPr>
          <w:p>
            <w:pPr>
              <w:pStyle w:val="13"/>
            </w:pPr>
            <w:r>
              <w:t>金家井乡村党组织活动经费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19.00</w:t>
            </w:r>
          </w:p>
        </w:tc>
        <w:tc>
          <w:tcPr>
            <w:tcW w:w="2835" w:type="dxa"/>
            <w:vAlign w:val="center"/>
          </w:tcPr>
          <w:p>
            <w:pPr>
              <w:pStyle w:val="11"/>
            </w:pPr>
            <w:r>
              <w:t>其中：财政    资金</w:t>
            </w:r>
          </w:p>
        </w:tc>
        <w:tc>
          <w:tcPr>
            <w:tcW w:w="2551" w:type="dxa"/>
            <w:vAlign w:val="center"/>
          </w:tcPr>
          <w:p>
            <w:pPr>
              <w:pStyle w:val="13"/>
            </w:pPr>
            <w:r>
              <w:t>19.00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用于金家井乡村党组织活动经费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w:t>
            </w:r>
          </w:p>
        </w:tc>
        <w:tc>
          <w:tcPr>
            <w:tcW w:w="2835" w:type="dxa"/>
            <w:vAlign w:val="center"/>
          </w:tcPr>
          <w:p>
            <w:pPr>
              <w:pStyle w:val="14"/>
            </w:pPr>
            <w:r>
              <w:t>500000%</w:t>
            </w:r>
          </w:p>
        </w:tc>
        <w:tc>
          <w:tcPr>
            <w:tcW w:w="2551" w:type="dxa"/>
            <w:vAlign w:val="center"/>
          </w:tcPr>
          <w:p>
            <w:pPr>
              <w:pStyle w:val="14"/>
            </w:pPr>
            <w:r>
              <w:t>750000%</w:t>
            </w:r>
          </w:p>
        </w:tc>
        <w:tc>
          <w:tcPr>
            <w:tcW w:w="3544" w:type="dxa"/>
            <w:gridSpan w:val="2"/>
            <w:vAlign w:val="center"/>
          </w:tcPr>
          <w:p>
            <w:pPr>
              <w:pStyle w:val="14"/>
            </w:pPr>
            <w:r>
              <w:t>19000000%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资金发放率</w:t>
            </w:r>
          </w:p>
        </w:tc>
        <w:tc>
          <w:tcPr>
            <w:tcW w:w="5386" w:type="dxa"/>
            <w:vAlign w:val="center"/>
          </w:tcPr>
          <w:p>
            <w:pPr>
              <w:pStyle w:val="13"/>
            </w:pPr>
            <w:r>
              <w:t>资金发放率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增强服务保障能力。</w:t>
            </w:r>
          </w:p>
        </w:tc>
        <w:tc>
          <w:tcPr>
            <w:tcW w:w="5386" w:type="dxa"/>
            <w:vAlign w:val="center"/>
          </w:tcPr>
          <w:p>
            <w:pPr>
              <w:pStyle w:val="13"/>
            </w:pPr>
            <w:r>
              <w:t>增强服务保障能力。</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≥95百分比</w:t>
            </w:r>
          </w:p>
        </w:tc>
        <w:tc>
          <w:tcPr>
            <w:tcW w:w="1276" w:type="dxa"/>
            <w:vAlign w:val="center"/>
          </w:tcPr>
          <w:p>
            <w:pPr>
              <w:pStyle w:val="13"/>
            </w:pPr>
            <w:r>
              <w:t>根据预算安排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4、金家井乡防火专项经费绩效目标表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13063025P00606810038Q</w:t>
            </w:r>
          </w:p>
        </w:tc>
        <w:tc>
          <w:tcPr>
            <w:tcW w:w="2835" w:type="dxa"/>
            <w:vAlign w:val="center"/>
          </w:tcPr>
          <w:p>
            <w:pPr>
              <w:pStyle w:val="11"/>
            </w:pPr>
            <w:r>
              <w:t>项目名称</w:t>
            </w:r>
          </w:p>
        </w:tc>
        <w:tc>
          <w:tcPr>
            <w:tcW w:w="6095" w:type="dxa"/>
            <w:gridSpan w:val="3"/>
            <w:vAlign w:val="center"/>
          </w:tcPr>
          <w:p>
            <w:pPr>
              <w:pStyle w:val="13"/>
            </w:pPr>
            <w:r>
              <w:t>金家井乡防火专项经费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防火经费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500000%</w:t>
            </w:r>
          </w:p>
        </w:tc>
        <w:tc>
          <w:tcPr>
            <w:tcW w:w="2835" w:type="dxa"/>
            <w:vAlign w:val="center"/>
          </w:tcPr>
          <w:p>
            <w:pPr>
              <w:pStyle w:val="14"/>
            </w:pPr>
            <w:r>
              <w:t>1000000%</w:t>
            </w:r>
          </w:p>
        </w:tc>
        <w:tc>
          <w:tcPr>
            <w:tcW w:w="2551" w:type="dxa"/>
            <w:vAlign w:val="center"/>
          </w:tcPr>
          <w:p>
            <w:pPr>
              <w:pStyle w:val="14"/>
            </w:pPr>
            <w:r>
              <w:t>1500000%</w:t>
            </w:r>
          </w:p>
        </w:tc>
        <w:tc>
          <w:tcPr>
            <w:tcW w:w="3544" w:type="dxa"/>
            <w:gridSpan w:val="2"/>
            <w:vAlign w:val="center"/>
          </w:tcPr>
          <w:p>
            <w:pPr>
              <w:pStyle w:val="14"/>
            </w:pPr>
            <w:r>
              <w:t>2000000%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1.目标内容1：金家井乡防火专项经费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森林防火督导任务完成率</w:t>
            </w:r>
          </w:p>
        </w:tc>
        <w:tc>
          <w:tcPr>
            <w:tcW w:w="5386" w:type="dxa"/>
            <w:vAlign w:val="center"/>
          </w:tcPr>
          <w:p>
            <w:pPr>
              <w:pStyle w:val="13"/>
            </w:pPr>
            <w:r>
              <w:t>森林防火督导任务完成率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运行保障成本</w:t>
            </w:r>
          </w:p>
        </w:tc>
        <w:tc>
          <w:tcPr>
            <w:tcW w:w="5386" w:type="dxa"/>
            <w:vAlign w:val="center"/>
          </w:tcPr>
          <w:p>
            <w:pPr>
              <w:pStyle w:val="13"/>
            </w:pPr>
            <w:r>
              <w:t>运行保障成本</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生态影响</w:t>
            </w:r>
          </w:p>
        </w:tc>
        <w:tc>
          <w:tcPr>
            <w:tcW w:w="5386" w:type="dxa"/>
            <w:vAlign w:val="center"/>
          </w:tcPr>
          <w:p>
            <w:pPr>
              <w:pStyle w:val="13"/>
            </w:pPr>
            <w:r>
              <w:t>生态影响</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5、金家井乡防汛专项经费绩效目标表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13063025P006069100219</w:t>
            </w:r>
          </w:p>
        </w:tc>
        <w:tc>
          <w:tcPr>
            <w:tcW w:w="2835" w:type="dxa"/>
            <w:vAlign w:val="center"/>
          </w:tcPr>
          <w:p>
            <w:pPr>
              <w:pStyle w:val="11"/>
            </w:pPr>
            <w:r>
              <w:t>项目名称</w:t>
            </w:r>
          </w:p>
        </w:tc>
        <w:tc>
          <w:tcPr>
            <w:tcW w:w="6095" w:type="dxa"/>
            <w:gridSpan w:val="3"/>
            <w:vAlign w:val="center"/>
          </w:tcPr>
          <w:p>
            <w:pPr>
              <w:pStyle w:val="13"/>
            </w:pPr>
            <w:r>
              <w:t>金家井乡防汛专项经费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w:t>
            </w:r>
          </w:p>
        </w:tc>
        <w:tc>
          <w:tcPr>
            <w:tcW w:w="2835" w:type="dxa"/>
            <w:vAlign w:val="center"/>
          </w:tcPr>
          <w:p>
            <w:pPr>
              <w:pStyle w:val="14"/>
            </w:pPr>
            <w:r>
              <w:t>500000%</w:t>
            </w:r>
          </w:p>
        </w:tc>
        <w:tc>
          <w:tcPr>
            <w:tcW w:w="2551" w:type="dxa"/>
            <w:vAlign w:val="center"/>
          </w:tcPr>
          <w:p>
            <w:pPr>
              <w:pStyle w:val="14"/>
            </w:pPr>
            <w:r>
              <w:t>750000%</w:t>
            </w:r>
          </w:p>
        </w:tc>
        <w:tc>
          <w:tcPr>
            <w:tcW w:w="3544" w:type="dxa"/>
            <w:gridSpan w:val="2"/>
            <w:vAlign w:val="center"/>
          </w:tcPr>
          <w:p>
            <w:pPr>
              <w:pStyle w:val="14"/>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1.目标内容1：金家井乡防汛专项经费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防汛天数（≥**天）</w:t>
            </w:r>
          </w:p>
        </w:tc>
        <w:tc>
          <w:tcPr>
            <w:tcW w:w="5386" w:type="dxa"/>
            <w:vAlign w:val="center"/>
          </w:tcPr>
          <w:p>
            <w:pPr>
              <w:pStyle w:val="13"/>
            </w:pPr>
            <w:r>
              <w:t>防汛天数（≥**天）</w:t>
            </w:r>
          </w:p>
        </w:tc>
        <w:tc>
          <w:tcPr>
            <w:tcW w:w="2268" w:type="dxa"/>
            <w:vAlign w:val="center"/>
          </w:tcPr>
          <w:p>
            <w:pPr>
              <w:pStyle w:val="13"/>
            </w:pPr>
            <w:r>
              <w:t>≥100天</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服务水平</w:t>
            </w:r>
          </w:p>
        </w:tc>
        <w:tc>
          <w:tcPr>
            <w:tcW w:w="5386" w:type="dxa"/>
            <w:vAlign w:val="center"/>
          </w:tcPr>
          <w:p>
            <w:pPr>
              <w:pStyle w:val="13"/>
            </w:pPr>
            <w:r>
              <w:t>服务水平</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控制成本</w:t>
            </w:r>
          </w:p>
        </w:tc>
        <w:tc>
          <w:tcPr>
            <w:tcW w:w="5386" w:type="dxa"/>
            <w:vAlign w:val="center"/>
          </w:tcPr>
          <w:p>
            <w:pPr>
              <w:pStyle w:val="13"/>
            </w:pPr>
            <w:r>
              <w:t>控制成本</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消除隐患，保证安全度汛，减少人</w:t>
            </w:r>
          </w:p>
        </w:tc>
        <w:tc>
          <w:tcPr>
            <w:tcW w:w="5386" w:type="dxa"/>
            <w:vAlign w:val="center"/>
          </w:tcPr>
          <w:p>
            <w:pPr>
              <w:pStyle w:val="13"/>
            </w:pPr>
            <w:r>
              <w:t>消除隐患，保证安全度汛，减少人民生命和财产损失情况</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≥95%</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6、金家井乡服务群众专项经费绩效目标表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13063025P005588100506</w:t>
            </w:r>
          </w:p>
        </w:tc>
        <w:tc>
          <w:tcPr>
            <w:tcW w:w="2835" w:type="dxa"/>
            <w:vAlign w:val="center"/>
          </w:tcPr>
          <w:p>
            <w:pPr>
              <w:pStyle w:val="11"/>
            </w:pPr>
            <w:r>
              <w:t>项目名称</w:t>
            </w:r>
          </w:p>
        </w:tc>
        <w:tc>
          <w:tcPr>
            <w:tcW w:w="6095" w:type="dxa"/>
            <w:gridSpan w:val="3"/>
            <w:vAlign w:val="center"/>
          </w:tcPr>
          <w:p>
            <w:pPr>
              <w:pStyle w:val="13"/>
            </w:pPr>
            <w:r>
              <w:t>金家井乡服务群众专项经费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95.00</w:t>
            </w:r>
          </w:p>
        </w:tc>
        <w:tc>
          <w:tcPr>
            <w:tcW w:w="2835" w:type="dxa"/>
            <w:vAlign w:val="center"/>
          </w:tcPr>
          <w:p>
            <w:pPr>
              <w:pStyle w:val="11"/>
            </w:pPr>
            <w:r>
              <w:t>其中：财政    资金</w:t>
            </w:r>
          </w:p>
        </w:tc>
        <w:tc>
          <w:tcPr>
            <w:tcW w:w="2551" w:type="dxa"/>
            <w:vAlign w:val="center"/>
          </w:tcPr>
          <w:p>
            <w:pPr>
              <w:pStyle w:val="13"/>
            </w:pPr>
            <w:r>
              <w:t>95.00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用于金家井乡服务群众专项经费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w:t>
            </w:r>
          </w:p>
        </w:tc>
        <w:tc>
          <w:tcPr>
            <w:tcW w:w="2835" w:type="dxa"/>
            <w:vAlign w:val="center"/>
          </w:tcPr>
          <w:p>
            <w:pPr>
              <w:pStyle w:val="14"/>
            </w:pPr>
            <w:r>
              <w:t>500000%</w:t>
            </w:r>
          </w:p>
        </w:tc>
        <w:tc>
          <w:tcPr>
            <w:tcW w:w="2551" w:type="dxa"/>
            <w:vAlign w:val="center"/>
          </w:tcPr>
          <w:p>
            <w:pPr>
              <w:pStyle w:val="14"/>
            </w:pPr>
            <w:r>
              <w:t>750000%</w:t>
            </w:r>
          </w:p>
        </w:tc>
        <w:tc>
          <w:tcPr>
            <w:tcW w:w="3544" w:type="dxa"/>
            <w:gridSpan w:val="2"/>
            <w:vAlign w:val="center"/>
          </w:tcPr>
          <w:p>
            <w:pPr>
              <w:pStyle w:val="14"/>
            </w:pPr>
            <w:r>
              <w:t>950000%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资金发放率</w:t>
            </w:r>
          </w:p>
        </w:tc>
        <w:tc>
          <w:tcPr>
            <w:tcW w:w="5386" w:type="dxa"/>
            <w:vAlign w:val="center"/>
          </w:tcPr>
          <w:p>
            <w:pPr>
              <w:pStyle w:val="13"/>
            </w:pPr>
            <w:r>
              <w:t>资金发放率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增强服务保障能力。</w:t>
            </w:r>
          </w:p>
        </w:tc>
        <w:tc>
          <w:tcPr>
            <w:tcW w:w="5386" w:type="dxa"/>
            <w:vAlign w:val="center"/>
          </w:tcPr>
          <w:p>
            <w:pPr>
              <w:pStyle w:val="13"/>
            </w:pPr>
            <w:r>
              <w:t>增强服务保障能力。</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≥95百分比</w:t>
            </w:r>
          </w:p>
        </w:tc>
        <w:tc>
          <w:tcPr>
            <w:tcW w:w="1276" w:type="dxa"/>
            <w:vAlign w:val="center"/>
          </w:tcPr>
          <w:p>
            <w:pPr>
              <w:pStyle w:val="13"/>
            </w:pPr>
            <w:r>
              <w:t>根据预算安排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7、金家井乡计划生育专项经费绩效目标表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13063025P00385610025M</w:t>
            </w:r>
          </w:p>
        </w:tc>
        <w:tc>
          <w:tcPr>
            <w:tcW w:w="2835" w:type="dxa"/>
            <w:vAlign w:val="center"/>
          </w:tcPr>
          <w:p>
            <w:pPr>
              <w:pStyle w:val="11"/>
            </w:pPr>
            <w:r>
              <w:t>项目名称</w:t>
            </w:r>
          </w:p>
        </w:tc>
        <w:tc>
          <w:tcPr>
            <w:tcW w:w="6095" w:type="dxa"/>
            <w:gridSpan w:val="3"/>
            <w:vAlign w:val="center"/>
          </w:tcPr>
          <w:p>
            <w:pPr>
              <w:pStyle w:val="13"/>
            </w:pPr>
            <w:r>
              <w:t>金家井乡计划生育专项经费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1.34</w:t>
            </w:r>
          </w:p>
        </w:tc>
        <w:tc>
          <w:tcPr>
            <w:tcW w:w="2835" w:type="dxa"/>
            <w:vAlign w:val="center"/>
          </w:tcPr>
          <w:p>
            <w:pPr>
              <w:pStyle w:val="11"/>
            </w:pPr>
            <w:r>
              <w:t>其中：财政    资金</w:t>
            </w:r>
          </w:p>
        </w:tc>
        <w:tc>
          <w:tcPr>
            <w:tcW w:w="2551" w:type="dxa"/>
            <w:vAlign w:val="center"/>
          </w:tcPr>
          <w:p>
            <w:pPr>
              <w:pStyle w:val="13"/>
            </w:pPr>
            <w:r>
              <w:t>1.34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335000%</w:t>
            </w:r>
          </w:p>
        </w:tc>
        <w:tc>
          <w:tcPr>
            <w:tcW w:w="2835" w:type="dxa"/>
            <w:vAlign w:val="center"/>
          </w:tcPr>
          <w:p>
            <w:pPr>
              <w:pStyle w:val="14"/>
            </w:pPr>
            <w:r>
              <w:t>670000%</w:t>
            </w:r>
          </w:p>
        </w:tc>
        <w:tc>
          <w:tcPr>
            <w:tcW w:w="2551" w:type="dxa"/>
            <w:vAlign w:val="center"/>
          </w:tcPr>
          <w:p>
            <w:pPr>
              <w:pStyle w:val="14"/>
            </w:pPr>
            <w:r>
              <w:t>1005000%</w:t>
            </w:r>
          </w:p>
        </w:tc>
        <w:tc>
          <w:tcPr>
            <w:tcW w:w="3544" w:type="dxa"/>
            <w:gridSpan w:val="2"/>
            <w:vAlign w:val="center"/>
          </w:tcPr>
          <w:p>
            <w:pPr>
              <w:pStyle w:val="14"/>
            </w:pPr>
            <w:r>
              <w:t>1340000%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1.目标内容1：金家井乡计划生育专项经费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提高数据质量</w:t>
            </w:r>
          </w:p>
        </w:tc>
        <w:tc>
          <w:tcPr>
            <w:tcW w:w="5386" w:type="dxa"/>
            <w:vAlign w:val="center"/>
          </w:tcPr>
          <w:p>
            <w:pPr>
              <w:pStyle w:val="13"/>
            </w:pPr>
            <w:r>
              <w:t>提高数据质量</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提高工作效率</w:t>
            </w:r>
          </w:p>
        </w:tc>
        <w:tc>
          <w:tcPr>
            <w:tcW w:w="5386" w:type="dxa"/>
            <w:vAlign w:val="center"/>
          </w:tcPr>
          <w:p>
            <w:pPr>
              <w:pStyle w:val="13"/>
            </w:pPr>
            <w:r>
              <w:t>提高工作效率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社会影响力</w:t>
            </w:r>
          </w:p>
        </w:tc>
        <w:tc>
          <w:tcPr>
            <w:tcW w:w="5386" w:type="dxa"/>
            <w:vAlign w:val="center"/>
          </w:tcPr>
          <w:p>
            <w:pPr>
              <w:pStyle w:val="13"/>
            </w:pPr>
            <w:r>
              <w:t>社会影响力</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保障业务工作情况</w:t>
            </w:r>
          </w:p>
        </w:tc>
        <w:tc>
          <w:tcPr>
            <w:tcW w:w="5386" w:type="dxa"/>
            <w:vAlign w:val="center"/>
          </w:tcPr>
          <w:p>
            <w:pPr>
              <w:pStyle w:val="13"/>
            </w:pPr>
            <w:r>
              <w:t>保障业务工作情况</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8、金家井乡民政统筹专项经费绩效目标表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13063025P003855100250</w:t>
            </w:r>
          </w:p>
        </w:tc>
        <w:tc>
          <w:tcPr>
            <w:tcW w:w="2835" w:type="dxa"/>
            <w:vAlign w:val="center"/>
          </w:tcPr>
          <w:p>
            <w:pPr>
              <w:pStyle w:val="11"/>
            </w:pPr>
            <w:r>
              <w:t>项目名称</w:t>
            </w:r>
          </w:p>
        </w:tc>
        <w:tc>
          <w:tcPr>
            <w:tcW w:w="6095" w:type="dxa"/>
            <w:gridSpan w:val="3"/>
            <w:vAlign w:val="center"/>
          </w:tcPr>
          <w:p>
            <w:pPr>
              <w:pStyle w:val="13"/>
            </w:pPr>
            <w:r>
              <w:t>金家井乡民政统筹专项经费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0.67</w:t>
            </w:r>
          </w:p>
        </w:tc>
        <w:tc>
          <w:tcPr>
            <w:tcW w:w="2835" w:type="dxa"/>
            <w:vAlign w:val="center"/>
          </w:tcPr>
          <w:p>
            <w:pPr>
              <w:pStyle w:val="11"/>
            </w:pPr>
            <w:r>
              <w:t>其中：财政    资金</w:t>
            </w:r>
          </w:p>
        </w:tc>
        <w:tc>
          <w:tcPr>
            <w:tcW w:w="2551" w:type="dxa"/>
            <w:vAlign w:val="center"/>
          </w:tcPr>
          <w:p>
            <w:pPr>
              <w:pStyle w:val="13"/>
            </w:pPr>
            <w:r>
              <w:t>0.67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167500%</w:t>
            </w:r>
          </w:p>
        </w:tc>
        <w:tc>
          <w:tcPr>
            <w:tcW w:w="2835" w:type="dxa"/>
            <w:vAlign w:val="center"/>
          </w:tcPr>
          <w:p>
            <w:pPr>
              <w:pStyle w:val="14"/>
            </w:pPr>
            <w:r>
              <w:t>335000%</w:t>
            </w:r>
          </w:p>
        </w:tc>
        <w:tc>
          <w:tcPr>
            <w:tcW w:w="2551" w:type="dxa"/>
            <w:vAlign w:val="center"/>
          </w:tcPr>
          <w:p>
            <w:pPr>
              <w:pStyle w:val="14"/>
            </w:pPr>
            <w:r>
              <w:t>502500%</w:t>
            </w:r>
          </w:p>
        </w:tc>
        <w:tc>
          <w:tcPr>
            <w:tcW w:w="3544" w:type="dxa"/>
            <w:gridSpan w:val="2"/>
            <w:vAlign w:val="center"/>
          </w:tcPr>
          <w:p>
            <w:pPr>
              <w:pStyle w:val="14"/>
            </w:pPr>
            <w:r>
              <w:t>670000%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1.目标内容1：金家井乡民政统筹专项经费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服务水平</w:t>
            </w:r>
          </w:p>
        </w:tc>
        <w:tc>
          <w:tcPr>
            <w:tcW w:w="5386" w:type="dxa"/>
            <w:vAlign w:val="center"/>
          </w:tcPr>
          <w:p>
            <w:pPr>
              <w:pStyle w:val="13"/>
            </w:pPr>
            <w:r>
              <w:t>服务水平</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成本控制</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9、金家井乡农村两委干部养老保险绩效目标表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13063025P00558810051R</w:t>
            </w:r>
          </w:p>
        </w:tc>
        <w:tc>
          <w:tcPr>
            <w:tcW w:w="2835" w:type="dxa"/>
            <w:vAlign w:val="center"/>
          </w:tcPr>
          <w:p>
            <w:pPr>
              <w:pStyle w:val="11"/>
            </w:pPr>
            <w:r>
              <w:t>项目名称</w:t>
            </w:r>
          </w:p>
        </w:tc>
        <w:tc>
          <w:tcPr>
            <w:tcW w:w="6095" w:type="dxa"/>
            <w:gridSpan w:val="3"/>
            <w:vAlign w:val="center"/>
          </w:tcPr>
          <w:p>
            <w:pPr>
              <w:pStyle w:val="13"/>
            </w:pPr>
            <w:r>
              <w:t>金家井乡农村两委干部养老保险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0.98</w:t>
            </w:r>
          </w:p>
        </w:tc>
        <w:tc>
          <w:tcPr>
            <w:tcW w:w="2835" w:type="dxa"/>
            <w:vAlign w:val="center"/>
          </w:tcPr>
          <w:p>
            <w:pPr>
              <w:pStyle w:val="11"/>
            </w:pPr>
            <w:r>
              <w:t>其中：财政    资金</w:t>
            </w:r>
          </w:p>
        </w:tc>
        <w:tc>
          <w:tcPr>
            <w:tcW w:w="2551" w:type="dxa"/>
            <w:vAlign w:val="center"/>
          </w:tcPr>
          <w:p>
            <w:pPr>
              <w:pStyle w:val="13"/>
            </w:pPr>
            <w:r>
              <w:t>0.98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用于金家井乡农村两委干部养老保险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w:t>
            </w:r>
          </w:p>
        </w:tc>
        <w:tc>
          <w:tcPr>
            <w:tcW w:w="2835" w:type="dxa"/>
            <w:vAlign w:val="center"/>
          </w:tcPr>
          <w:p>
            <w:pPr>
              <w:pStyle w:val="14"/>
            </w:pPr>
            <w:r>
              <w:t>500000%</w:t>
            </w:r>
          </w:p>
        </w:tc>
        <w:tc>
          <w:tcPr>
            <w:tcW w:w="2551" w:type="dxa"/>
            <w:vAlign w:val="center"/>
          </w:tcPr>
          <w:p>
            <w:pPr>
              <w:pStyle w:val="14"/>
            </w:pPr>
            <w:r>
              <w:t>750000%</w:t>
            </w:r>
          </w:p>
        </w:tc>
        <w:tc>
          <w:tcPr>
            <w:tcW w:w="3544" w:type="dxa"/>
            <w:gridSpan w:val="2"/>
            <w:vAlign w:val="center"/>
          </w:tcPr>
          <w:p>
            <w:pPr>
              <w:pStyle w:val="14"/>
            </w:pPr>
            <w:r>
              <w:t>980000%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资金发放率</w:t>
            </w:r>
          </w:p>
        </w:tc>
        <w:tc>
          <w:tcPr>
            <w:tcW w:w="5386" w:type="dxa"/>
            <w:vAlign w:val="center"/>
          </w:tcPr>
          <w:p>
            <w:pPr>
              <w:pStyle w:val="13"/>
            </w:pPr>
            <w:r>
              <w:t>资金发放率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资金发放准时率</w:t>
            </w:r>
          </w:p>
        </w:tc>
        <w:tc>
          <w:tcPr>
            <w:tcW w:w="5386" w:type="dxa"/>
            <w:vAlign w:val="center"/>
          </w:tcPr>
          <w:p>
            <w:pPr>
              <w:pStyle w:val="13"/>
            </w:pPr>
            <w:r>
              <w:t>资金发放准时率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按预算资金完成率</w:t>
            </w:r>
          </w:p>
        </w:tc>
        <w:tc>
          <w:tcPr>
            <w:tcW w:w="5386" w:type="dxa"/>
            <w:vAlign w:val="center"/>
          </w:tcPr>
          <w:p>
            <w:pPr>
              <w:pStyle w:val="13"/>
            </w:pPr>
            <w:r>
              <w:t>按预算资金完成率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增强服务保障能力。</w:t>
            </w:r>
          </w:p>
        </w:tc>
        <w:tc>
          <w:tcPr>
            <w:tcW w:w="5386" w:type="dxa"/>
            <w:vAlign w:val="center"/>
          </w:tcPr>
          <w:p>
            <w:pPr>
              <w:pStyle w:val="13"/>
            </w:pPr>
            <w:r>
              <w:t>增强服务保障能力。</w:t>
            </w:r>
          </w:p>
        </w:tc>
        <w:tc>
          <w:tcPr>
            <w:tcW w:w="2268" w:type="dxa"/>
            <w:vAlign w:val="center"/>
          </w:tcPr>
          <w:p>
            <w:pPr>
              <w:pStyle w:val="13"/>
            </w:pPr>
            <w:r>
              <w:t>≥95百分比</w:t>
            </w:r>
          </w:p>
        </w:tc>
        <w:tc>
          <w:tcPr>
            <w:tcW w:w="1276" w:type="dxa"/>
            <w:vAlign w:val="center"/>
          </w:tcPr>
          <w:p>
            <w:pPr>
              <w:pStyle w:val="13"/>
            </w:pPr>
            <w:r>
              <w:t>根据预算安排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满意率</w:t>
            </w:r>
          </w:p>
        </w:tc>
        <w:tc>
          <w:tcPr>
            <w:tcW w:w="5386" w:type="dxa"/>
            <w:vAlign w:val="center"/>
          </w:tcPr>
          <w:p>
            <w:pPr>
              <w:pStyle w:val="13"/>
            </w:pPr>
            <w:r>
              <w:t>满意率</w:t>
            </w:r>
          </w:p>
        </w:tc>
        <w:tc>
          <w:tcPr>
            <w:tcW w:w="2268" w:type="dxa"/>
            <w:vAlign w:val="center"/>
          </w:tcPr>
          <w:p>
            <w:pPr>
              <w:pStyle w:val="13"/>
            </w:pPr>
            <w:r>
              <w:t>≥95百分比</w:t>
            </w:r>
          </w:p>
        </w:tc>
        <w:tc>
          <w:tcPr>
            <w:tcW w:w="1276" w:type="dxa"/>
            <w:vAlign w:val="center"/>
          </w:tcPr>
          <w:p>
            <w:pPr>
              <w:pStyle w:val="13"/>
            </w:pPr>
            <w:r>
              <w:t>根据预算安排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10、金家井乡卫生专项补助绩效目标表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13063025P00606710024Q</w:t>
            </w:r>
          </w:p>
        </w:tc>
        <w:tc>
          <w:tcPr>
            <w:tcW w:w="2835" w:type="dxa"/>
            <w:vAlign w:val="center"/>
          </w:tcPr>
          <w:p>
            <w:pPr>
              <w:pStyle w:val="11"/>
            </w:pPr>
            <w:r>
              <w:t>项目名称</w:t>
            </w:r>
          </w:p>
        </w:tc>
        <w:tc>
          <w:tcPr>
            <w:tcW w:w="6095" w:type="dxa"/>
            <w:gridSpan w:val="3"/>
            <w:vAlign w:val="center"/>
          </w:tcPr>
          <w:p>
            <w:pPr>
              <w:pStyle w:val="13"/>
            </w:pPr>
            <w:r>
              <w:t>金家井乡卫生专项补助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0.67</w:t>
            </w:r>
          </w:p>
        </w:tc>
        <w:tc>
          <w:tcPr>
            <w:tcW w:w="2835" w:type="dxa"/>
            <w:vAlign w:val="center"/>
          </w:tcPr>
          <w:p>
            <w:pPr>
              <w:pStyle w:val="11"/>
            </w:pPr>
            <w:r>
              <w:t>其中：财政    资金</w:t>
            </w:r>
          </w:p>
        </w:tc>
        <w:tc>
          <w:tcPr>
            <w:tcW w:w="2551" w:type="dxa"/>
            <w:vAlign w:val="center"/>
          </w:tcPr>
          <w:p>
            <w:pPr>
              <w:pStyle w:val="13"/>
            </w:pPr>
            <w:r>
              <w:t>0.67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167500%</w:t>
            </w:r>
          </w:p>
        </w:tc>
        <w:tc>
          <w:tcPr>
            <w:tcW w:w="2835" w:type="dxa"/>
            <w:vAlign w:val="center"/>
          </w:tcPr>
          <w:p>
            <w:pPr>
              <w:pStyle w:val="14"/>
            </w:pPr>
            <w:r>
              <w:t>335000%</w:t>
            </w:r>
          </w:p>
        </w:tc>
        <w:tc>
          <w:tcPr>
            <w:tcW w:w="2551" w:type="dxa"/>
            <w:vAlign w:val="center"/>
          </w:tcPr>
          <w:p>
            <w:pPr>
              <w:pStyle w:val="14"/>
            </w:pPr>
            <w:r>
              <w:t>502500%</w:t>
            </w:r>
          </w:p>
        </w:tc>
        <w:tc>
          <w:tcPr>
            <w:tcW w:w="3544" w:type="dxa"/>
            <w:gridSpan w:val="2"/>
            <w:vAlign w:val="center"/>
          </w:tcPr>
          <w:p>
            <w:pPr>
              <w:pStyle w:val="14"/>
            </w:pPr>
            <w:r>
              <w:t>670000%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1.目标内容1：金家井乡卫生专项补助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资金到位率</w:t>
            </w:r>
          </w:p>
        </w:tc>
        <w:tc>
          <w:tcPr>
            <w:tcW w:w="5386" w:type="dxa"/>
            <w:vAlign w:val="center"/>
          </w:tcPr>
          <w:p>
            <w:pPr>
              <w:pStyle w:val="13"/>
            </w:pPr>
            <w:r>
              <w:t>资金到位率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完成率</w:t>
            </w:r>
          </w:p>
        </w:tc>
        <w:tc>
          <w:tcPr>
            <w:tcW w:w="5386" w:type="dxa"/>
            <w:vAlign w:val="center"/>
          </w:tcPr>
          <w:p>
            <w:pPr>
              <w:pStyle w:val="13"/>
            </w:pPr>
            <w:r>
              <w:t>完成率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公共服务水平提升情况</w:t>
            </w:r>
          </w:p>
        </w:tc>
        <w:tc>
          <w:tcPr>
            <w:tcW w:w="5386" w:type="dxa"/>
            <w:vAlign w:val="center"/>
          </w:tcPr>
          <w:p>
            <w:pPr>
              <w:pStyle w:val="13"/>
            </w:pPr>
            <w:r>
              <w:t>保障相关业务、工作等开展情况</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公共服务水平提升情况</w:t>
            </w:r>
          </w:p>
        </w:tc>
        <w:tc>
          <w:tcPr>
            <w:tcW w:w="5386" w:type="dxa"/>
            <w:vAlign w:val="center"/>
          </w:tcPr>
          <w:p>
            <w:pPr>
              <w:pStyle w:val="13"/>
            </w:pPr>
            <w:r>
              <w:t>公共服务水平提升情况</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11、金家井乡武装工作经费绩效目标表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13063025P00607010004G</w:t>
            </w:r>
          </w:p>
        </w:tc>
        <w:tc>
          <w:tcPr>
            <w:tcW w:w="2835" w:type="dxa"/>
            <w:vAlign w:val="center"/>
          </w:tcPr>
          <w:p>
            <w:pPr>
              <w:pStyle w:val="11"/>
            </w:pPr>
            <w:r>
              <w:t>项目名称</w:t>
            </w:r>
          </w:p>
        </w:tc>
        <w:tc>
          <w:tcPr>
            <w:tcW w:w="6095" w:type="dxa"/>
            <w:gridSpan w:val="3"/>
            <w:vAlign w:val="center"/>
          </w:tcPr>
          <w:p>
            <w:pPr>
              <w:pStyle w:val="13"/>
            </w:pPr>
            <w:r>
              <w:t>金家井乡武装工作经费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250000%</w:t>
            </w:r>
          </w:p>
        </w:tc>
        <w:tc>
          <w:tcPr>
            <w:tcW w:w="2835" w:type="dxa"/>
            <w:vAlign w:val="center"/>
          </w:tcPr>
          <w:p>
            <w:pPr>
              <w:pStyle w:val="14"/>
            </w:pPr>
            <w:r>
              <w:t>500000%</w:t>
            </w:r>
          </w:p>
        </w:tc>
        <w:tc>
          <w:tcPr>
            <w:tcW w:w="2551" w:type="dxa"/>
            <w:vAlign w:val="center"/>
          </w:tcPr>
          <w:p>
            <w:pPr>
              <w:pStyle w:val="14"/>
            </w:pPr>
            <w:r>
              <w:t>750000%</w:t>
            </w:r>
          </w:p>
        </w:tc>
        <w:tc>
          <w:tcPr>
            <w:tcW w:w="3544" w:type="dxa"/>
            <w:gridSpan w:val="2"/>
            <w:vAlign w:val="center"/>
          </w:tcPr>
          <w:p>
            <w:pPr>
              <w:pStyle w:val="14"/>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1.目标内容1：金家井乡武装工作经费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资金保障率</w:t>
            </w:r>
          </w:p>
        </w:tc>
        <w:tc>
          <w:tcPr>
            <w:tcW w:w="5386" w:type="dxa"/>
            <w:vAlign w:val="center"/>
          </w:tcPr>
          <w:p>
            <w:pPr>
              <w:pStyle w:val="13"/>
            </w:pPr>
            <w:r>
              <w:t>资金保障率</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服务水平</w:t>
            </w:r>
          </w:p>
        </w:tc>
        <w:tc>
          <w:tcPr>
            <w:tcW w:w="5386" w:type="dxa"/>
            <w:vAlign w:val="center"/>
          </w:tcPr>
          <w:p>
            <w:pPr>
              <w:pStyle w:val="13"/>
            </w:pPr>
            <w:r>
              <w:t>服务水平</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及时性</w:t>
            </w:r>
          </w:p>
        </w:tc>
        <w:tc>
          <w:tcPr>
            <w:tcW w:w="5386" w:type="dxa"/>
            <w:vAlign w:val="center"/>
          </w:tcPr>
          <w:p>
            <w:pPr>
              <w:pStyle w:val="13"/>
            </w:pPr>
            <w:r>
              <w:t>及时性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w:t>
            </w:r>
          </w:p>
        </w:tc>
        <w:tc>
          <w:tcPr>
            <w:tcW w:w="5386" w:type="dxa"/>
            <w:vAlign w:val="center"/>
          </w:tcPr>
          <w:p>
            <w:pPr>
              <w:pStyle w:val="13"/>
            </w:pPr>
            <w:r>
              <w:t>成本控制</w:t>
            </w:r>
          </w:p>
        </w:tc>
        <w:tc>
          <w:tcPr>
            <w:tcW w:w="2268" w:type="dxa"/>
            <w:vAlign w:val="center"/>
          </w:tcPr>
          <w:p>
            <w:pPr>
              <w:pStyle w:val="13"/>
            </w:pPr>
            <w:r>
              <w:t>≤97%</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提高效率</w:t>
            </w:r>
          </w:p>
        </w:tc>
        <w:tc>
          <w:tcPr>
            <w:tcW w:w="5386" w:type="dxa"/>
            <w:vAlign w:val="center"/>
          </w:tcPr>
          <w:p>
            <w:pPr>
              <w:pStyle w:val="13"/>
            </w:pPr>
            <w:r>
              <w:t>提高效率</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提供优质服务</w:t>
            </w:r>
          </w:p>
        </w:tc>
        <w:tc>
          <w:tcPr>
            <w:tcW w:w="5386" w:type="dxa"/>
            <w:vAlign w:val="center"/>
          </w:tcPr>
          <w:p>
            <w:pPr>
              <w:pStyle w:val="13"/>
            </w:pPr>
            <w:r>
              <w:t>提供优质服务</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结果准确性</w:t>
            </w:r>
          </w:p>
        </w:tc>
        <w:tc>
          <w:tcPr>
            <w:tcW w:w="5386" w:type="dxa"/>
            <w:vAlign w:val="center"/>
          </w:tcPr>
          <w:p>
            <w:pPr>
              <w:pStyle w:val="13"/>
            </w:pPr>
            <w:r>
              <w:t>结果准确性</w:t>
            </w:r>
          </w:p>
        </w:tc>
        <w:tc>
          <w:tcPr>
            <w:tcW w:w="2268" w:type="dxa"/>
            <w:vAlign w:val="center"/>
          </w:tcPr>
          <w:p>
            <w:pPr>
              <w:pStyle w:val="13"/>
            </w:pPr>
            <w:r>
              <w:t>≤98%</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w:t>
            </w:r>
          </w:p>
        </w:tc>
        <w:tc>
          <w:tcPr>
            <w:tcW w:w="5386" w:type="dxa"/>
            <w:vAlign w:val="center"/>
          </w:tcPr>
          <w:p>
            <w:pPr>
              <w:pStyle w:val="13"/>
            </w:pPr>
            <w:r>
              <w:t>可持续性</w:t>
            </w:r>
          </w:p>
        </w:tc>
        <w:tc>
          <w:tcPr>
            <w:tcW w:w="2268" w:type="dxa"/>
            <w:vAlign w:val="center"/>
          </w:tcPr>
          <w:p>
            <w:pPr>
              <w:pStyle w:val="13"/>
            </w:pPr>
            <w:r>
              <w:t>≤96%</w:t>
            </w:r>
          </w:p>
        </w:tc>
        <w:tc>
          <w:tcPr>
            <w:tcW w:w="1276" w:type="dxa"/>
            <w:vAlign w:val="center"/>
          </w:tcPr>
          <w:p>
            <w:pPr>
              <w:pStyle w:val="13"/>
            </w:pPr>
            <w:r>
              <w:t>依据预算安排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服务对象的满意度</w:t>
            </w:r>
          </w:p>
        </w:tc>
        <w:tc>
          <w:tcPr>
            <w:tcW w:w="5386" w:type="dxa"/>
            <w:vAlign w:val="center"/>
          </w:tcPr>
          <w:p>
            <w:pPr>
              <w:pStyle w:val="13"/>
            </w:pPr>
            <w:r>
              <w:t>服务对象的满意度</w:t>
            </w:r>
          </w:p>
        </w:tc>
        <w:tc>
          <w:tcPr>
            <w:tcW w:w="2268" w:type="dxa"/>
            <w:vAlign w:val="center"/>
          </w:tcPr>
          <w:p>
            <w:pPr>
              <w:pStyle w:val="13"/>
            </w:pPr>
            <w:r>
              <w:t>≤100%</w:t>
            </w:r>
          </w:p>
        </w:tc>
        <w:tc>
          <w:tcPr>
            <w:tcW w:w="1276" w:type="dxa"/>
            <w:vAlign w:val="center"/>
          </w:tcPr>
          <w:p>
            <w:pPr>
              <w:pStyle w:val="13"/>
            </w:pPr>
            <w:r>
              <w:t>依据预算安排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990涞源县金家井乡人民政府</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932" w:firstLineChars="333"/>
        <w:jc w:val="left"/>
        <w:outlineLvl w:val="9"/>
      </w:pPr>
      <w:bookmarkStart w:id="20" w:name="_GoBack"/>
      <w:bookmarkEnd w:id="20"/>
      <w:r>
        <w:rPr>
          <w:rFonts w:ascii="Times New Roman" w:hAnsi="Times New Roman" w:eastAsia="方正仿宋_GBK" w:cs="Times New Roman"/>
          <w:b w:val="0"/>
          <w:color w:val="000000"/>
          <w:sz w:val="28"/>
        </w:rPr>
        <w:t>涞源县金家井乡人民政府（含所属单位）上年末固定资产金额为</w:t>
      </w:r>
      <w:r>
        <w:rPr>
          <w:rFonts w:hint="eastAsia" w:eastAsia="方正仿宋_GBK" w:cs="Times New Roman"/>
          <w:b w:val="0"/>
          <w:color w:val="000000"/>
          <w:sz w:val="28"/>
          <w:lang w:val="en-US" w:eastAsia="zh-CN"/>
        </w:rPr>
        <w:t>156.22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990涞源县金家井乡人民政府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pPr>
              <w:pStyle w:val="14"/>
              <w:ind w:firstLine="0" w:firstLineChars="0"/>
              <w:rPr>
                <w:rFonts w:ascii="方正书宋_GBK" w:hAnsi="方正书宋_GBK" w:eastAsia="方正书宋_GBK" w:cs="方正书宋_GBK"/>
                <w:sz w:val="21"/>
                <w:szCs w:val="24"/>
                <w:lang w:val="en-US" w:eastAsia="uk-UA" w:bidi="ar-SA"/>
              </w:rPr>
            </w:pPr>
          </w:p>
        </w:tc>
        <w:tc>
          <w:tcPr>
            <w:tcW w:w="2835" w:type="dxa"/>
            <w:vAlign w:val="center"/>
          </w:tcPr>
          <w:p>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161.61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pPr>
              <w:pStyle w:val="14"/>
              <w:ind w:firstLine="0" w:firstLineChars="0"/>
              <w:rPr>
                <w:rFonts w:ascii="方正书宋_GBK" w:hAnsi="方正书宋_GBK" w:eastAsia="方正书宋_GBK" w:cs="方正书宋_GBK"/>
                <w:sz w:val="21"/>
                <w:szCs w:val="24"/>
                <w:lang w:val="en-US" w:eastAsia="uk-UA" w:bidi="ar-SA"/>
              </w:rPr>
            </w:pPr>
            <w:r>
              <w:t>1000</w:t>
            </w:r>
          </w:p>
        </w:tc>
        <w:tc>
          <w:tcPr>
            <w:tcW w:w="2835" w:type="dxa"/>
            <w:vAlign w:val="center"/>
          </w:tcPr>
          <w:p>
            <w:pPr>
              <w:pStyle w:val="12"/>
              <w:ind w:firstLine="0" w:firstLineChars="0"/>
              <w:rPr>
                <w:rFonts w:ascii="方正书宋_GBK" w:hAnsi="方正书宋_GBK" w:eastAsia="方正书宋_GBK" w:cs="方正书宋_GBK"/>
                <w:sz w:val="21"/>
                <w:szCs w:val="24"/>
                <w:lang w:val="en-US" w:eastAsia="uk-UA" w:bidi="ar-SA"/>
              </w:rPr>
            </w:pPr>
            <w:r>
              <w:t>43.02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pPr>
              <w:pStyle w:val="14"/>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szCs w:val="24"/>
                <w:lang w:val="en-US" w:eastAsia="zh-CN" w:bidi="ar-SA"/>
              </w:rPr>
              <w:t>1000</w:t>
            </w:r>
          </w:p>
        </w:tc>
        <w:tc>
          <w:tcPr>
            <w:tcW w:w="2835" w:type="dxa"/>
            <w:vAlign w:val="center"/>
          </w:tcPr>
          <w:p>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pPr>
              <w:pStyle w:val="14"/>
              <w:ind w:firstLine="0" w:firstLineChars="0"/>
              <w:rPr>
                <w:rFonts w:ascii="方正书宋_GBK" w:hAnsi="方正书宋_GBK" w:eastAsia="方正书宋_GBK" w:cs="方正书宋_GBK"/>
                <w:sz w:val="21"/>
                <w:szCs w:val="24"/>
                <w:lang w:val="en-US" w:eastAsia="uk-UA" w:bidi="ar-SA"/>
              </w:rPr>
            </w:pPr>
            <w:r>
              <w:t>13</w:t>
            </w:r>
          </w:p>
        </w:tc>
        <w:tc>
          <w:tcPr>
            <w:tcW w:w="2835" w:type="dxa"/>
            <w:vAlign w:val="center"/>
          </w:tcPr>
          <w:p>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58.76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pPr>
              <w:pStyle w:val="14"/>
              <w:rPr>
                <w:rFonts w:hint="eastAsia" w:eastAsia="方正书宋_GBK"/>
                <w:lang w:val="en-US" w:eastAsia="zh-CN"/>
              </w:rPr>
            </w:pPr>
            <w:r>
              <w:rPr>
                <w:rFonts w:hint="eastAsia"/>
                <w:lang w:val="en-US" w:eastAsia="zh-CN"/>
              </w:rPr>
              <w:t>0</w:t>
            </w:r>
          </w:p>
        </w:tc>
        <w:tc>
          <w:tcPr>
            <w:tcW w:w="2835" w:type="dxa"/>
            <w:vAlign w:val="center"/>
          </w:tcPr>
          <w:p>
            <w:pPr>
              <w:pStyle w:val="12"/>
              <w:rPr>
                <w:rFonts w:hint="default" w:eastAsia="方正书宋_GBK"/>
                <w:lang w:val="en-US" w:eastAsia="zh-CN"/>
              </w:rPr>
            </w:pPr>
            <w:r>
              <w:rPr>
                <w:rFonts w:hint="eastAsia"/>
                <w:lang w:val="en-US" w:eastAsia="zh-CN"/>
              </w:rPr>
              <w:t>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pPr>
              <w:pStyle w:val="14"/>
              <w:rPr>
                <w:rFonts w:hint="default" w:eastAsia="方正书宋_GBK"/>
                <w:lang w:val="en-US" w:eastAsia="zh-CN"/>
              </w:rPr>
            </w:pPr>
            <w:r>
              <w:rPr>
                <w:rFonts w:hint="eastAsia"/>
                <w:lang w:val="en-US" w:eastAsia="zh-CN"/>
              </w:rPr>
              <w:t>247</w:t>
            </w:r>
          </w:p>
        </w:tc>
        <w:tc>
          <w:tcPr>
            <w:tcW w:w="2835" w:type="dxa"/>
            <w:vAlign w:val="center"/>
          </w:tcPr>
          <w:p>
            <w:pPr>
              <w:pStyle w:val="12"/>
              <w:rPr>
                <w:rFonts w:hint="default" w:eastAsia="方正书宋_GBK"/>
                <w:lang w:val="en-US" w:eastAsia="zh-CN"/>
              </w:rPr>
            </w:pPr>
            <w:r>
              <w:rPr>
                <w:rFonts w:hint="eastAsia"/>
                <w:lang w:val="en-US" w:eastAsia="zh-CN"/>
              </w:rPr>
              <w:t>59.83</w:t>
            </w:r>
          </w:p>
        </w:tc>
      </w:tr>
    </w:tbl>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E3E27B"/>
    <w:multiLevelType w:val="singleLevel"/>
    <w:tmpl w:val="E9E3E27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GFhMjQxNjA1ZTMyNWY5ZjcwYTQ3MTg2YjZlNDMzZjIifQ=="/>
  </w:docVars>
  <w:rsids>
    <w:rsidRoot w:val="00000000"/>
    <w:rsid w:val="06A92350"/>
    <w:rsid w:val="0B2B77D7"/>
    <w:rsid w:val="104B693F"/>
    <w:rsid w:val="12916191"/>
    <w:rsid w:val="1972491A"/>
    <w:rsid w:val="1DF01A8F"/>
    <w:rsid w:val="1F021FE8"/>
    <w:rsid w:val="1FF73CD4"/>
    <w:rsid w:val="26751385"/>
    <w:rsid w:val="289D638E"/>
    <w:rsid w:val="30D8545C"/>
    <w:rsid w:val="38507FCD"/>
    <w:rsid w:val="3ACC3E45"/>
    <w:rsid w:val="42360234"/>
    <w:rsid w:val="49A83601"/>
    <w:rsid w:val="49B54134"/>
    <w:rsid w:val="4AAA183D"/>
    <w:rsid w:val="4B0168DF"/>
    <w:rsid w:val="4B5A4F93"/>
    <w:rsid w:val="4D4952BF"/>
    <w:rsid w:val="4E3E294A"/>
    <w:rsid w:val="4FFE4A87"/>
    <w:rsid w:val="50827466"/>
    <w:rsid w:val="52322F40"/>
    <w:rsid w:val="56D97F21"/>
    <w:rsid w:val="594905C3"/>
    <w:rsid w:val="5CCB7A9F"/>
    <w:rsid w:val="5FAA1DFA"/>
    <w:rsid w:val="66B94C7A"/>
    <w:rsid w:val="675A1EE0"/>
    <w:rsid w:val="6A331435"/>
    <w:rsid w:val="6AB35604"/>
    <w:rsid w:val="6AC65885"/>
    <w:rsid w:val="74B75571"/>
    <w:rsid w:val="786D5A56"/>
    <w:rsid w:val="7CC36EE8"/>
    <w:rsid w:val="7CD87AE0"/>
    <w:rsid w:val="7ED614B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34</Pages>
  <TotalTime>82</TotalTime>
  <ScaleCrop>false</ScaleCrop>
  <LinksUpToDate>false</LinksUpToDate>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dell</dc:creator>
  <cp:lastModifiedBy>dell</cp:lastModifiedBy>
  <dcterms:modified xsi:type="dcterms:W3CDTF">2025-02-20T05:38:11Z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DBBEC23DB23A49759E8A39AB31B6F4D1_12</vt:lpwstr>
  </property>
</Properties>
</file>